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8.2.6. Pregnancy Testing</w:t>
      </w:r>
    </w:p>
    <w:p>
      <w:r>
        <w:rPr>
          <w:b w:val="0"/>
          <w:i w:val="0"/>
        </w:rPr>
        <w:t xml:space="preserve">Pregnancy tests may be urine or serum tests, but must have a sensitivity of at least </w:t>
      </w:r>
      <w:r>
        <w:rPr>
          <w:b w:val="0"/>
          <w:i w:val="0"/>
        </w:rPr>
        <w:t xml:space="preserve">25 mIU/mL.  Pregnancy tests will be performed in WOCBP at the times listed in the </w:t>
      </w:r>
      <w:r>
        <w:rPr>
          <w:b w:val="0"/>
          <w:i w:val="0"/>
        </w:rPr>
        <w:t>SoA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immediately before the administration of each vaccine dose.  A negative pregnancy test result </w:t>
      </w:r>
      <w:r>
        <w:rPr>
          <w:b w:val="0"/>
          <w:i w:val="0"/>
        </w:rPr>
        <w:t xml:space="preserve">will be required prior to the participant’s receiving the study intervention.  Pregnancy tests </w:t>
      </w:r>
      <w:r>
        <w:rPr>
          <w:b w:val="0"/>
          <w:i w:val="0"/>
        </w:rPr>
        <w:t xml:space="preserve">may also be repeated if requested by IRBs/ECs or if required by local regulations.  In the </w:t>
      </w:r>
      <w:r>
        <w:rPr>
          <w:b w:val="0"/>
          <w:i w:val="0"/>
        </w:rPr>
        <w:t xml:space="preserve">case of a positive confirmed pregnancy, the participant will be withdrawn from </w:t>
      </w:r>
      <w:r>
        <w:rPr>
          <w:b w:val="0"/>
          <w:i w:val="0"/>
        </w:rPr>
        <w:t>administration of study intervention but may remain in the study.</w:t>
      </w:r>
    </w:p>
    <w:p>
      <w:r>
        <w:rPr>
          <w:b w:val="0"/>
          <w:i w:val="0"/>
        </w:rPr>
        <w:t xml:space="preserve">Administration of BNT162b2 to pregnant participants at Visits 101 and 102 (participants </w:t>
      </w:r>
      <w:r>
        <w:rPr>
          <w:b w:val="0"/>
          <w:i w:val="0"/>
        </w:rPr>
        <w:t xml:space="preserve">who originally received placebo and choose to be unblinded and receive BNT162b2) or at </w:t>
      </w:r>
      <w:r>
        <w:rPr>
          <w:b w:val="0"/>
          <w:i w:val="0"/>
        </w:rPr>
        <w:t xml:space="preserve">Visits 501, 601 and 604 may be considered if there are local or national recommendations for </w:t>
      </w:r>
      <w:r>
        <w:rPr>
          <w:b w:val="0"/>
          <w:i w:val="0"/>
        </w:rPr>
        <w:t xml:space="preserve">COVID-19 vaccination of pregnant women, and the investigator and participant are in </w:t>
      </w:r>
      <w:r>
        <w:rPr>
          <w:b w:val="0"/>
          <w:i w:val="0"/>
        </w:rPr>
        <w:t xml:space="preserve">agreement. This overrides the requirements stated in the previous paragraph, and will not be </w:t>
      </w:r>
      <w:r>
        <w:rPr>
          <w:b w:val="0"/>
          <w:i w:val="0"/>
        </w:rPr>
        <w:t xml:space="preserve">considered as a protocol deviation. However, the EDP should still be reported in accordance </w:t>
      </w:r>
      <w:r>
        <w:rPr>
          <w:b w:val="0"/>
          <w:i w:val="0"/>
        </w:rPr>
        <w:t xml:space="preserve">with </w:t>
      </w:r>
      <w:r>
        <w:rPr>
          <w:b w:val="0"/>
          <w:i w:val="0"/>
        </w:rPr>
        <w:t>Section 8.3.5.1.</w:t>
      </w:r>
    </w:p>
    <w:p>
      <w:pPr>
        <w:pStyle w:val="Heading2"/>
      </w:pPr>
      <w:r>
        <w:t>8.3. Adverse Events and Serious Adverse Events</w:t>
      </w:r>
    </w:p>
    <w:p>
      <w:r>
        <w:rPr>
          <w:b w:val="0"/>
          <w:i w:val="0"/>
        </w:rPr>
        <w:t xml:space="preserve">The definitions of an AE and an SAE can be found in </w:t>
      </w:r>
      <w:r>
        <w:rPr>
          <w:b w:val="0"/>
          <w:i w:val="0"/>
        </w:rPr>
        <w:t>Appendix 3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AEs will be reported by the participant (or, when appropriate, by a caregiver, surrogate, or </w:t>
      </w:r>
      <w:r>
        <w:rPr>
          <w:b w:val="0"/>
          <w:i w:val="0"/>
        </w:rPr>
        <w:t>the participant's parent(s)/legal guardian).</w:t>
      </w:r>
      <w:r>
        <w:rPr>
          <w:b w:val="0"/>
          <w:i w:val="0"/>
        </w:rPr>
        <w:t xml:space="preserve">The investigator and any qualified designees are responsible for detecting, documenting, and </w:t>
      </w:r>
      <w:r>
        <w:rPr>
          <w:b w:val="0"/>
          <w:i w:val="0"/>
        </w:rPr>
        <w:t xml:space="preserve">recording events that meet the definition of an AE or SAE and remain responsible to pursue </w:t>
      </w:r>
      <w:r>
        <w:rPr>
          <w:b w:val="0"/>
          <w:i w:val="0"/>
        </w:rPr>
        <w:t xml:space="preserve">and obtain adequate information both to determine the outcome and to assess whether the </w:t>
      </w:r>
      <w:r>
        <w:rPr>
          <w:b w:val="0"/>
          <w:i w:val="0"/>
        </w:rPr>
        <w:t xml:space="preserve">event meets the criteria for classification as an SAE or caused the participant to discontinue </w:t>
      </w:r>
      <w:r>
        <w:rPr>
          <w:b w:val="0"/>
          <w:i w:val="0"/>
        </w:rPr>
        <w:t xml:space="preserve">the study intervention (see </w:t>
      </w:r>
      <w:r>
        <w:rPr>
          <w:b w:val="0"/>
          <w:i w:val="0"/>
        </w:rPr>
        <w:t>Section 7.1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Each participant/parent(s)/legal guardian will be questioned about the occurrence of AEs in a </w:t>
      </w:r>
      <w:r>
        <w:rPr>
          <w:b w:val="0"/>
          <w:i w:val="0"/>
        </w:rPr>
        <w:t>nonleading manner.</w:t>
      </w:r>
    </w:p>
    <w:p>
      <w:r>
        <w:rPr>
          <w:b w:val="0"/>
          <w:i w:val="0"/>
        </w:rPr>
        <w:t xml:space="preserve">In addition, the investigator may be requested by Pfizer Safety to obtain specific follow-up </w:t>
      </w:r>
      <w:r>
        <w:rPr>
          <w:b w:val="0"/>
          <w:i w:val="0"/>
        </w:rPr>
        <w:t>information in an expedited fashion.</w:t>
      </w:r>
    </w:p>
    <w:p>
      <w:pPr>
        <w:pStyle w:val="Heading3"/>
      </w:pPr>
      <w:r>
        <w:t>8.3.1. Time Period and Frequency for Collecting AE and SAE Information</w:t>
      </w:r>
    </w:p>
    <w:p>
      <w:r>
        <w:rPr>
          <w:b w:val="0"/>
          <w:i w:val="0"/>
        </w:rPr>
        <w:t xml:space="preserve">The time period for actively eliciting and collecting AEs and SAEs (“active collection </w:t>
      </w:r>
      <w:r>
        <w:rPr>
          <w:b w:val="0"/>
          <w:i w:val="0"/>
        </w:rPr>
        <w:t>period”) for each participant begins from the time the participant/parent(s)/legal guardian</w:t>
      </w:r>
      <w:r>
        <w:rPr>
          <w:b w:val="0"/>
          <w:i w:val="0"/>
        </w:rPr>
        <w:t xml:space="preserve">provides informed consent, which is obtained before the participant’s participation in the </w:t>
      </w:r>
      <w:r>
        <w:rPr>
          <w:b w:val="0"/>
          <w:i w:val="0"/>
        </w:rPr>
        <w:t xml:space="preserve">study (ie, before undergoing any study-related procedure and/or receiving study </w:t>
      </w:r>
      <w:r>
        <w:rPr>
          <w:b w:val="0"/>
          <w:i w:val="0"/>
        </w:rPr>
        <w:t xml:space="preserve">intervention), through and including Visit 7 for Phase 1 participants, and Visit 3 for Phase </w:t>
      </w:r>
      <w:r>
        <w:rPr>
          <w:b w:val="0"/>
          <w:i w:val="0"/>
        </w:rPr>
        <w:t xml:space="preserve">2/3 participants.  In addition, any AEs occurring up to 48 hours after each subsequent blood </w:t>
      </w:r>
      <w:r>
        <w:rPr>
          <w:b w:val="0"/>
          <w:i w:val="0"/>
        </w:rPr>
        <w:t>draw must be recorded on the CRF.</w:t>
      </w:r>
    </w:p>
    <w:p>
      <w:r>
        <w:rPr>
          <w:b w:val="0"/>
          <w:i w:val="0"/>
        </w:rPr>
        <w:t xml:space="preserve">SAEs will be collected from the time the participant/parent(s)/legal guardian provides </w:t>
      </w:r>
      <w:r>
        <w:rPr>
          <w:b w:val="0"/>
          <w:i w:val="0"/>
        </w:rPr>
        <w:t>informed consent to approximately 6 months after the last dose of study intervention</w:t>
      </w:r>
      <w:r>
        <w:rPr>
          <w:b w:val="0"/>
          <w:i w:val="0"/>
        </w:rPr>
        <w:t>(Visit 8 for Phase 1 participants, and Visit 4 for Phase 2/3 participants).</w:t>
      </w:r>
    </w:p>
    <w:p>
      <w:r>
        <w:rPr>
          <w:b w:val="0"/>
          <w:i w:val="0"/>
        </w:rPr>
        <w:t xml:space="preserve">Additionally, for those participants who originally received placebo but go on to receive </w:t>
      </w:r>
      <w:r>
        <w:rPr>
          <w:b w:val="0"/>
          <w:i w:val="0"/>
        </w:rPr>
        <w:t>BNT162b2 at Vaccinations 3 and 4, AEs will be collected from the time the participant</w:t>
      </w:r>
      <w:r>
        <w:rPr>
          <w:b w:val="0"/>
          <w:i w:val="0"/>
        </w:rPr>
        <w:t>provides informed consent (for receipt of Vaccinations 3 and 4) through and including</w:t>
      </w:r>
      <w:r>
        <w:rPr>
          <w:b w:val="0"/>
          <w:i w:val="0"/>
        </w:rPr>
        <w:t>Visit 103. SAEs will be collected from the time the participant provides informed consent</w:t>
      </w:r>
      <w:r>
        <w:rPr>
          <w:b w:val="0"/>
          <w:i w:val="0"/>
        </w:rPr>
        <w:t xml:space="preserve">(for receipt of Vaccinations 3 and 4) to approximately 6 months after the second dose of </w:t>
      </w:r>
      <w:r>
        <w:rPr>
          <w:b w:val="0"/>
          <w:i w:val="0"/>
        </w:rPr>
        <w:t>BNT162b2 (Visit 104).</w:t>
      </w:r>
    </w:p>
    <w:p>
      <w:r>
        <w:rPr>
          <w:b w:val="0"/>
          <w:i w:val="0"/>
        </w:rPr>
        <w:t xml:space="preserve">For Phase 1 participants who go on to receive a third dose of BNT162, AEs and SAEs will be </w:t>
      </w:r>
      <w:r>
        <w:rPr>
          <w:b w:val="0"/>
          <w:i w:val="0"/>
        </w:rPr>
        <w:t xml:space="preserve">collected from the time the participant provides informed consent (for receipt of </w:t>
      </w:r>
      <w:r>
        <w:rPr>
          <w:b w:val="0"/>
          <w:i w:val="0"/>
        </w:rPr>
        <w:t>Vaccination 3) through and including Visit 8c (1 month after the third dose).</w:t>
      </w:r>
    </w:p>
    <w:p>
      <w:r>
        <w:rPr>
          <w:b w:val="0"/>
          <w:i w:val="0"/>
        </w:rPr>
        <w:t xml:space="preserve">For BNT162b2-experienced participants in the subset for evaluation of boostability and </w:t>
      </w:r>
      <w:r>
        <w:rPr>
          <w:b w:val="0"/>
          <w:i w:val="0"/>
        </w:rPr>
        <w:t>protection against emerging VOCs, AEs will be collected from the time the participant</w:t>
      </w:r>
      <w:r>
        <w:rPr>
          <w:b w:val="0"/>
          <w:i w:val="0"/>
        </w:rPr>
        <w:t xml:space="preserve">provides informed consent (for participation in the subset) through and including Visit 303 </w:t>
      </w:r>
      <w:r>
        <w:rPr>
          <w:b w:val="0"/>
          <w:i w:val="0"/>
        </w:rPr>
        <w:t xml:space="preserve">for those receiving 1 additional dose and Visit 305 for those who receive 2 additional doses. </w:t>
      </w:r>
      <w:r>
        <w:rPr>
          <w:b w:val="0"/>
          <w:i w:val="0"/>
        </w:rPr>
        <w:t xml:space="preserve">For both schedules, this equates to collection for up to 1 month after the last dose. SAEs will </w:t>
      </w:r>
      <w:r>
        <w:rPr>
          <w:b w:val="0"/>
          <w:i w:val="0"/>
        </w:rPr>
        <w:t xml:space="preserve">be collected from the time the participant provides informed consent (for participation in the </w:t>
      </w:r>
      <w:r>
        <w:rPr>
          <w:b w:val="0"/>
          <w:i w:val="0"/>
        </w:rPr>
        <w:t xml:space="preserve">subset) through and including Visit 306 (5 or 6 months after the last dose, depending upon </w:t>
      </w:r>
      <w:r>
        <w:rPr>
          <w:b w:val="0"/>
          <w:i w:val="0"/>
        </w:rPr>
        <w:t>group).</w:t>
      </w:r>
      <w:r>
        <w:rPr>
          <w:b w:val="0"/>
          <w:i w:val="0"/>
        </w:rPr>
        <w:t xml:space="preserve">For BNT162b2-naïve participants, the subset for evaluation of protection against emerging </w:t>
      </w:r>
      <w:r>
        <w:rPr>
          <w:b w:val="0"/>
          <w:i w:val="0"/>
        </w:rPr>
        <w:t>VOCs, AEs will be collected from the time the participant provides informed consent</w:t>
      </w:r>
      <w:r>
        <w:rPr>
          <w:b w:val="0"/>
          <w:i w:val="0"/>
        </w:rPr>
        <w:t xml:space="preserve">through and including Visit 404 (1 month after the second dose). SAEs will be collected </w:t>
      </w:r>
      <w:r>
        <w:rPr>
          <w:b w:val="0"/>
          <w:i w:val="0"/>
        </w:rPr>
        <w:t xml:space="preserve">from the time the participant provides informed consent through and including Visit 405 </w:t>
      </w:r>
      <w:r>
        <w:rPr>
          <w:b w:val="0"/>
          <w:i w:val="0"/>
        </w:rPr>
        <w:t>(6 months after the second dose).</w:t>
      </w:r>
    </w:p>
    <w:p>
      <w:r>
        <w:rPr>
          <w:b w:val="0"/>
          <w:i w:val="0"/>
        </w:rPr>
        <w:t xml:space="preserve">For participants who receive a third dose of BNT162b2 at Visit 501, AEs will be collected </w:t>
      </w:r>
      <w:r>
        <w:rPr>
          <w:b w:val="0"/>
          <w:i w:val="0"/>
        </w:rPr>
        <w:t xml:space="preserve">from the time the participant provides informed consent (for administration of the third dose </w:t>
      </w:r>
      <w:r>
        <w:rPr>
          <w:b w:val="0"/>
          <w:i w:val="0"/>
        </w:rPr>
        <w:t xml:space="preserve">of BNT162b2) through Visit 502 (1 month after the third dose of BNT162b2).  SAEs will be </w:t>
      </w:r>
      <w:r>
        <w:rPr>
          <w:b w:val="0"/>
          <w:i w:val="0"/>
        </w:rPr>
        <w:t xml:space="preserve">collected from the time the participant provides informed consent (for administration of the </w:t>
      </w:r>
      <w:r>
        <w:rPr>
          <w:b w:val="0"/>
          <w:i w:val="0"/>
        </w:rPr>
        <w:t>third dose of BNT162b2) through Visit 503 (6 months after the third dose of BNT162b2).</w:t>
      </w:r>
      <w:r>
        <w:rPr>
          <w:b w:val="0"/>
          <w:i w:val="0"/>
        </w:rPr>
        <w:t>Under protocol amendment 19, the mandatory follow-up period for SAE collection will be at</w:t>
      </w:r>
      <w:r>
        <w:rPr>
          <w:b w:val="0"/>
          <w:i w:val="0"/>
        </w:rPr>
        <w:t>least 1 month after the third dose for all participants enrolled under protocol amendment 18.</w:t>
      </w:r>
    </w:p>
    <w:p>
      <w:r>
        <w:rPr>
          <w:b w:val="0"/>
          <w:i w:val="0"/>
        </w:rPr>
        <w:t xml:space="preserve">For participants who receive a fourth (or fifth) dose of BNT162b2 at Visit 601 (or 604), AEs </w:t>
      </w:r>
      <w:r>
        <w:rPr>
          <w:b w:val="0"/>
          <w:i w:val="0"/>
        </w:rPr>
        <w:t xml:space="preserve">and SAEs will be collected from the time the participant provides informed consent (for </w:t>
      </w:r>
      <w:r>
        <w:rPr>
          <w:b w:val="0"/>
          <w:i w:val="0"/>
        </w:rPr>
        <w:t>administration of the fourth [or fifth] dose of BNT162b2) through Visit 602 (or 605)</w:t>
      </w:r>
      <w:r>
        <w:rPr>
          <w:b w:val="0"/>
          <w:i w:val="0"/>
        </w:rPr>
        <w:t>(1 month after the fourth [or fifth] dose of BNT162b2).</w:t>
      </w:r>
    </w:p>
    <w:p>
      <w:r>
        <w:rPr>
          <w:b w:val="0"/>
          <w:i w:val="0"/>
        </w:rPr>
        <w:t xml:space="preserve">Follow-up by the investigator continues throughout and after the active collection period and </w:t>
      </w:r>
      <w:r>
        <w:rPr>
          <w:b w:val="0"/>
          <w:i w:val="0"/>
        </w:rPr>
        <w:t xml:space="preserve">until the AE or SAE or its sequelae resolve or stabilize at a level acceptable to the </w:t>
      </w:r>
      <w:r>
        <w:rPr>
          <w:b w:val="0"/>
          <w:i w:val="0"/>
        </w:rPr>
        <w:t>investigator and Pfizer concurs with that assessment.</w:t>
      </w:r>
    </w:p>
    <w:p>
      <w:r>
        <w:rPr>
          <w:b w:val="0"/>
          <w:i w:val="0"/>
        </w:rPr>
        <w:t xml:space="preserve">For participants who are screen failures, the active collection period ends when screen failure </w:t>
      </w:r>
      <w:r>
        <w:rPr>
          <w:b w:val="0"/>
          <w:i w:val="0"/>
        </w:rPr>
        <w:t>status is determined.</w:t>
      </w:r>
    </w:p>
    <w:p>
      <w:r>
        <w:rPr>
          <w:b w:val="0"/>
          <w:i w:val="0"/>
        </w:rPr>
        <w:t xml:space="preserve">If the participant withdraws from the study and also withdraws consent for the collection of </w:t>
      </w:r>
      <w:r>
        <w:rPr>
          <w:b w:val="0"/>
          <w:i w:val="0"/>
        </w:rPr>
        <w:t>future information, the active collection period ends when consent is withdrawn.</w:t>
      </w:r>
    </w:p>
    <w:p>
      <w:r>
        <w:rPr>
          <w:b w:val="0"/>
          <w:i w:val="0"/>
        </w:rPr>
        <w:t xml:space="preserve">If a participant definitively discontinues or temporarily discontinues study intervention </w:t>
      </w:r>
      <w:r>
        <w:rPr>
          <w:b w:val="0"/>
          <w:i w:val="0"/>
        </w:rPr>
        <w:t xml:space="preserve">because of an AE or SAE, the AE or SAE must be recorded on the CRF and the SAE </w:t>
      </w:r>
      <w:r>
        <w:rPr>
          <w:b w:val="0"/>
          <w:i w:val="0"/>
        </w:rPr>
        <w:t>reported using the Vaccine SAE Report Form.</w:t>
      </w:r>
    </w:p>
    <w:p>
      <w:r>
        <w:rPr>
          <w:b w:val="0"/>
          <w:i w:val="0"/>
        </w:rPr>
        <w:t xml:space="preserve">Investigators are not obligated to actively seek AEs or SAEs after the participant has </w:t>
      </w:r>
      <w:r>
        <w:rPr>
          <w:b w:val="0"/>
          <w:i w:val="0"/>
        </w:rPr>
        <w:t xml:space="preserve">concluded study participation.  However, if the investigator learns of any SAE, including a </w:t>
      </w:r>
      <w:r>
        <w:rPr>
          <w:b w:val="0"/>
          <w:i w:val="0"/>
        </w:rPr>
        <w:t xml:space="preserve">death, at any time after a participant has completed the study, and he/she considers the event </w:t>
      </w:r>
      <w:r>
        <w:rPr>
          <w:b w:val="0"/>
          <w:i w:val="0"/>
        </w:rPr>
        <w:t xml:space="preserve">to be reasonably related to the study intervention, the investigator must promptly report the </w:t>
      </w:r>
      <w:r>
        <w:rPr>
          <w:b w:val="0"/>
          <w:i w:val="0"/>
        </w:rPr>
        <w:t>SAE to Pfizer using the Vaccine SAE Report 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