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9.3. Analysis Sets</w:t>
      </w:r>
    </w:p>
    <w:p>
      <w:r>
        <w:rPr>
          <w:b w:val="0"/>
          <w:i w:val="0"/>
        </w:rPr>
        <w:t>For purposes of analysis, the following populations are defined: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Enrolled</w:t>
            </w:r>
          </w:p>
        </w:tc>
        <w:tc>
          <w:tcPr>
            <w:tcW w:type="dxa" w:w="4320"/>
          </w:tcPr>
          <w:p>
            <w:r>
              <w:t>All participants who have a signed ICD.</w:t>
            </w:r>
          </w:p>
        </w:tc>
      </w:tr>
      <w:tr>
        <w:tc>
          <w:tcPr>
            <w:tcW w:type="dxa" w:w="4320"/>
          </w:tcPr>
          <w:p>
            <w:r>
              <w:t>Randomized</w:t>
            </w:r>
          </w:p>
        </w:tc>
        <w:tc>
          <w:tcPr>
            <w:tcW w:type="dxa" w:w="4320"/>
          </w:tcPr>
          <w:p>
            <w:r>
              <w:t>All participants who are assigned a randomization number in</w:t>
              <w:br/>
              <w:t>the IWR system.</w:t>
            </w:r>
          </w:p>
        </w:tc>
      </w:tr>
      <w:tr>
        <w:tc>
          <w:tcPr>
            <w:tcW w:type="dxa" w:w="4320"/>
          </w:tcPr>
          <w:p>
            <w:r>
              <w:t>Dose 1 evaluable</w:t>
              <w:br/>
              <w:t>immunogenicity</w:t>
            </w:r>
          </w:p>
        </w:tc>
        <w:tc>
          <w:tcPr>
            <w:tcW w:type="dxa" w:w="4320"/>
          </w:tcPr>
          <w:p>
            <w:r>
              <w:t>For Phase 1 only, all eligible randomized participants who</w:t>
              <w:br/>
              <w:t>receive the vaccine to which they are randomly assigned at the</w:t>
              <w:br/>
              <w:t>first dose, have at least 1 valid and determinate</w:t>
              <w:br/>
              <w:t>immunogenicity result after Dose 1, have blood collection</w:t>
              <w:br/>
              <w:t>within an appropriate window after Dose 1, and have no other</w:t>
              <w:br/>
              <w:t>important protocol deviations as determined by the clinician.</w:t>
            </w:r>
          </w:p>
        </w:tc>
      </w:tr>
      <w:tr>
        <w:tc>
          <w:tcPr>
            <w:tcW w:type="dxa" w:w="4320"/>
          </w:tcPr>
          <w:p>
            <w:r>
              <w:t>Dose 2 evaluable</w:t>
              <w:br/>
              <w:t>immunogenicity</w:t>
            </w:r>
          </w:p>
        </w:tc>
        <w:tc>
          <w:tcPr>
            <w:tcW w:type="dxa" w:w="4320"/>
          </w:tcPr>
          <w:p>
            <w:r>
              <w:t>All eligible randomized participants who receive 2 doses of</w:t>
              <w:br/>
              <w:t>the vaccine to which they are randomly assigned, within the</w:t>
              <w:br/>
              <w:t>predefined window, have at least 1 valid and determinate</w:t>
              <w:br/>
              <w:t>immunogenicity result after Dose 2, have blood collection</w:t>
              <w:br/>
              <w:t>within an appropriate window after Dose 2, and have no other</w:t>
              <w:br/>
              <w:t>important protocol deviations as determined by the clinician.</w:t>
            </w:r>
          </w:p>
        </w:tc>
      </w:tr>
      <w:tr>
        <w:tc>
          <w:tcPr>
            <w:tcW w:type="dxa" w:w="4320"/>
          </w:tcPr>
          <w:p>
            <w:r>
              <w:t>Dose 3 booster evaluable</w:t>
              <w:br/>
              <w:t>immunogenicity</w:t>
            </w:r>
          </w:p>
        </w:tc>
        <w:tc>
          <w:tcPr>
            <w:tcW w:type="dxa" w:w="4320"/>
          </w:tcPr>
          <w:p>
            <w:r>
              <w:t>All eligible randomized participants who receive 2 doses of</w:t>
              <w:br/>
              <w:t>BNT162b2 (or BNT162b1 for Phase 1) as initially</w:t>
              <w:br/>
              <w:t>randomized, with Dose 2 received within the predefined</w:t>
              <w:br/>
              <w:t>window, receive a third dose of BNT162b2 or BNT162b2 as</w:t>
              <w:br/>
              <w:t>SA</w:t>
              <w:br/>
              <w:t>rerandomized (or receive a third dose of BNT162b2 for</w:t>
              <w:br/>
              <w:t>Phase 1), have at least 1 valid and determinate</w:t>
              <w:br/>
              <w:t>immunogenicity result after Dose 3 from a blood collection</w:t>
              <w:br/>
              <w:t>within an appropriate window, and have no other important</w:t>
              <w:br/>
              <w:t>protocol deviations as determined by the clinician.</w:t>
            </w:r>
          </w:p>
        </w:tc>
      </w:tr>
      <w:tr>
        <w:tc>
          <w:tcPr>
            <w:tcW w:type="dxa" w:w="4320"/>
          </w:tcPr>
          <w:p>
            <w:r>
              <w:t>Dose 4 booster evaluable</w:t>
              <w:br/>
              <w:t>immunogenicity</w:t>
            </w:r>
          </w:p>
        </w:tc>
        <w:tc>
          <w:tcPr>
            <w:tcW w:type="dxa" w:w="4320"/>
          </w:tcPr>
          <w:p>
            <w:r>
              <w:t>All eligible randomized participants who receive 2 doses of</w:t>
              <w:br/>
              <w:t>BNT162b2 as initially randomized, with Dose 2 received</w:t>
              <w:br/>
              <w:t>within the predefined window, receive 2 booster doses of</w:t>
              <w:br/>
              <w:t>BNT162b2 as rerandomized, have at least 1 valid and</w:t>
              <w:br/>
              <w:t>SA</w:t>
              <w:br/>
              <w:t>determinate immunogenicity result after Dose 4 from a blood</w:t>
              <w:br/>
              <w:t>collection within an appropriate window, and have no other</w:t>
              <w:br/>
              <w:t>important protocol deviations as determined by the clinician.</w:t>
            </w:r>
          </w:p>
        </w:tc>
      </w:tr>
      <w:tr>
        <w:tc>
          <w:tcPr>
            <w:tcW w:type="dxa" w:w="4320"/>
          </w:tcPr>
          <w:p>
            <w:r>
              <w:t>Dose 1 all-available</w:t>
              <w:br/>
              <w:t>immunogenicity</w:t>
            </w:r>
          </w:p>
        </w:tc>
        <w:tc>
          <w:tcPr>
            <w:tcW w:type="dxa" w:w="4320"/>
          </w:tcPr>
          <w:p>
            <w:r>
              <w:t>For Phase 1 only: all randomized participants who receive at</w:t>
              <w:br/>
              <w:t>least 1 dose of the study intervention with at least 1 valid and</w:t>
              <w:br/>
              <w:t>determinate immunogenicity result after Dose 1 but before</w:t>
              <w:br/>
              <w:t>Dose 2.</w:t>
            </w:r>
          </w:p>
        </w:tc>
      </w:tr>
      <w:tr>
        <w:tc>
          <w:tcPr>
            <w:tcW w:type="dxa" w:w="4320"/>
          </w:tcPr>
          <w:p>
            <w:r>
              <w:t>Dose 2 all-available</w:t>
              <w:br/>
              <w:t>immunogenicity</w:t>
            </w:r>
          </w:p>
        </w:tc>
        <w:tc>
          <w:tcPr>
            <w:tcW w:type="dxa" w:w="4320"/>
          </w:tcPr>
          <w:p>
            <w:r>
              <w:t>All randomized participants who receive at least 1 dose of the</w:t>
              <w:br/>
              <w:t>study intervention with at least 1 valid and determinate</w:t>
              <w:br/>
              <w:t>immunogenicity result after Dose 2.</w:t>
            </w:r>
          </w:p>
        </w:tc>
      </w:tr>
    </w:tbl>
    <w:p>
      <w:r>
        <w:rPr>
          <w:b/>
        </w:rPr>
        <w:t>Population</w:t>
      </w:r>
    </w:p>
    <w:p>
      <w:r>
        <w:rPr>
          <w:b/>
        </w:rPr>
        <w:t>Description</w:t>
      </w:r>
    </w:p>
    <w:p>
      <w:r>
        <w:rPr>
          <w:b w:val="0"/>
          <w:i w:val="0"/>
        </w:rPr>
        <w:t>Enrolled</w:t>
      </w:r>
      <w:r>
        <w:rPr>
          <w:b w:val="0"/>
          <w:i w:val="0"/>
        </w:rPr>
        <w:t>All participants who have a signed ICD.</w:t>
      </w:r>
      <w:r>
        <w:rPr>
          <w:b w:val="0"/>
          <w:i w:val="0"/>
        </w:rPr>
        <w:t>Randomized</w:t>
      </w:r>
      <w:r>
        <w:rPr>
          <w:b w:val="0"/>
          <w:i w:val="0"/>
        </w:rPr>
        <w:t xml:space="preserve">All participants who are assigned a randomization number in </w:t>
      </w:r>
      <w:r>
        <w:rPr>
          <w:b w:val="0"/>
          <w:i w:val="0"/>
        </w:rPr>
        <w:t>the IWR system.</w:t>
      </w:r>
      <w:r>
        <w:rPr>
          <w:b w:val="0"/>
          <w:i w:val="0"/>
        </w:rPr>
        <w:t xml:space="preserve">Dose 1 evaluable </w:t>
      </w:r>
      <w:r>
        <w:rPr>
          <w:b w:val="0"/>
          <w:i w:val="0"/>
        </w:rPr>
        <w:t xml:space="preserve">For Phase 1 only, all eligible randomized participants who </w:t>
      </w:r>
      <w:r>
        <w:rPr>
          <w:b w:val="0"/>
          <w:i w:val="0"/>
        </w:rPr>
        <w:t>immunogenicity</w:t>
      </w:r>
      <w:r>
        <w:rPr>
          <w:b w:val="0"/>
          <w:i w:val="0"/>
        </w:rPr>
        <w:t xml:space="preserve">receive the vaccine to which they are randomly assigned at the </w:t>
      </w:r>
      <w:r>
        <w:rPr>
          <w:b w:val="0"/>
          <w:i w:val="0"/>
        </w:rPr>
        <w:t xml:space="preserve">first dose, have at least 1 valid and determinate </w:t>
      </w:r>
      <w:r>
        <w:rPr>
          <w:b w:val="0"/>
          <w:i w:val="0"/>
        </w:rPr>
        <w:t xml:space="preserve">immunogenicity result after Dose 1, have blood collection </w:t>
      </w:r>
      <w:r>
        <w:rPr>
          <w:b w:val="0"/>
          <w:i w:val="0"/>
        </w:rPr>
        <w:t xml:space="preserve">within an appropriate window after Dose 1, and have no other </w:t>
      </w:r>
      <w:r>
        <w:rPr>
          <w:b w:val="0"/>
          <w:i w:val="0"/>
        </w:rPr>
        <w:t>important protocol deviations as determined by the clinician.</w:t>
      </w:r>
      <w:r>
        <w:rPr>
          <w:b w:val="0"/>
          <w:i w:val="0"/>
        </w:rPr>
        <w:t xml:space="preserve">Dose 2 evaluable </w:t>
      </w:r>
      <w:r>
        <w:rPr>
          <w:b w:val="0"/>
          <w:i w:val="0"/>
        </w:rPr>
        <w:t xml:space="preserve">All eligible randomized participants who receive 2 doses of </w:t>
      </w:r>
      <w:r>
        <w:rPr>
          <w:b w:val="0"/>
          <w:i w:val="0"/>
        </w:rPr>
        <w:t>immunogenicity</w:t>
      </w:r>
      <w:r>
        <w:rPr>
          <w:b w:val="0"/>
          <w:i w:val="0"/>
        </w:rPr>
        <w:t xml:space="preserve">the vaccine to which they are randomly assigned, within the </w:t>
      </w:r>
      <w:r>
        <w:rPr>
          <w:b w:val="0"/>
          <w:i w:val="0"/>
        </w:rPr>
        <w:t xml:space="preserve">predefined window, have at least 1 valid and determinate </w:t>
      </w:r>
      <w:r>
        <w:rPr>
          <w:b w:val="0"/>
          <w:i w:val="0"/>
        </w:rPr>
        <w:t xml:space="preserve">immunogenicity result after Dose 2, have blood collection </w:t>
      </w:r>
      <w:r>
        <w:rPr>
          <w:b w:val="0"/>
          <w:i w:val="0"/>
        </w:rPr>
        <w:t xml:space="preserve">within an appropriate window after Dose 2, and have no other </w:t>
      </w:r>
      <w:r>
        <w:rPr>
          <w:b w:val="0"/>
          <w:i w:val="0"/>
        </w:rPr>
        <w:t>important protocol deviations as determined by the clinician.</w:t>
      </w:r>
      <w:r>
        <w:rPr>
          <w:b w:val="0"/>
          <w:i w:val="0"/>
        </w:rPr>
        <w:t xml:space="preserve">Dose 3 booster evaluable </w:t>
      </w:r>
      <w:r>
        <w:rPr>
          <w:b w:val="0"/>
          <w:i w:val="0"/>
        </w:rPr>
        <w:t xml:space="preserve">All eligible randomized participants who receive 2 doses of </w:t>
      </w:r>
      <w:r>
        <w:rPr>
          <w:b w:val="0"/>
          <w:i w:val="0"/>
        </w:rPr>
        <w:t>immunogenicity</w:t>
      </w:r>
      <w:r>
        <w:rPr>
          <w:b w:val="0"/>
          <w:i w:val="0"/>
        </w:rPr>
        <w:t>BNT162b2 (or BNT162b1 for Phase 1) as initially</w:t>
      </w:r>
      <w:r>
        <w:rPr>
          <w:b w:val="0"/>
          <w:i w:val="0"/>
        </w:rPr>
        <w:t xml:space="preserve">randomized, with Dose 2 received within the predefined </w:t>
      </w:r>
      <w:r>
        <w:rPr>
          <w:b w:val="0"/>
          <w:i w:val="0"/>
        </w:rPr>
        <w:t>window, receive a third dose of BNT162b2 or BNT162b2</w:t>
      </w:r>
      <w:r>
        <w:rPr>
          <w:b w:val="0"/>
          <w:i w:val="0"/>
        </w:rPr>
        <w:t>SA</w:t>
      </w:r>
      <w:r>
        <w:rPr>
          <w:b w:val="0"/>
          <w:i w:val="0"/>
        </w:rPr>
        <w:t xml:space="preserve"> as </w:t>
      </w:r>
      <w:r>
        <w:rPr>
          <w:b w:val="0"/>
          <w:i w:val="0"/>
        </w:rPr>
        <w:t xml:space="preserve">rerandomized (or receive a third dose of BNT162b2 for </w:t>
      </w:r>
      <w:r>
        <w:rPr>
          <w:b w:val="0"/>
          <w:i w:val="0"/>
        </w:rPr>
        <w:t xml:space="preserve">Phase 1), have at least 1 valid and determinate </w:t>
      </w:r>
      <w:r>
        <w:rPr>
          <w:b w:val="0"/>
          <w:i w:val="0"/>
        </w:rPr>
        <w:t xml:space="preserve">immunogenicity result after Dose 3 from a blood collection </w:t>
      </w:r>
      <w:r>
        <w:rPr>
          <w:b w:val="0"/>
          <w:i w:val="0"/>
        </w:rPr>
        <w:t xml:space="preserve">within an appropriate window, and have no other important </w:t>
      </w:r>
    </w:p>
    <w:p>
      <w:r>
        <w:rPr>
          <w:b w:val="0"/>
          <w:i w:val="0"/>
        </w:rPr>
        <w:t xml:space="preserve">Dose 4 booster evaluable </w:t>
      </w:r>
      <w:r>
        <w:rPr>
          <w:b w:val="0"/>
          <w:i w:val="0"/>
        </w:rPr>
        <w:t xml:space="preserve">All eligible randomized participants who receive 2 doses of </w:t>
      </w:r>
      <w:r>
        <w:rPr>
          <w:b w:val="0"/>
          <w:i w:val="0"/>
        </w:rPr>
        <w:t>immunogenicity</w:t>
      </w:r>
      <w:r>
        <w:rPr>
          <w:b w:val="0"/>
          <w:i w:val="0"/>
        </w:rPr>
        <w:t xml:space="preserve">BNT162b2 as initially randomized, with Dose 2 received </w:t>
      </w:r>
      <w:r>
        <w:rPr>
          <w:b w:val="0"/>
          <w:i w:val="0"/>
        </w:rPr>
        <w:t xml:space="preserve">within the predefined window, receive 2 booster doses of </w:t>
      </w:r>
      <w:r>
        <w:rPr>
          <w:b w:val="0"/>
          <w:i w:val="0"/>
        </w:rPr>
        <w:t>BNT162b2</w:t>
      </w:r>
      <w:r>
        <w:rPr>
          <w:b w:val="0"/>
          <w:i w:val="0"/>
        </w:rPr>
        <w:t>SA</w:t>
      </w:r>
      <w:r>
        <w:rPr>
          <w:b w:val="0"/>
          <w:i w:val="0"/>
        </w:rPr>
        <w:t xml:space="preserve"> as rerandomized, have at least 1 valid and </w:t>
      </w:r>
      <w:r>
        <w:rPr>
          <w:b w:val="0"/>
          <w:i w:val="0"/>
        </w:rPr>
        <w:t xml:space="preserve">determinate immunogenicity result after Dose 4 from a blood </w:t>
      </w:r>
      <w:r>
        <w:rPr>
          <w:b w:val="0"/>
          <w:i w:val="0"/>
        </w:rPr>
        <w:t xml:space="preserve">collection within an appropriate window, and have no other </w:t>
      </w:r>
      <w:r>
        <w:rPr>
          <w:b w:val="0"/>
          <w:i w:val="0"/>
        </w:rPr>
        <w:t>important protocol deviations as determined by the clinician.</w:t>
      </w:r>
      <w:r>
        <w:rPr>
          <w:b w:val="0"/>
          <w:i w:val="0"/>
        </w:rPr>
        <w:t xml:space="preserve">Dose 1 all-available </w:t>
      </w:r>
      <w:r>
        <w:rPr>
          <w:b w:val="0"/>
          <w:i w:val="0"/>
        </w:rPr>
        <w:t xml:space="preserve">For Phase 1 only: all randomized participants who receive at </w:t>
      </w:r>
      <w:r>
        <w:rPr>
          <w:b w:val="0"/>
          <w:i w:val="0"/>
        </w:rPr>
        <w:t>immunogenicity</w:t>
      </w:r>
      <w:r>
        <w:rPr>
          <w:b w:val="0"/>
          <w:i w:val="0"/>
        </w:rPr>
        <w:t xml:space="preserve">least 1 dose of the study intervention with at least 1 valid and </w:t>
      </w:r>
      <w:r>
        <w:rPr>
          <w:b w:val="0"/>
          <w:i w:val="0"/>
        </w:rPr>
        <w:t xml:space="preserve">determinate immunogenicity result after Dose 1 but before </w:t>
      </w:r>
      <w:r>
        <w:rPr>
          <w:b w:val="0"/>
          <w:i w:val="0"/>
        </w:rPr>
        <w:t>Dose 2.</w:t>
      </w:r>
      <w:r>
        <w:rPr>
          <w:b w:val="0"/>
          <w:i w:val="0"/>
        </w:rPr>
        <w:t xml:space="preserve">Dose 2 all-available </w:t>
      </w:r>
      <w:r>
        <w:rPr>
          <w:b w:val="0"/>
          <w:i w:val="0"/>
        </w:rPr>
        <w:t xml:space="preserve">All randomized participants who receive at least 1 dose of the </w:t>
      </w:r>
      <w:r>
        <w:rPr>
          <w:b w:val="0"/>
          <w:i w:val="0"/>
        </w:rPr>
        <w:t>immunogenicity</w:t>
      </w:r>
      <w:r>
        <w:rPr>
          <w:b w:val="0"/>
          <w:i w:val="0"/>
        </w:rPr>
        <w:t xml:space="preserve">study intervention with at least 1 valid and determinate </w:t>
      </w:r>
      <w:r>
        <w:rPr>
          <w:b w:val="0"/>
          <w:i w:val="0"/>
        </w:rPr>
        <w:t>immunogenicity result after Dose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Dose 3 booster all-available</w:t>
              <w:br/>
              <w:t>immunogenicity</w:t>
            </w:r>
          </w:p>
        </w:tc>
        <w:tc>
          <w:tcPr>
            <w:tcW w:type="dxa" w:w="4320"/>
          </w:tcPr>
          <w:p>
            <w:r>
              <w:t>All randomized participants who receive 2 doses of</w:t>
              <w:br/>
              <w:t>BNT162b2 (or BNT162b1 for Phase 1) at initial</w:t>
              <w:br/>
              <w:t>randomization, receive a third dose of BNT162b2 or</w:t>
              <w:br/>
              <w:t>BNT162b2 at rerandomization (or receive a third dose of</w:t>
              <w:br/>
              <w:t>SA</w:t>
              <w:br/>
              <w:t>BNT162b2 for Phase 1), and have at least 1 valid and</w:t>
              <w:br/>
              <w:t>determinate immunogenicity result after Dose 3.</w:t>
            </w:r>
          </w:p>
        </w:tc>
      </w:tr>
      <w:tr>
        <w:tc>
          <w:tcPr>
            <w:tcW w:type="dxa" w:w="4320"/>
          </w:tcPr>
          <w:p>
            <w:r>
              <w:t>Dose 4 booster all-available</w:t>
              <w:br/>
              <w:t>immunogenicity</w:t>
            </w:r>
          </w:p>
        </w:tc>
        <w:tc>
          <w:tcPr>
            <w:tcW w:type="dxa" w:w="4320"/>
          </w:tcPr>
          <w:p>
            <w:r>
              <w:t>All randomized participants who receive 2 doses of</w:t>
              <w:br/>
              <w:t>BNT162b2 at initial randomization, receive 2 booster doses of</w:t>
              <w:br/>
              <w:t>BNT162b2 at rerandomization, and have at least 1 valid and</w:t>
              <w:br/>
              <w:t>SA</w:t>
              <w:br/>
              <w:t>determinate immunogenicity result after Dose 4.</w:t>
            </w:r>
          </w:p>
        </w:tc>
      </w:tr>
      <w:tr>
        <w:tc>
          <w:tcPr>
            <w:tcW w:type="dxa" w:w="4320"/>
          </w:tcPr>
          <w:p>
            <w:r>
              <w:t>Evaluable efficacy</w:t>
            </w:r>
          </w:p>
        </w:tc>
        <w:tc>
          <w:tcPr>
            <w:tcW w:type="dxa" w:w="4320"/>
          </w:tcPr>
          <w:p>
            <w:r>
              <w:t>All eligible randomized participants who receive all</w:t>
              <w:br/>
              <w:t>vaccination(s) as randomized within the predefined window</w:t>
              <w:br/>
              <w:t>and have no other important protocol deviations as determined</w:t>
              <w:br/>
              <w:t>by the clinician.</w:t>
            </w:r>
          </w:p>
        </w:tc>
      </w:tr>
      <w:tr>
        <w:tc>
          <w:tcPr>
            <w:tcW w:type="dxa" w:w="4320"/>
          </w:tcPr>
          <w:p>
            <w:r>
              <w:t>Evaluable efficacy</w:t>
              <w:br/>
              <w:t>(seroconversion)</w:t>
            </w:r>
          </w:p>
        </w:tc>
        <w:tc>
          <w:tcPr>
            <w:tcW w:type="dxa" w:w="4320"/>
          </w:tcPr>
          <w:p>
            <w:r>
              <w:t>All eligible randomized participants who receive all</w:t>
              <w:br/>
              <w:t>vaccinations as randomized, with Dose 2 received within the</w:t>
              <w:br/>
              <w:t>predefined window, have at least 1 N-binding antibody test</w:t>
              <w:br/>
              <w:t>result available at a post–Dose 2 visit, and have no other</w:t>
              <w:br/>
              <w:t>important protocol deviations as determined by the clinician</w:t>
              <w:br/>
              <w:t>prior to the first post–Dose 2 N-binding antibody test.</w:t>
            </w:r>
          </w:p>
        </w:tc>
      </w:tr>
      <w:tr>
        <w:tc>
          <w:tcPr>
            <w:tcW w:type="dxa" w:w="4320"/>
          </w:tcPr>
          <w:p>
            <w:r>
              <w:t>Evaluable efficacy</w:t>
              <w:br/>
              <w:t>(asymptomatic</w:t>
              <w:br/>
              <w:t>surveillance)</w:t>
            </w:r>
          </w:p>
        </w:tc>
        <w:tc>
          <w:tcPr>
            <w:tcW w:type="dxa" w:w="4320"/>
          </w:tcPr>
          <w:p>
            <w:r>
              <w:t>All eligible randomized participants who receive all</w:t>
              <w:br/>
              <w:t>vaccinations as randomized, with Dose 2 received within the</w:t>
              <w:br/>
              <w:t>predefined window, consent to participate in the asymptomatic</w:t>
              <w:br/>
              <w:t>surveillance, and have no other important protocol deviations</w:t>
              <w:br/>
              <w:t>as determined by the clinician on or before the start of the</w:t>
              <w:br/>
              <w:t>asymptomatic surveillance period.</w:t>
            </w:r>
          </w:p>
        </w:tc>
      </w:tr>
      <w:tr>
        <w:tc>
          <w:tcPr>
            <w:tcW w:type="dxa" w:w="4320"/>
          </w:tcPr>
          <w:p>
            <w:r>
              <w:t>All-available efficacy</w:t>
            </w:r>
          </w:p>
        </w:tc>
        <w:tc>
          <w:tcPr>
            <w:tcW w:type="dxa" w:w="4320"/>
          </w:tcPr>
          <w:p>
            <w:r>
              <w:t>Dose 1 all-available: All randomized participants who receive</w:t>
              <w:br/>
              <w:t>at least 1 vaccination.</w:t>
              <w:br/>
              <w:t>Dose 2 all-available: All randomized participants who</w:t>
              <w:br/>
              <w:t>complete 2 vaccination doses.</w:t>
              <w:br/>
              <w:t>Dose 3 all-available: All randomized participants who</w:t>
              <w:br/>
              <w:t>complete 3 vaccination doses.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All randomized participants who receive at least 1 dose of the</w:t>
              <w:br/>
              <w:t>study intervention.</w:t>
              <w:br/>
              <w:t>Analyses of reactogenicity endpoints will be based on a subset</w:t>
              <w:br/>
              <w:t>of the safety population that includes participants with any</w:t>
              <w:br/>
              <w:t>e-diary data reported after vaccination.</w:t>
            </w:r>
          </w:p>
        </w:tc>
      </w:tr>
      <w:tr>
        <w:tc>
          <w:tcPr>
            <w:tcW w:type="dxa" w:w="4320"/>
          </w:tcPr>
          <w:p>
            <w:r>
              <w:t>Booster safety</w:t>
            </w:r>
          </w:p>
        </w:tc>
        <w:tc>
          <w:tcPr>
            <w:tcW w:type="dxa" w:w="4320"/>
          </w:tcPr>
          <w:p>
            <w:r>
              <w:t>All participants who receive at least 1 booster dose of the</w:t>
              <w:br/>
              <w:t>study intervention.</w:t>
            </w:r>
          </w:p>
        </w:tc>
      </w:tr>
    </w:tbl>
    <w:p>
      <w:r>
        <w:rPr>
          <w:b/>
        </w:rPr>
        <w:t>Population</w:t>
      </w:r>
    </w:p>
    <w:p>
      <w:r>
        <w:rPr>
          <w:b/>
        </w:rPr>
        <w:t>Description</w:t>
      </w:r>
    </w:p>
    <w:p>
      <w:r>
        <w:rPr>
          <w:b w:val="0"/>
          <w:i w:val="0"/>
        </w:rPr>
        <w:t xml:space="preserve">Dose 3 booster all-available </w:t>
      </w:r>
      <w:r>
        <w:rPr>
          <w:b w:val="0"/>
          <w:i w:val="0"/>
        </w:rPr>
        <w:t xml:space="preserve">All randomized participants who receive 2 doses of </w:t>
      </w:r>
      <w:r>
        <w:rPr>
          <w:b w:val="0"/>
          <w:i w:val="0"/>
        </w:rPr>
        <w:t>immunogenicity</w:t>
      </w:r>
      <w:r>
        <w:rPr>
          <w:b w:val="0"/>
          <w:i w:val="0"/>
        </w:rPr>
        <w:t xml:space="preserve">BNT162b2 (or BNT162b1 for Phase 1) at initial </w:t>
      </w:r>
      <w:r>
        <w:rPr>
          <w:b w:val="0"/>
          <w:i w:val="0"/>
        </w:rPr>
        <w:t xml:space="preserve">randomization, receive a third dose of BNT162b2 or </w:t>
      </w:r>
      <w:r>
        <w:rPr>
          <w:b w:val="0"/>
          <w:i w:val="0"/>
        </w:rPr>
        <w:t>BNT162b2</w:t>
      </w:r>
      <w:r>
        <w:rPr>
          <w:b w:val="0"/>
          <w:i w:val="0"/>
        </w:rPr>
        <w:t>SA</w:t>
      </w:r>
      <w:r>
        <w:rPr>
          <w:b w:val="0"/>
          <w:i w:val="0"/>
        </w:rPr>
        <w:t xml:space="preserve"> at rerandomization (or receive a third dose of </w:t>
      </w:r>
      <w:r>
        <w:rPr>
          <w:b w:val="0"/>
          <w:i w:val="0"/>
        </w:rPr>
        <w:t xml:space="preserve">BNT162b2 for Phase 1), and have at least 1 valid and </w:t>
      </w:r>
      <w:r>
        <w:rPr>
          <w:b w:val="0"/>
          <w:i w:val="0"/>
        </w:rPr>
        <w:t>determinate immunogenicity result after Dose 3.</w:t>
      </w:r>
      <w:r>
        <w:rPr>
          <w:b w:val="0"/>
          <w:i w:val="0"/>
        </w:rPr>
        <w:t>Dose 4 booster all-available</w:t>
      </w:r>
      <w:r>
        <w:rPr>
          <w:b w:val="0"/>
          <w:i w:val="0"/>
        </w:rPr>
        <w:t xml:space="preserve">All randomized participants who receive 2 doses of </w:t>
      </w:r>
      <w:r>
        <w:rPr>
          <w:b w:val="0"/>
          <w:i w:val="0"/>
        </w:rPr>
        <w:t>immunogenicity</w:t>
      </w:r>
      <w:r>
        <w:rPr>
          <w:b w:val="0"/>
          <w:i w:val="0"/>
        </w:rPr>
        <w:t xml:space="preserve">BNT162b2 at initial randomization, receive 2 booster doses of </w:t>
      </w:r>
      <w:r>
        <w:rPr>
          <w:b w:val="0"/>
          <w:i w:val="0"/>
        </w:rPr>
        <w:t>BNT162b2</w:t>
      </w:r>
      <w:r>
        <w:rPr>
          <w:b w:val="0"/>
          <w:i w:val="0"/>
        </w:rPr>
        <w:t>SA</w:t>
      </w:r>
      <w:r>
        <w:rPr>
          <w:b w:val="0"/>
          <w:i w:val="0"/>
        </w:rPr>
        <w:t xml:space="preserve"> at rerandomization, and have at least 1 valid and </w:t>
      </w:r>
      <w:r>
        <w:rPr>
          <w:b w:val="0"/>
          <w:i w:val="0"/>
        </w:rPr>
        <w:t>determinate immunogenicity result after Dose 4.</w:t>
      </w:r>
      <w:r>
        <w:rPr>
          <w:b w:val="0"/>
          <w:i w:val="0"/>
        </w:rPr>
        <w:t>Evaluable efficacy</w:t>
      </w:r>
      <w:r>
        <w:rPr>
          <w:b w:val="0"/>
          <w:i w:val="0"/>
        </w:rPr>
        <w:t xml:space="preserve">All eligible randomized participants who receive all </w:t>
      </w:r>
      <w:r>
        <w:rPr>
          <w:b w:val="0"/>
          <w:i w:val="0"/>
        </w:rPr>
        <w:t xml:space="preserve">vaccination(s) as randomized within the predefined window </w:t>
      </w:r>
      <w:r>
        <w:rPr>
          <w:b w:val="0"/>
          <w:i w:val="0"/>
        </w:rPr>
        <w:t xml:space="preserve">and have no other important protocol deviations as determined </w:t>
      </w:r>
      <w:r>
        <w:rPr>
          <w:b w:val="0"/>
          <w:i w:val="0"/>
        </w:rPr>
        <w:t>by the clinician.</w:t>
      </w:r>
      <w:r>
        <w:rPr>
          <w:b w:val="0"/>
          <w:i w:val="0"/>
        </w:rPr>
        <w:t xml:space="preserve">Evaluable efficacy </w:t>
      </w:r>
      <w:r>
        <w:rPr>
          <w:b w:val="0"/>
          <w:i w:val="0"/>
        </w:rPr>
        <w:t xml:space="preserve">All eligible randomized participants who receive all </w:t>
      </w:r>
      <w:r>
        <w:rPr>
          <w:b w:val="0"/>
          <w:i w:val="0"/>
        </w:rPr>
        <w:t>(seroconversion)</w:t>
      </w:r>
      <w:r>
        <w:rPr>
          <w:b w:val="0"/>
          <w:i w:val="0"/>
        </w:rPr>
        <w:t xml:space="preserve">vaccinations as randomized, with Dose 2 received within the </w:t>
      </w:r>
      <w:r>
        <w:rPr>
          <w:b w:val="0"/>
          <w:i w:val="0"/>
        </w:rPr>
        <w:t xml:space="preserve">predefined window, have at least 1 N-binding antibody test </w:t>
      </w:r>
      <w:r>
        <w:rPr>
          <w:b w:val="0"/>
          <w:i w:val="0"/>
        </w:rPr>
        <w:t xml:space="preserve">result available at a post–Dose 2 visit, and have no other </w:t>
      </w:r>
      <w:r>
        <w:rPr>
          <w:b w:val="0"/>
          <w:i w:val="0"/>
        </w:rPr>
        <w:t>important protocol deviations as determined by the clinician</w:t>
      </w:r>
      <w:r>
        <w:rPr>
          <w:b w:val="0"/>
          <w:i w:val="0"/>
        </w:rPr>
        <w:t>prior to the first post–Dose 2 N-binding antibody test.</w:t>
      </w:r>
      <w:r>
        <w:rPr>
          <w:b w:val="0"/>
          <w:i w:val="0"/>
        </w:rPr>
        <w:t>All eligible randomized participants who receive all</w:t>
      </w:r>
      <w:r>
        <w:rPr>
          <w:b w:val="0"/>
          <w:i w:val="0"/>
        </w:rPr>
        <w:t xml:space="preserve">Evaluable efficacy </w:t>
      </w:r>
      <w:r>
        <w:rPr>
          <w:b w:val="0"/>
          <w:i w:val="0"/>
        </w:rPr>
        <w:t>vaccinations as randomized, with Dose 2 received within the</w:t>
      </w:r>
      <w:r>
        <w:rPr>
          <w:b w:val="0"/>
          <w:i w:val="0"/>
        </w:rPr>
        <w:t xml:space="preserve">(asymptomatic </w:t>
      </w:r>
      <w:r>
        <w:rPr>
          <w:b w:val="0"/>
          <w:i w:val="0"/>
        </w:rPr>
        <w:t xml:space="preserve">predefined window, consent to participate in the asymptomatic </w:t>
      </w:r>
      <w:r>
        <w:rPr>
          <w:b w:val="0"/>
          <w:i w:val="0"/>
        </w:rPr>
        <w:t>surveillance)</w:t>
      </w:r>
      <w:r>
        <w:rPr>
          <w:b w:val="0"/>
          <w:i w:val="0"/>
        </w:rPr>
        <w:t xml:space="preserve">surveillance, and have no other important protocol deviations </w:t>
      </w:r>
      <w:r>
        <w:rPr>
          <w:b w:val="0"/>
          <w:i w:val="0"/>
        </w:rPr>
        <w:t xml:space="preserve">as determined by the clinician on or before the start of the </w:t>
      </w:r>
      <w:r>
        <w:rPr>
          <w:b w:val="0"/>
          <w:i w:val="0"/>
        </w:rPr>
        <w:t>asymptomatic surveillance period.</w:t>
      </w:r>
      <w:r>
        <w:rPr>
          <w:b w:val="0"/>
          <w:i w:val="0"/>
        </w:rPr>
        <w:t>All-available efficacy</w:t>
      </w:r>
      <w:r>
        <w:rPr>
          <w:b w:val="0"/>
          <w:i w:val="0"/>
        </w:rPr>
        <w:t xml:space="preserve">Dose 1 all-available: All randomized participants who receive </w:t>
      </w:r>
      <w:r>
        <w:rPr>
          <w:b w:val="0"/>
          <w:i w:val="0"/>
        </w:rPr>
        <w:t>at least 1 vaccination.</w:t>
      </w:r>
      <w:r>
        <w:rPr>
          <w:b w:val="0"/>
          <w:i w:val="0"/>
        </w:rPr>
        <w:t>Dose 2 all-available: All randomized participants who</w:t>
      </w:r>
      <w:r>
        <w:rPr>
          <w:b w:val="0"/>
          <w:i w:val="0"/>
        </w:rPr>
        <w:t>complete 2 vaccination doses.</w:t>
      </w:r>
      <w:r>
        <w:rPr>
          <w:b w:val="0"/>
          <w:i w:val="0"/>
        </w:rPr>
        <w:t xml:space="preserve">Dose 3 all-available: All randomized participants who </w:t>
      </w:r>
      <w:r>
        <w:rPr>
          <w:b w:val="0"/>
          <w:i w:val="0"/>
        </w:rPr>
        <w:t>complete 3 vaccination doses.</w:t>
      </w:r>
      <w:r>
        <w:rPr>
          <w:b w:val="0"/>
          <w:i w:val="0"/>
        </w:rPr>
        <w:t>Safety</w:t>
      </w:r>
      <w:r>
        <w:rPr>
          <w:b w:val="0"/>
          <w:i w:val="0"/>
        </w:rPr>
        <w:t xml:space="preserve">All randomized participants who receive at least 1 dose of the </w:t>
      </w:r>
      <w:r>
        <w:rPr>
          <w:b w:val="0"/>
          <w:i w:val="0"/>
        </w:rPr>
        <w:t>study intervention.</w:t>
      </w:r>
      <w:r>
        <w:rPr>
          <w:b w:val="0"/>
          <w:i w:val="0"/>
        </w:rPr>
        <w:t xml:space="preserve">Analyses of reactogenicity endpoints will be based on a subset </w:t>
      </w:r>
      <w:r>
        <w:rPr>
          <w:b w:val="0"/>
          <w:i w:val="0"/>
        </w:rPr>
        <w:t xml:space="preserve">of the safety population that includes participants with any </w:t>
      </w:r>
      <w:r>
        <w:rPr>
          <w:b w:val="0"/>
          <w:i w:val="0"/>
        </w:rPr>
        <w:t>e-diary data reported after vaccination.</w:t>
      </w:r>
      <w:r>
        <w:rPr>
          <w:b w:val="0"/>
          <w:i w:val="0"/>
        </w:rPr>
        <w:t>Booster safety</w:t>
      </w:r>
      <w:r>
        <w:rPr>
          <w:b w:val="0"/>
          <w:i w:val="0"/>
        </w:rPr>
        <w:t xml:space="preserve">All participants who receive at least 1 booster dose of the </w:t>
      </w:r>
      <w:r>
        <w:rPr>
          <w:b w:val="0"/>
          <w:i w:val="0"/>
        </w:rPr>
        <w:t>study intervention.</w:t>
      </w:r>
    </w:p>
    <w:p>
      <w:pPr>
        <w:pStyle w:val="Heading2"/>
      </w:pPr>
      <w:r>
        <w:t>9.4. Statistical Analyses</w:t>
      </w:r>
    </w:p>
    <w:p>
      <w:r>
        <w:rPr>
          <w:b w:val="0"/>
          <w:i w:val="0"/>
        </w:rPr>
        <w:t xml:space="preserve">The SAP will be developed and finalized before database lock for any of the planned </w:t>
      </w:r>
      <w:r>
        <w:rPr>
          <w:b w:val="0"/>
          <w:i w:val="0"/>
        </w:rPr>
        <w:t>analyses in</w:t>
      </w:r>
      <w:r>
        <w:rPr>
          <w:b w:val="0"/>
          <w:i w:val="0"/>
        </w:rPr>
        <w:t xml:space="preserve"> Section 9.5.1</w:t>
      </w:r>
      <w:r>
        <w:rPr>
          <w:b w:val="0"/>
          <w:i w:val="0"/>
        </w:rPr>
        <w:t xml:space="preserve">.  It will describe the participant populations to be included in the </w:t>
      </w:r>
      <w:r>
        <w:rPr>
          <w:b w:val="0"/>
          <w:i w:val="0"/>
        </w:rPr>
        <w:t xml:space="preserve">analyses and the procedures for accounting for missing, unused, and spurious data.  This </w:t>
      </w:r>
      <w:r>
        <w:rPr>
          <w:b w:val="0"/>
          <w:i w:val="0"/>
        </w:rPr>
        <w:t xml:space="preserve">section provides a summary of the planned statistical analyses of the primary, secondary, and </w:t>
      </w:r>
      <w:r>
        <w:rPr>
          <w:b w:val="0"/>
          <w:i w:val="0"/>
        </w:rPr>
        <w:t>tertiary/exploratory endpoints.</w:t>
      </w:r>
    </w:p>
    <w:p>
      <w:pPr>
        <w:pStyle w:val="Heading3"/>
      </w:pPr>
      <w:r>
        <w:t>9.4.1. Immunogenicity Analyses</w:t>
      </w:r>
    </w:p>
    <w:p>
      <w:r>
        <w:rPr>
          <w:b w:val="0"/>
          <w:i w:val="0"/>
        </w:rPr>
        <w:t xml:space="preserve">Immunogenicity samples will be drawn for all participants. Immunogenicity analyses will be </w:t>
      </w:r>
      <w:r>
        <w:rPr>
          <w:b w:val="0"/>
          <w:i w:val="0"/>
        </w:rPr>
        <w:t>based upon results from appropriately sized subsets of samples, according to the purpose.</w:t>
      </w:r>
    </w:p>
    <w:p>
      <w:r>
        <w:rPr>
          <w:b w:val="0"/>
          <w:i w:val="0"/>
        </w:rPr>
        <w:t xml:space="preserve">The statistical analysis of immunogenicity results will be primarily based on the evaluable </w:t>
      </w:r>
      <w:r>
        <w:rPr>
          <w:b w:val="0"/>
          <w:i w:val="0"/>
        </w:rPr>
        <w:t>immunogenicity populations as defined in</w:t>
      </w:r>
      <w:r>
        <w:rPr>
          <w:b w:val="0"/>
          <w:i w:val="0"/>
        </w:rPr>
        <w:t xml:space="preserve"> Section 9.3</w:t>
      </w:r>
      <w:r>
        <w:rPr>
          <w:b w:val="0"/>
          <w:i w:val="0"/>
        </w:rPr>
        <w:t xml:space="preserve">. Serology data after a postbaseline </w:t>
      </w:r>
      <w:r>
        <w:rPr>
          <w:b w:val="0"/>
          <w:i w:val="0"/>
        </w:rPr>
        <w:t xml:space="preserve">positive SARS-CoV-2 test result will not be included in the analysis based on the evaluable </w:t>
      </w:r>
      <w:r>
        <w:rPr>
          <w:b w:val="0"/>
          <w:i w:val="0"/>
        </w:rPr>
        <w:t>immunogenicity populations.</w:t>
      </w:r>
    </w:p>
    <w:p>
      <w:r>
        <w:rPr>
          <w:b w:val="0"/>
          <w:i w:val="0"/>
        </w:rPr>
        <w:t xml:space="preserve">An additional analysis will be performed based on the all-available populations if there is a </w:t>
      </w:r>
      <w:r>
        <w:rPr>
          <w:b w:val="0"/>
          <w:i w:val="0"/>
        </w:rPr>
        <w:t xml:space="preserve">large enough difference in sample size between the all-available immunogenicity population </w:t>
      </w:r>
      <w:r>
        <w:rPr>
          <w:b w:val="0"/>
          <w:i w:val="0"/>
        </w:rPr>
        <w:t xml:space="preserve">and the evaluable immunogenicity population. Participants will be summarized according to </w:t>
      </w:r>
      <w:r>
        <w:rPr>
          <w:b w:val="0"/>
          <w:i w:val="0"/>
        </w:rPr>
        <w:t>the vaccine group to which they were randomized.</w:t>
      </w:r>
    </w:p>
    <w:p>
      <w:r>
        <w:rPr>
          <w:b w:val="0"/>
          <w:i w:val="0"/>
        </w:rPr>
        <w:t>Empirical RCDCs will be provided for all immunogenicity analyses.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Statistical Analysis Methods</w:t>
            </w:r>
          </w:p>
        </w:tc>
      </w:tr>
      <w:tr>
        <w:tc>
          <w:tcPr>
            <w:tcW w:type="dxa" w:w="4320"/>
          </w:tcPr>
          <w:p>
            <w:r>
              <w:t>Primary</w:t>
              <w:br/>
              <w:t>immunogenicity</w:t>
              <w:br/>
              <w:t>(Phase 3,</w:t>
              <w:br/>
              <w:t>boostability and</w:t>
              <w:br/>
              <w:t>protection against</w:t>
              <w:br/>
              <w:t>emerging VOCs)</w:t>
            </w:r>
          </w:p>
        </w:tc>
        <w:tc>
          <w:tcPr>
            <w:tcW w:type="dxa" w:w="4320"/>
          </w:tcPr>
          <w:p>
            <w:r>
              <w:t>In order to allow direct comparability with the reference strain, the</w:t>
              <w:br/>
              <w:t>anti-SA NTs may be adjusted to account for intrinsic variant or assay</w:t>
              <w:br/>
              <w:t>characteristics.</w:t>
              <w:br/>
              <w:t>The small group of existing Phase 3 participants who are to receive a</w:t>
              <w:br/>
              <w:t>third and fourth dose of BNT162b2 will not be included in the</w:t>
              <w:br/>
              <w:t>SA</w:t>
              <w:br/>
              <w:t>primary and secondary analyses except for the last secondary</w:t>
              <w:br/>
              <w:t>descriptive objective.</w:t>
              <w:br/>
              <w:t>BNT162b2-Experienced Participants:</w:t>
              <w:br/>
              <w:t>E1a: GMR of reference strain NT 1 month after the third dose of</w:t>
              <w:br/>
              <w:t>BNT162b2 at 30 µg to 1 month after the second dose of BNT162b2</w:t>
              <w:br/>
              <w:t>in the same individuals</w:t>
              <w:br/>
              <w:t>E2a: GMR of SA NT 1 month after 1 dose of BNT162b2 to the</w:t>
              <w:br/>
              <w:t>SA</w:t>
              <w:br/>
              <w:t>reference strain NT 1 month after the second dose of BNT162b2 in</w:t>
              <w:br/>
              <w:t>the same individuals</w:t>
              <w:br/>
              <w:t>The comparisons of different NTs (anti-SA or anti–reference strain) or</w:t>
              <w:br/>
              <w:t>the same NTs at different time points within the same group will be</w:t>
            </w:r>
          </w:p>
        </w:tc>
      </w:tr>
    </w:tbl>
    <w:p>
      <w:r>
        <w:rPr>
          <w:b/>
        </w:rPr>
        <w:t>Endpoint</w:t>
      </w:r>
    </w:p>
    <w:p>
      <w:r>
        <w:rPr>
          <w:b/>
        </w:rPr>
        <w:t>Statistical Analysis Methods</w:t>
      </w:r>
    </w:p>
    <w:p>
      <w:r>
        <w:rPr>
          <w:b w:val="0"/>
          <w:i w:val="0"/>
        </w:rPr>
        <w:t xml:space="preserve">In order to allow direct comparability with the reference strain, the </w:t>
      </w:r>
      <w:r>
        <w:rPr>
          <w:b w:val="0"/>
          <w:i w:val="0"/>
        </w:rPr>
        <w:t xml:space="preserve">Primary </w:t>
      </w:r>
      <w:r>
        <w:rPr>
          <w:b w:val="0"/>
          <w:i w:val="0"/>
        </w:rPr>
        <w:t xml:space="preserve">anti-SA NTs may be adjusted to account for intrinsic variant or assay </w:t>
      </w:r>
      <w:r>
        <w:rPr>
          <w:b w:val="0"/>
          <w:i w:val="0"/>
        </w:rPr>
        <w:t xml:space="preserve">immunogenicity </w:t>
      </w:r>
      <w:r>
        <w:rPr>
          <w:b w:val="0"/>
          <w:i w:val="0"/>
        </w:rPr>
        <w:t>characteristics.</w:t>
      </w:r>
      <w:r>
        <w:rPr>
          <w:b w:val="0"/>
          <w:i w:val="0"/>
        </w:rPr>
        <w:t xml:space="preserve">(Phase 3, </w:t>
      </w:r>
      <w:r>
        <w:rPr>
          <w:b w:val="0"/>
          <w:i w:val="0"/>
        </w:rPr>
        <w:t xml:space="preserve">boostability and </w:t>
      </w:r>
      <w:r>
        <w:rPr>
          <w:b w:val="0"/>
          <w:i w:val="0"/>
        </w:rPr>
        <w:t xml:space="preserve">The small group of existing Phase 3 participants who are to receive a </w:t>
      </w:r>
      <w:r>
        <w:rPr>
          <w:b w:val="0"/>
          <w:i w:val="0"/>
        </w:rPr>
        <w:t xml:space="preserve">protection against </w:t>
      </w:r>
      <w:r>
        <w:rPr>
          <w:b w:val="0"/>
          <w:i w:val="0"/>
        </w:rPr>
        <w:t>third and fourth dose of BNT162b2</w:t>
      </w:r>
      <w:r>
        <w:rPr>
          <w:b w:val="0"/>
          <w:i w:val="0"/>
        </w:rPr>
        <w:t>SA</w:t>
      </w:r>
      <w:r>
        <w:rPr>
          <w:b w:val="0"/>
          <w:i w:val="0"/>
        </w:rPr>
        <w:t xml:space="preserve"> will not be included in the </w:t>
      </w:r>
      <w:r>
        <w:rPr>
          <w:b w:val="0"/>
          <w:i w:val="0"/>
        </w:rPr>
        <w:t>emerging VOCs)</w:t>
      </w:r>
      <w:r>
        <w:rPr>
          <w:b w:val="0"/>
          <w:i w:val="0"/>
        </w:rPr>
        <w:t xml:space="preserve">primary and secondary analyses except for the last secondary </w:t>
      </w:r>
      <w:r>
        <w:rPr>
          <w:b w:val="0"/>
          <w:i w:val="0"/>
        </w:rPr>
        <w:t>descriptive objective.</w:t>
      </w:r>
    </w:p>
    <w:p>
      <w:r>
        <w:rPr>
          <w:b/>
        </w:rPr>
        <w:t>BNT162b2-Experienced Participants:</w:t>
      </w:r>
    </w:p>
    <w:p>
      <w:r>
        <w:rPr>
          <w:b/>
        </w:rPr>
        <w:t>E1a: GMR of reference strain NT 1 month after the third dose of</w:t>
      </w:r>
    </w:p>
    <w:p>
      <w:r>
        <w:rPr>
          <w:b/>
        </w:rPr>
        <w:t>BNT162b2 at 30 µg to 1 month after the second dose of BNT162b2</w:t>
      </w:r>
    </w:p>
    <w:p>
      <w:r>
        <w:rPr>
          <w:b/>
        </w:rPr>
        <w:t>in the same individuals</w:t>
      </w:r>
    </w:p>
    <w:p>
      <w:r>
        <w:rPr>
          <w:b/>
        </w:rPr>
        <w:t>E2a: GMR of SA NT 1 month after 1 dose of BNT162b2SA to the</w:t>
      </w:r>
    </w:p>
    <w:p>
      <w:r>
        <w:rPr>
          <w:b/>
        </w:rPr>
        <w:t>reference strain NT 1 month after the second dose of BNT162b2 in</w:t>
      </w:r>
    </w:p>
    <w:p>
      <w:r>
        <w:rPr>
          <w:b/>
        </w:rPr>
        <w:t>the same individuals</w:t>
      </w:r>
    </w:p>
    <w:p>
      <w:r>
        <w:rPr>
          <w:b w:val="0"/>
          <w:i w:val="0"/>
        </w:rPr>
        <w:t xml:space="preserve">The comparisons of different NTs (anti-SA or anti–reference strain) or </w:t>
      </w:r>
      <w:r>
        <w:rPr>
          <w:b w:val="0"/>
          <w:i w:val="0"/>
        </w:rPr>
        <w:t xml:space="preserve">the same NTs at different time points within the same group will be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Statistical Analysis Methods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limited to participants with nonmissing values at both time points or</w:t>
              <w:br/>
              <w:t>both NT measurements. GMRs will be calculated as the mean of the</w:t>
              <w:br/>
              <w:t>difference of logarithmically transformed titers for each participant (eg,</w:t>
              <w:br/>
              <w:t>later time point minus earlier time point) and exponentiating the mean.</w:t>
              <w:br/>
              <w:t>The associated 2-sided 97.5% CIs will be obtained by constructing CIs</w:t>
              <w:br/>
              <w:t>using Student’s t-distribution for the mean difference on the logarithm</w:t>
              <w:br/>
              <w:t>scale and exponentiating the confidence limits.</w:t>
              <w:br/>
              <w:t>Noninferiority of E1a and E2a will be assessed sequentially.</w:t>
              <w:br/>
              <w:t>Noninferiority will be declared if the lower bound of the 2-sided 97.5%</w:t>
              <w:br/>
              <w:t>CI for the GMR is greater than 0.67 and the point estimate of the GMR</w:t>
              <w:br/>
              <w:t>is ≥0.8.</w:t>
              <w:br/>
              <w:t>E1b: The difference in percentages of participants with</w:t>
              <w:br/>
              <w:t>seroresponse to the reference strain at 1 month after the third dose</w:t>
              <w:br/>
              <w:t>of BNT162b2 at 30 µg and 1 month after the second dose of</w:t>
              <w:br/>
              <w:t>BNT162b2 in the same individuals</w:t>
              <w:br/>
              <w:t>E2b: The difference in percentages of participants with</w:t>
              <w:br/>
              <w:t>seroresponse to the SA strain at 1 month after 1 dose of</w:t>
              <w:br/>
              <w:t>BNT162b2 and seroresponse to the reference strain at 1 month</w:t>
              <w:br/>
              <w:t>SA</w:t>
              <w:br/>
              <w:t>after the second dose of BNT162b2 in the same individuals</w:t>
              <w:br/>
              <w:t>Similar to E1a and E2a, the within-group comparisons of seroresponse</w:t>
              <w:br/>
              <w:t>to different NTs (anti-SA or anti–reference strain) or the same NTs at</w:t>
              <w:br/>
              <w:t>different time points within the same group will be limited to</w:t>
              <w:br/>
              <w:t>participants with nonmissing values at both time points or both NT</w:t>
              <w:br/>
              <w:t>measurements. The percentages of participants with seroresponse at</w:t>
              <w:br/>
              <w:t>each time point and the difference in percentages will be provided.</w:t>
              <w:br/>
              <w:t>The 2-sided 97.5% CIs for the difference in percentages of participants</w:t>
              <w:br/>
              <w:t>with seroresponse will be calculated using the adjusted Wald interval</w:t>
              <w:br/>
              <w:t>as described by Agresti and Min (2005)13 for comparing matched</w:t>
              <w:br/>
              <w:t>proportions.</w:t>
              <w:br/>
              <w:t>Noninferiority of E1b and E2b will be assessed sequentially.</w:t>
              <w:br/>
              <w:t>Noninferiority will be declared if the lower bound of the 2-sided 97.5%</w:t>
              <w:br/>
              <w:t>CI for the difference in percentages of participants with seroresponse is</w:t>
              <w:br/>
              <w:t>greater than -10%.</w:t>
              <w:br/>
              <w:t>BNT162b2-Naïve Participants:</w:t>
              <w:br/>
              <w:t>N1a: GMR of SA NT 1 month after the second dose of</w:t>
              <w:br/>
              <w:t>BNT162b2 to the reference strain NT 1 month after the second</w:t>
              <w:br/>
              <w:t>SA</w:t>
              <w:br/>
              <w:t>dose of BNT162b2</w:t>
            </w:r>
          </w:p>
        </w:tc>
      </w:tr>
    </w:tbl>
    <w:p>
      <w:r>
        <w:rPr>
          <w:b/>
        </w:rPr>
        <w:t>Endpoint</w:t>
      </w:r>
    </w:p>
    <w:p>
      <w:r>
        <w:rPr>
          <w:b/>
        </w:rPr>
        <w:t>Statistical Analysis Methods</w:t>
      </w:r>
    </w:p>
    <w:p>
      <w:r>
        <w:rPr>
          <w:b w:val="0"/>
          <w:i w:val="0"/>
        </w:rPr>
        <w:t xml:space="preserve">limited to participants with nonmissing values at both time points or </w:t>
      </w:r>
      <w:r>
        <w:rPr>
          <w:b w:val="0"/>
          <w:i w:val="0"/>
        </w:rPr>
        <w:t xml:space="preserve">both NT measurements. GMRs will be calculated as the mean of the </w:t>
      </w:r>
      <w:r>
        <w:rPr>
          <w:b w:val="0"/>
          <w:i w:val="0"/>
        </w:rPr>
        <w:t xml:space="preserve">difference of logarithmically transformed titers for each participant (eg, </w:t>
      </w:r>
      <w:r>
        <w:rPr>
          <w:b w:val="0"/>
          <w:i w:val="0"/>
        </w:rPr>
        <w:t xml:space="preserve">later time point minus earlier time point) and exponentiating the mean. </w:t>
      </w:r>
      <w:r>
        <w:rPr>
          <w:b w:val="0"/>
          <w:i w:val="0"/>
        </w:rPr>
        <w:t xml:space="preserve">The associated 2-sided 97.5% CIs will be obtained by constructing CIs </w:t>
      </w:r>
      <w:r>
        <w:rPr>
          <w:b w:val="0"/>
          <w:i w:val="0"/>
        </w:rPr>
        <w:t xml:space="preserve">using Student’s t-distribution for the mean difference on the logarithm </w:t>
      </w:r>
      <w:r>
        <w:rPr>
          <w:b w:val="0"/>
          <w:i w:val="0"/>
        </w:rPr>
        <w:t>scale and exponentiating the confidence limits.</w:t>
      </w:r>
    </w:p>
    <w:p>
      <w:r>
        <w:rPr>
          <w:b w:val="0"/>
          <w:i w:val="0"/>
        </w:rPr>
        <w:t xml:space="preserve">Noninferiority of E1a and E2a will be assessed sequentially. </w:t>
      </w:r>
      <w:r>
        <w:rPr>
          <w:b w:val="0"/>
          <w:i w:val="0"/>
        </w:rPr>
        <w:t xml:space="preserve">Noninferiority will be declared if the lower bound of the 2-sided 97.5% </w:t>
      </w:r>
      <w:r>
        <w:rPr>
          <w:b w:val="0"/>
          <w:i w:val="0"/>
        </w:rPr>
        <w:t xml:space="preserve">CI for the GMR is greater than 0.67 and the point estimate of the GMR </w:t>
      </w:r>
      <w:r>
        <w:rPr>
          <w:b w:val="0"/>
          <w:i w:val="0"/>
        </w:rPr>
        <w:t>is ≥0.8.</w:t>
      </w:r>
    </w:p>
    <w:p>
      <w:r>
        <w:rPr>
          <w:b/>
        </w:rPr>
        <w:t>E1b: The difference in percentages of participants with</w:t>
      </w:r>
    </w:p>
    <w:p>
      <w:r>
        <w:rPr>
          <w:b/>
        </w:rPr>
        <w:t>seroresponse to the reference strain at 1 month after the third dose</w:t>
      </w:r>
    </w:p>
    <w:p>
      <w:r>
        <w:rPr>
          <w:b/>
        </w:rPr>
        <w:t>of BNT162b2 at 30 µg and 1 month after the second dose of</w:t>
      </w:r>
    </w:p>
    <w:p>
      <w:r>
        <w:rPr>
          <w:b/>
        </w:rPr>
        <w:t>BNT162b2 in the same individuals</w:t>
      </w:r>
    </w:p>
    <w:p>
      <w:r>
        <w:rPr>
          <w:b/>
        </w:rPr>
        <w:t>E2b: The difference in percentages of participants with</w:t>
      </w:r>
    </w:p>
    <w:p>
      <w:r>
        <w:rPr>
          <w:b/>
        </w:rPr>
        <w:t>seroresponse to the SA strain at 1 month after 1 dose of</w:t>
      </w:r>
    </w:p>
    <w:p>
      <w:r>
        <w:rPr>
          <w:b/>
        </w:rPr>
        <w:t>BNT162b2SA and seroresponse to the reference strain at 1 month</w:t>
      </w:r>
    </w:p>
    <w:p>
      <w:r>
        <w:rPr>
          <w:b/>
        </w:rPr>
        <w:t>after the second dose of BNT162b2 in the same individuals</w:t>
      </w:r>
    </w:p>
    <w:p>
      <w:r>
        <w:rPr>
          <w:b w:val="0"/>
          <w:i w:val="0"/>
        </w:rPr>
        <w:t xml:space="preserve">Similar to E1a and E2a, the within-group comparisons of seroresponse </w:t>
      </w:r>
      <w:r>
        <w:rPr>
          <w:b w:val="0"/>
          <w:i w:val="0"/>
        </w:rPr>
        <w:t xml:space="preserve">to different NTs (anti-SA or anti–reference strain) or the same NTs at </w:t>
      </w:r>
      <w:r>
        <w:rPr>
          <w:b w:val="0"/>
          <w:i w:val="0"/>
        </w:rPr>
        <w:t xml:space="preserve">different time points within the same group will be limited to </w:t>
      </w:r>
      <w:r>
        <w:rPr>
          <w:b w:val="0"/>
          <w:i w:val="0"/>
        </w:rPr>
        <w:t xml:space="preserve">participants with nonmissing values at both time points or both NT </w:t>
      </w:r>
      <w:r>
        <w:rPr>
          <w:b w:val="0"/>
          <w:i w:val="0"/>
        </w:rPr>
        <w:t xml:space="preserve">measurements. The percentages of participants with seroresponse at </w:t>
      </w:r>
      <w:r>
        <w:rPr>
          <w:b w:val="0"/>
          <w:i w:val="0"/>
        </w:rPr>
        <w:t>each time point and the difference in percentages will be provided.</w:t>
      </w:r>
      <w:r>
        <w:rPr>
          <w:b w:val="0"/>
          <w:i w:val="0"/>
        </w:rPr>
        <w:t xml:space="preserve">The 2-sided 97.5% CIs for the difference in percentages of participants </w:t>
      </w:r>
      <w:r>
        <w:rPr>
          <w:b w:val="0"/>
          <w:i w:val="0"/>
        </w:rPr>
        <w:t xml:space="preserve">with seroresponse will be calculated using the adjusted Wald interval </w:t>
      </w:r>
      <w:r>
        <w:rPr>
          <w:b w:val="0"/>
          <w:i w:val="0"/>
        </w:rPr>
        <w:t>as described by Agresti and Min (2005)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for comparing matched </w:t>
      </w:r>
      <w:r>
        <w:rPr>
          <w:b w:val="0"/>
          <w:i w:val="0"/>
        </w:rPr>
        <w:t>proportions.</w:t>
      </w:r>
    </w:p>
    <w:p>
      <w:r>
        <w:rPr>
          <w:b w:val="0"/>
          <w:i w:val="0"/>
        </w:rPr>
        <w:t xml:space="preserve">Noninferiority of E1b and E2b will be assessed sequentially. </w:t>
      </w:r>
      <w:r>
        <w:rPr>
          <w:b w:val="0"/>
          <w:i w:val="0"/>
        </w:rPr>
        <w:t>Noninferiority will be declared if the lower bound of the 2-sided 97.5%</w:t>
      </w:r>
      <w:r>
        <w:rPr>
          <w:b w:val="0"/>
          <w:i w:val="0"/>
        </w:rPr>
        <w:t xml:space="preserve">CI for the difference in percentages of participants with seroresponse is </w:t>
      </w:r>
      <w:r>
        <w:rPr>
          <w:b w:val="0"/>
          <w:i w:val="0"/>
        </w:rPr>
        <w:t>greater than -10%.</w:t>
      </w:r>
    </w:p>
    <w:p>
      <w:r>
        <w:rPr>
          <w:b/>
        </w:rPr>
        <w:t>BNT162b2-Naïve Participants:</w:t>
      </w:r>
    </w:p>
    <w:p>
      <w:r>
        <w:rPr>
          <w:b/>
        </w:rPr>
        <w:t>N1a: GMR of SA NT 1 month after the second dose of</w:t>
      </w:r>
    </w:p>
    <w:p>
      <w:r>
        <w:rPr>
          <w:b/>
        </w:rPr>
        <w:t>BNT162b2SA to the reference strain NT 1 month after the second</w:t>
      </w:r>
    </w:p>
    <w:p>
      <w:r>
        <w:rPr>
          <w:b/>
        </w:rPr>
        <w:t>dose of BNT162b2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