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92"/>
      </w:tblGrid>
      <w:tr>
        <w:tc>
          <w:tcPr>
            <w:tcW w:type="dxa" w:w="9792"/>
            <w:shd w:val="clear" w:color="auto" w:fill="0F172A"/>
          </w:tcPr>
          <w:p>
            <w:r>
              <w:rPr>
                <w:b/>
                <w:color w:val="2DD4BF"/>
                <w:sz w:val="19"/>
              </w:rPr>
              <w:t>APEX DIGITAL SYSTEMS STUDIO · TEMPLATE 03 · SPONSORSHIP MEDIA KIT &amp; PROPOSAL</w:t>
              <w:br/>
            </w:r>
            <w:r>
              <w:rPr>
                <w:b/>
                <w:color w:val="FFFFFF"/>
                <w:sz w:val="36"/>
              </w:rPr>
              <w:t>Creator Authority Media Kit &amp; Outcome Sponsorship Rate Card</w:t>
              <w:br/>
            </w:r>
            <w:r>
              <w:rPr>
                <w:color w:val="CBD5E1"/>
                <w:sz w:val="21"/>
              </w:rPr>
              <w:t>The AI Content Creator &amp; Solopreneur Operating System — Customizable Operator SOP &amp; Commercial Template</w:t>
            </w:r>
          </w:p>
        </w:tc>
      </w:tr>
    </w:tbl>
    <w:p/>
    <w:p>
      <w:pPr>
        <w:pStyle w:val="Heading1"/>
      </w:pPr>
      <w:r>
        <w:t>Creator Authority Media Kit &amp; Outcome-Based Sponsorship Proposal</w:t>
      </w:r>
    </w:p>
    <w:p>
      <w:pPr>
        <w:pStyle w:val="Heading2"/>
      </w:pPr>
      <w:r>
        <w:t>1. Executive Partner Summary &amp; Audience Positioning</w:t>
      </w:r>
    </w:p>
    <w:p>
      <w:r>
        <w:t>Welcome to our official Creator Media Kit and Commercial Partnership Proposal. Unlike general entertainment channels that rely on passive algorithmic views, our media property operates as a high-trust educational and implementation resource for active B2B decision-makers, technical practitioners, consultants, and solo founders. Every weekly pillar tutorial, newsletter issue, and LinkedIn/X breakdown is engineered around hands-on workflow execution—meaning our audience consumes our content with open browser tabs, corporate credit cards, and immediate software evaluation intent.</w:t>
      </w:r>
    </w:p>
    <w:p>
      <w:r>
        <w:t>When your brand partners with our publication, you are not purchasing fleeting top-of-funnel impressions. You are embedding your product directly inside a documented technical workflow that practitioners bookmark, share with their engineering and operations teams, and reference for 12 to 24 months via evergreen search discovery.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Authority Metric / Channel Dimension</w:t>
            </w:r>
          </w:p>
        </w:tc>
        <w:tc>
          <w:tcPr>
            <w:tcW w:type="dxa" w:w="2448"/>
            <w:shd w:val="clear" w:color="auto" w:fill="0F172A"/>
          </w:tcPr>
          <w:p>
            <w:r/>
            <w:r>
              <w:rPr>
                <w:b/>
                <w:color w:val="FFFFFF"/>
                <w:sz w:val="20"/>
              </w:rPr>
              <w:t>Current Verified Telemetry</w:t>
            </w:r>
          </w:p>
        </w:tc>
        <w:tc>
          <w:tcPr>
            <w:tcW w:type="dxa" w:w="2448"/>
            <w:shd w:val="clear" w:color="auto" w:fill="0F172A"/>
          </w:tcPr>
          <w:p>
            <w:r/>
            <w:r>
              <w:rPr>
                <w:b/>
                <w:color w:val="FFFFFF"/>
                <w:sz w:val="20"/>
              </w:rPr>
              <w:t>90-Day Growth Trend</w:t>
            </w:r>
          </w:p>
        </w:tc>
        <w:tc>
          <w:tcPr>
            <w:tcW w:type="dxa" w:w="2448"/>
            <w:shd w:val="clear" w:color="auto" w:fill="0F172A"/>
          </w:tcPr>
          <w:p>
            <w:r/>
            <w:r>
              <w:rPr>
                <w:b/>
                <w:color w:val="FFFFFF"/>
                <w:sz w:val="20"/>
              </w:rPr>
              <w:t>Industry Benchmark Comparison</w:t>
            </w:r>
          </w:p>
        </w:tc>
      </w:tr>
      <w:tr>
        <w:tc>
          <w:tcPr>
            <w:tcW w:type="dxa" w:w="2448"/>
            <w:shd w:val="clear" w:color="auto" w:fill="FFFFFF"/>
          </w:tcPr>
          <w:p>
            <w:r/>
            <w:r>
              <w:rPr>
                <w:color w:val="1E293B"/>
                <w:sz w:val="20"/>
              </w:rPr>
              <w:t>Primary Niche &amp; Category Focus</w:t>
            </w:r>
          </w:p>
        </w:tc>
        <w:tc>
          <w:tcPr>
            <w:tcW w:type="dxa" w:w="2448"/>
            <w:shd w:val="clear" w:color="auto" w:fill="FFFFFF"/>
          </w:tcPr>
          <w:p>
            <w:r/>
            <w:r>
              <w:rPr>
                <w:color w:val="1E293B"/>
                <w:sz w:val="20"/>
              </w:rPr>
              <w:t>[B2B AI Workflows, Operations &amp; Solopreneur Systems]</w:t>
            </w:r>
          </w:p>
        </w:tc>
        <w:tc>
          <w:tcPr>
            <w:tcW w:type="dxa" w:w="2448"/>
            <w:shd w:val="clear" w:color="auto" w:fill="FFFFFF"/>
          </w:tcPr>
          <w:p>
            <w:r/>
            <w:r>
              <w:rPr>
                <w:color w:val="1E293B"/>
                <w:sz w:val="20"/>
              </w:rPr>
              <w:t>Category-of-One Moat (NMPI: 88/100)</w:t>
            </w:r>
          </w:p>
        </w:tc>
        <w:tc>
          <w:tcPr>
            <w:tcW w:type="dxa" w:w="2448"/>
            <w:shd w:val="clear" w:color="auto" w:fill="FFFFFF"/>
          </w:tcPr>
          <w:p>
            <w:r/>
            <w:r>
              <w:rPr>
                <w:color w:val="1E293B"/>
                <w:sz w:val="20"/>
              </w:rPr>
              <w:t>Top 5% Commercial Buyer Intent</w:t>
            </w:r>
          </w:p>
        </w:tc>
      </w:tr>
      <w:tr>
        <w:tc>
          <w:tcPr>
            <w:tcW w:type="dxa" w:w="2448"/>
            <w:shd w:val="clear" w:color="auto" w:fill="F8FAFC"/>
          </w:tcPr>
          <w:p>
            <w:r/>
            <w:r>
              <w:rPr>
                <w:color w:val="1E293B"/>
                <w:sz w:val="20"/>
              </w:rPr>
              <w:t>Combined Cross-Platform Subscribers</w:t>
            </w:r>
          </w:p>
        </w:tc>
        <w:tc>
          <w:tcPr>
            <w:tcW w:type="dxa" w:w="2448"/>
            <w:shd w:val="clear" w:color="auto" w:fill="F8FAFC"/>
          </w:tcPr>
          <w:p>
            <w:r/>
            <w:r>
              <w:rPr>
                <w:color w:val="1E293B"/>
                <w:sz w:val="20"/>
              </w:rPr>
              <w:t>[28,500+ Total Practitioners]</w:t>
            </w:r>
          </w:p>
        </w:tc>
        <w:tc>
          <w:tcPr>
            <w:tcW w:type="dxa" w:w="2448"/>
            <w:shd w:val="clear" w:color="auto" w:fill="F8FAFC"/>
          </w:tcPr>
          <w:p>
            <w:r/>
            <w:r>
              <w:rPr>
                <w:color w:val="1E293B"/>
                <w:sz w:val="20"/>
              </w:rPr>
              <w:t>+14.2% Quarter-over-Quarter</w:t>
            </w:r>
          </w:p>
        </w:tc>
        <w:tc>
          <w:tcPr>
            <w:tcW w:type="dxa" w:w="2448"/>
            <w:shd w:val="clear" w:color="auto" w:fill="F8FAFC"/>
          </w:tcPr>
          <w:p>
            <w:r/>
            <w:r>
              <w:rPr>
                <w:color w:val="1E293B"/>
                <w:sz w:val="20"/>
              </w:rPr>
              <w:t>3.8x Higher B2B Decision Density</w:t>
            </w:r>
          </w:p>
        </w:tc>
      </w:tr>
      <w:tr>
        <w:tc>
          <w:tcPr>
            <w:tcW w:type="dxa" w:w="2448"/>
            <w:shd w:val="clear" w:color="auto" w:fill="FFFFFF"/>
          </w:tcPr>
          <w:p>
            <w:r/>
            <w:r>
              <w:rPr>
                <w:color w:val="1E293B"/>
                <w:sz w:val="20"/>
              </w:rPr>
              <w:t>Owned Email Newsletter Subscribers</w:t>
            </w:r>
          </w:p>
        </w:tc>
        <w:tc>
          <w:tcPr>
            <w:tcW w:type="dxa" w:w="2448"/>
            <w:shd w:val="clear" w:color="auto" w:fill="FFFFFF"/>
          </w:tcPr>
          <w:p>
            <w:r/>
            <w:r>
              <w:rPr>
                <w:color w:val="1E293B"/>
                <w:sz w:val="20"/>
              </w:rPr>
              <w:t>[11,400+ Active Double-Opt-In Readers]</w:t>
            </w:r>
          </w:p>
        </w:tc>
        <w:tc>
          <w:tcPr>
            <w:tcW w:type="dxa" w:w="2448"/>
            <w:shd w:val="clear" w:color="auto" w:fill="FFFFFF"/>
          </w:tcPr>
          <w:p>
            <w:r/>
            <w:r>
              <w:rPr>
                <w:color w:val="1E293B"/>
                <w:sz w:val="20"/>
              </w:rPr>
              <w:t>+950 Net New Subscribers / Month</w:t>
            </w:r>
          </w:p>
        </w:tc>
        <w:tc>
          <w:tcPr>
            <w:tcW w:type="dxa" w:w="2448"/>
            <w:shd w:val="clear" w:color="auto" w:fill="FFFFFF"/>
          </w:tcPr>
          <w:p>
            <w:r/>
            <w:r>
              <w:rPr>
                <w:color w:val="1E293B"/>
                <w:sz w:val="20"/>
              </w:rPr>
              <w:t>Verified Zero-Cold-Subscriber List Hygiene</w:t>
            </w:r>
          </w:p>
        </w:tc>
      </w:tr>
      <w:tr>
        <w:tc>
          <w:tcPr>
            <w:tcW w:type="dxa" w:w="2448"/>
            <w:shd w:val="clear" w:color="auto" w:fill="F8FAFC"/>
          </w:tcPr>
          <w:p>
            <w:r/>
            <w:r>
              <w:rPr>
                <w:color w:val="1E293B"/>
                <w:sz w:val="20"/>
              </w:rPr>
              <w:t>Average 30-Second Hook Hold Rate</w:t>
            </w:r>
          </w:p>
        </w:tc>
        <w:tc>
          <w:tcPr>
            <w:tcW w:type="dxa" w:w="2448"/>
            <w:shd w:val="clear" w:color="auto" w:fill="F8FAFC"/>
          </w:tcPr>
          <w:p>
            <w:r/>
            <w:r>
              <w:rPr>
                <w:color w:val="1E293B"/>
                <w:sz w:val="20"/>
              </w:rPr>
              <w:t>73.8% (Across Pillar Tutorials)</w:t>
            </w:r>
          </w:p>
        </w:tc>
        <w:tc>
          <w:tcPr>
            <w:tcW w:type="dxa" w:w="2448"/>
            <w:shd w:val="clear" w:color="auto" w:fill="F8FAFC"/>
          </w:tcPr>
          <w:p>
            <w:r/>
            <w:r>
              <w:rPr>
                <w:color w:val="1E293B"/>
                <w:sz w:val="20"/>
              </w:rPr>
              <w:t>+6.4% vs. Prior Quarter</w:t>
            </w:r>
          </w:p>
        </w:tc>
        <w:tc>
          <w:tcPr>
            <w:tcW w:type="dxa" w:w="2448"/>
            <w:shd w:val="clear" w:color="auto" w:fill="F8FAFC"/>
          </w:tcPr>
          <w:p>
            <w:r/>
            <w:r>
              <w:rPr>
                <w:color w:val="1E293B"/>
                <w:sz w:val="20"/>
              </w:rPr>
              <w:t>Industry Average: 44.0%</w:t>
            </w:r>
          </w:p>
        </w:tc>
      </w:tr>
      <w:tr>
        <w:tc>
          <w:tcPr>
            <w:tcW w:type="dxa" w:w="2448"/>
            <w:shd w:val="clear" w:color="auto" w:fill="FFFFFF"/>
          </w:tcPr>
          <w:p>
            <w:r/>
            <w:r>
              <w:rPr>
                <w:color w:val="1E293B"/>
                <w:sz w:val="20"/>
              </w:rPr>
              <w:t>Average Pillar Video View Duration (AVD)</w:t>
            </w:r>
          </w:p>
        </w:tc>
        <w:tc>
          <w:tcPr>
            <w:tcW w:type="dxa" w:w="2448"/>
            <w:shd w:val="clear" w:color="auto" w:fill="FFFFFF"/>
          </w:tcPr>
          <w:p>
            <w:r/>
            <w:r>
              <w:rPr>
                <w:color w:val="1E293B"/>
                <w:sz w:val="20"/>
              </w:rPr>
              <w:t>54.6% (10:18 Avg Watch Time)</w:t>
            </w:r>
          </w:p>
        </w:tc>
        <w:tc>
          <w:tcPr>
            <w:tcW w:type="dxa" w:w="2448"/>
            <w:shd w:val="clear" w:color="auto" w:fill="FFFFFF"/>
          </w:tcPr>
          <w:p>
            <w:r/>
            <w:r>
              <w:rPr>
                <w:color w:val="1E293B"/>
                <w:sz w:val="20"/>
              </w:rPr>
              <w:t>Consistent High-Depth Completion</w:t>
            </w:r>
          </w:p>
        </w:tc>
        <w:tc>
          <w:tcPr>
            <w:tcW w:type="dxa" w:w="2448"/>
            <w:shd w:val="clear" w:color="auto" w:fill="FFFFFF"/>
          </w:tcPr>
          <w:p>
            <w:r/>
            <w:r>
              <w:rPr>
                <w:color w:val="1E293B"/>
                <w:sz w:val="20"/>
              </w:rPr>
              <w:t>Industry Average: 35.0%</w:t>
            </w:r>
          </w:p>
        </w:tc>
      </w:tr>
      <w:tr>
        <w:tc>
          <w:tcPr>
            <w:tcW w:type="dxa" w:w="2448"/>
            <w:shd w:val="clear" w:color="auto" w:fill="F8FAFC"/>
          </w:tcPr>
          <w:p>
            <w:r/>
            <w:r>
              <w:rPr>
                <w:color w:val="1E293B"/>
                <w:sz w:val="20"/>
              </w:rPr>
              <w:t>Newsletter Open Rate / Unique Link CTR</w:t>
            </w:r>
          </w:p>
        </w:tc>
        <w:tc>
          <w:tcPr>
            <w:tcW w:type="dxa" w:w="2448"/>
            <w:shd w:val="clear" w:color="auto" w:fill="F8FAFC"/>
          </w:tcPr>
          <w:p>
            <w:r/>
            <w:r>
              <w:rPr>
                <w:color w:val="1E293B"/>
                <w:sz w:val="20"/>
              </w:rPr>
              <w:t>49.4% Open Rate / 7.2% Unique CTR</w:t>
            </w:r>
          </w:p>
        </w:tc>
        <w:tc>
          <w:tcPr>
            <w:tcW w:type="dxa" w:w="2448"/>
            <w:shd w:val="clear" w:color="auto" w:fill="F8FAFC"/>
          </w:tcPr>
          <w:p>
            <w:r/>
            <w:r>
              <w:rPr>
                <w:color w:val="1E293B"/>
                <w:sz w:val="20"/>
              </w:rPr>
              <w:t>Audited Across Trailing 12 Issues</w:t>
            </w:r>
          </w:p>
        </w:tc>
        <w:tc>
          <w:tcPr>
            <w:tcW w:type="dxa" w:w="2448"/>
            <w:shd w:val="clear" w:color="auto" w:fill="F8FAFC"/>
          </w:tcPr>
          <w:p>
            <w:r/>
            <w:r>
              <w:rPr>
                <w:color w:val="1E293B"/>
                <w:sz w:val="20"/>
              </w:rPr>
              <w:t>Industry Average: 32% Open / 2.1% CTR</w:t>
            </w:r>
          </w:p>
        </w:tc>
      </w:tr>
    </w:tbl>
    <w:p/>
    <w:p>
      <w:pPr>
        <w:pStyle w:val="Heading2"/>
      </w:pPr>
      <w:r>
        <w:t>2. Audience Demographics, Psychographics &amp; Purchasing Power</w:t>
      </w:r>
    </w:p>
    <w:p>
      <w:r>
        <w:t>Our audience consists of builders, operators, and budget-holding professionals who actively invest in software, automation infrastructure, financial tools, and productivity systems to reclaim time and scale revenue:</w:t>
      </w:r>
    </w:p>
    <w:p>
      <w:pPr>
        <w:pStyle w:val="ListBullet"/>
      </w:pPr>
      <w:r>
        <w:t>Role Breakdown: 38% Solo Founders &amp; Agency Principals · 29% Senior Operations, Product &amp; Engineering Leads · 21% Independent Consultants &amp; Technical Creators · 12% Executive &amp; Finance Decision-Makers.</w:t>
      </w:r>
    </w:p>
    <w:p>
      <w:pPr>
        <w:pStyle w:val="ListBullet"/>
      </w:pPr>
      <w:r>
        <w:t>Annual Software &amp; Tool Stack Budget: Over 74% of surveyed subscribers control or directly influence between $2,500 and $25,000+ in annual SaaS, cloud, AI, and operational tool spending.</w:t>
      </w:r>
    </w:p>
    <w:p>
      <w:pPr>
        <w:pStyle w:val="ListBullet"/>
      </w:pPr>
      <w:r>
        <w:t>Geographic Distribution: 52% North America (United States &amp; Canada) · 26% United Kingdom &amp; European Union · 14% Asia-Pacific (Singapore, Australia, India, Bangladesh) · 8% Rest of World.</w:t>
      </w:r>
    </w:p>
    <w:p>
      <w:pPr>
        <w:pStyle w:val="ListBullet"/>
      </w:pPr>
      <w:r>
        <w:t>Primary Purchasing Triggers: Verified time savings (hours reclaimed per week), direct revenue or conversion lift, zero-fluff workflow compatibility, and transparent live demonstrations.</w:t>
      </w:r>
    </w:p>
    <w:p>
      <w:pPr>
        <w:pStyle w:val="Heading2"/>
      </w:pPr>
      <w:r>
        <w:t>3. Why Standard CPM Pricing Fails Both Brands and Creators</w:t>
      </w:r>
    </w:p>
    <w:p>
      <w:r>
        <w:t>Traditional Cost-Per-Mille ($20–$30 CPM) ad reads were designed for broad consumer entertainment channels where 98% of viewers have zero intent to purchase B2B software. Furthermore, standard 30-second scripted ad reads suffer from severe viewer skip rates (65%+ skip spike on retention graphs).</w:t>
      </w:r>
    </w:p>
    <w:p>
      <w:r>
        <w:t>Our studio replaces skipped ad reads with Outcome-Based Native Workflow Integrations (R_sponsor):</w:t>
      </w:r>
    </w:p>
    <w:p>
      <w:pPr>
        <w:pStyle w:val="ListBullet"/>
      </w:pPr>
      <w:r>
        <w:t>Native Problem-Solution Demonstration: Instead of reading a generic press release, we demonstrate your product solving a real operational bottleneck live on screen inside the core tutorial narrative.</w:t>
      </w:r>
    </w:p>
    <w:p>
      <w:pPr>
        <w:pStyle w:val="ListBullet"/>
      </w:pPr>
      <w:r>
        <w:t>Omnichannel Multi-Touch Reinforcement: Research shows B2B buyers require 3 to 5 touchpoints before starting a trial. Every standard partnership bundles video demonstration with owned email newsletter placements, LinkedIn/X text breakdowns, and permanent resource-vault links.</w:t>
      </w:r>
    </w:p>
    <w:p>
      <w:pPr>
        <w:pStyle w:val="ListBullet"/>
      </w:pPr>
      <w:r>
        <w:t>Tracked Lead-Magnet Conversion Bridge: We place your custom UTM trial link directly inside the companion worksheet and Notion resource pack downloaded by our highest-intent viewers.</w:t>
      </w:r>
    </w:p>
    <w:p>
      <w:pPr>
        <w:pStyle w:val="Heading2"/>
      </w:pPr>
      <w:r>
        <w:t>4. Documented Past Partner Case Studies &amp; Conversion Proof</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Partner Category</w:t>
            </w:r>
          </w:p>
        </w:tc>
        <w:tc>
          <w:tcPr>
            <w:tcW w:type="dxa" w:w="1958"/>
            <w:shd w:val="clear" w:color="auto" w:fill="0F172A"/>
          </w:tcPr>
          <w:p>
            <w:r/>
            <w:r>
              <w:rPr>
                <w:b/>
                <w:color w:val="FFFFFF"/>
                <w:sz w:val="20"/>
              </w:rPr>
              <w:t>Campaign Structure</w:t>
            </w:r>
          </w:p>
        </w:tc>
        <w:tc>
          <w:tcPr>
            <w:tcW w:type="dxa" w:w="1958"/>
            <w:shd w:val="clear" w:color="auto" w:fill="0F172A"/>
          </w:tcPr>
          <w:p>
            <w:r/>
            <w:r>
              <w:rPr>
                <w:b/>
                <w:color w:val="FFFFFF"/>
                <w:sz w:val="20"/>
              </w:rPr>
              <w:t>14-Day Verified Views &amp; Opens</w:t>
            </w:r>
          </w:p>
        </w:tc>
        <w:tc>
          <w:tcPr>
            <w:tcW w:type="dxa" w:w="1958"/>
            <w:shd w:val="clear" w:color="auto" w:fill="0F172A"/>
          </w:tcPr>
          <w:p>
            <w:r/>
            <w:r>
              <w:rPr>
                <w:b/>
                <w:color w:val="FFFFFF"/>
                <w:sz w:val="20"/>
              </w:rPr>
              <w:t>Tracked Link Clicks (UTM)</w:t>
            </w:r>
          </w:p>
        </w:tc>
        <w:tc>
          <w:tcPr>
            <w:tcW w:type="dxa" w:w="1958"/>
            <w:shd w:val="clear" w:color="auto" w:fill="0F172A"/>
          </w:tcPr>
          <w:p>
            <w:r/>
            <w:r>
              <w:rPr>
                <w:b/>
                <w:color w:val="FFFFFF"/>
                <w:sz w:val="20"/>
              </w:rPr>
              <w:t>Trial / Pipeline Outcome Achieved</w:t>
            </w:r>
          </w:p>
        </w:tc>
      </w:tr>
      <w:tr>
        <w:tc>
          <w:tcPr>
            <w:tcW w:type="dxa" w:w="1958"/>
            <w:shd w:val="clear" w:color="auto" w:fill="FFFFFF"/>
          </w:tcPr>
          <w:p>
            <w:r/>
            <w:r>
              <w:rPr>
                <w:color w:val="1E293B"/>
                <w:sz w:val="20"/>
              </w:rPr>
              <w:t>B2B Workflow Automation SaaS</w:t>
            </w:r>
          </w:p>
        </w:tc>
        <w:tc>
          <w:tcPr>
            <w:tcW w:type="dxa" w:w="1958"/>
            <w:shd w:val="clear" w:color="auto" w:fill="FFFFFF"/>
          </w:tcPr>
          <w:p>
            <w:r/>
            <w:r>
              <w:rPr>
                <w:color w:val="1E293B"/>
                <w:sz w:val="20"/>
              </w:rPr>
              <w:t>Tier B Multi-Touch Sprint (1 Pillar Video + 2 Newsletters + LinkedIn)</w:t>
            </w:r>
          </w:p>
        </w:tc>
        <w:tc>
          <w:tcPr>
            <w:tcW w:type="dxa" w:w="1958"/>
            <w:shd w:val="clear" w:color="auto" w:fill="FFFFFF"/>
          </w:tcPr>
          <w:p>
            <w:r/>
            <w:r>
              <w:rPr>
                <w:color w:val="1E293B"/>
                <w:sz w:val="20"/>
              </w:rPr>
              <w:t>19,400 Video Views + 10,800 Email Opens</w:t>
            </w:r>
          </w:p>
        </w:tc>
        <w:tc>
          <w:tcPr>
            <w:tcW w:type="dxa" w:w="1958"/>
            <w:shd w:val="clear" w:color="auto" w:fill="FFFFFF"/>
          </w:tcPr>
          <w:p>
            <w:r/>
            <w:r>
              <w:rPr>
                <w:color w:val="1E293B"/>
                <w:sz w:val="20"/>
              </w:rPr>
              <w:t>1,140 Unique Clicks (5.8% CTR)</w:t>
            </w:r>
          </w:p>
        </w:tc>
        <w:tc>
          <w:tcPr>
            <w:tcW w:type="dxa" w:w="1958"/>
            <w:shd w:val="clear" w:color="auto" w:fill="FFFFFF"/>
          </w:tcPr>
          <w:p>
            <w:r/>
            <w:r>
              <w:rPr>
                <w:color w:val="1E293B"/>
                <w:sz w:val="20"/>
              </w:rPr>
              <w:t>312 Free Trials + 48 Paid Annual Plans ($28,400 ARR attributed in 30 days)</w:t>
            </w:r>
          </w:p>
        </w:tc>
      </w:tr>
      <w:tr>
        <w:tc>
          <w:tcPr>
            <w:tcW w:type="dxa" w:w="1958"/>
            <w:shd w:val="clear" w:color="auto" w:fill="F8FAFC"/>
          </w:tcPr>
          <w:p>
            <w:r/>
            <w:r>
              <w:rPr>
                <w:color w:val="1E293B"/>
                <w:sz w:val="20"/>
              </w:rPr>
              <w:t>AI Documentation &amp; Knowledge Tool</w:t>
            </w:r>
          </w:p>
        </w:tc>
        <w:tc>
          <w:tcPr>
            <w:tcW w:type="dxa" w:w="1958"/>
            <w:shd w:val="clear" w:color="auto" w:fill="F8FAFC"/>
          </w:tcPr>
          <w:p>
            <w:r/>
            <w:r>
              <w:rPr>
                <w:color w:val="1E293B"/>
                <w:sz w:val="20"/>
              </w:rPr>
              <w:t>Tier C Quarterly Partner (3 Monthly Sprints + 60-Day Ad Whitelisting)</w:t>
            </w:r>
          </w:p>
        </w:tc>
        <w:tc>
          <w:tcPr>
            <w:tcW w:type="dxa" w:w="1958"/>
            <w:shd w:val="clear" w:color="auto" w:fill="F8FAFC"/>
          </w:tcPr>
          <w:p>
            <w:r/>
            <w:r>
              <w:rPr>
                <w:color w:val="1E293B"/>
                <w:sz w:val="20"/>
              </w:rPr>
              <w:t>64,200 Video Views + 33,500 Email Opens</w:t>
            </w:r>
          </w:p>
        </w:tc>
        <w:tc>
          <w:tcPr>
            <w:tcW w:type="dxa" w:w="1958"/>
            <w:shd w:val="clear" w:color="auto" w:fill="F8FAFC"/>
          </w:tcPr>
          <w:p>
            <w:r/>
            <w:r>
              <w:rPr>
                <w:color w:val="1E293B"/>
                <w:sz w:val="20"/>
              </w:rPr>
              <w:t>3,480 Unique Clicks (5.4% CTR)</w:t>
            </w:r>
          </w:p>
        </w:tc>
        <w:tc>
          <w:tcPr>
            <w:tcW w:type="dxa" w:w="1958"/>
            <w:shd w:val="clear" w:color="auto" w:fill="F8FAFC"/>
          </w:tcPr>
          <w:p>
            <w:r/>
            <w:r>
              <w:rPr>
                <w:color w:val="1E293B"/>
                <w:sz w:val="20"/>
              </w:rPr>
              <w:t>890+ Product Signups + 2.9x ROAS on Whitelisted Paid Social Cutdowns</w:t>
            </w:r>
          </w:p>
        </w:tc>
      </w:tr>
      <w:tr>
        <w:tc>
          <w:tcPr>
            <w:tcW w:type="dxa" w:w="1958"/>
            <w:shd w:val="clear" w:color="auto" w:fill="FFFFFF"/>
          </w:tcPr>
          <w:p>
            <w:r/>
            <w:r>
              <w:rPr>
                <w:color w:val="1E293B"/>
                <w:sz w:val="20"/>
              </w:rPr>
              <w:t>FinTech &amp; Creator Banking Platform</w:t>
            </w:r>
          </w:p>
        </w:tc>
        <w:tc>
          <w:tcPr>
            <w:tcW w:type="dxa" w:w="1958"/>
            <w:shd w:val="clear" w:color="auto" w:fill="FFFFFF"/>
          </w:tcPr>
          <w:p>
            <w:r/>
            <w:r>
              <w:rPr>
                <w:color w:val="1E293B"/>
                <w:sz w:val="20"/>
              </w:rPr>
              <w:t>Tier A Single Pillar + Dedicated Newsletter Top-Slot</w:t>
            </w:r>
          </w:p>
        </w:tc>
        <w:tc>
          <w:tcPr>
            <w:tcW w:type="dxa" w:w="1958"/>
            <w:shd w:val="clear" w:color="auto" w:fill="FFFFFF"/>
          </w:tcPr>
          <w:p>
            <w:r/>
            <w:r>
              <w:rPr>
                <w:color w:val="1E293B"/>
                <w:sz w:val="20"/>
              </w:rPr>
              <w:t>15,800 Video Views + 5,400 Email Opens</w:t>
            </w:r>
          </w:p>
        </w:tc>
        <w:tc>
          <w:tcPr>
            <w:tcW w:type="dxa" w:w="1958"/>
            <w:shd w:val="clear" w:color="auto" w:fill="FFFFFF"/>
          </w:tcPr>
          <w:p>
            <w:r/>
            <w:r>
              <w:rPr>
                <w:color w:val="1E293B"/>
                <w:sz w:val="20"/>
              </w:rPr>
              <w:t>790 Unique Clicks (5.0% CTR)</w:t>
            </w:r>
          </w:p>
        </w:tc>
        <w:tc>
          <w:tcPr>
            <w:tcW w:type="dxa" w:w="1958"/>
            <w:shd w:val="clear" w:color="auto" w:fill="FFFFFF"/>
          </w:tcPr>
          <w:p>
            <w:r/>
            <w:r>
              <w:rPr>
                <w:color w:val="1E293B"/>
                <w:sz w:val="20"/>
              </w:rPr>
              <w:t>164 Funded Business Accounts within 21 days of publication</w:t>
            </w:r>
          </w:p>
        </w:tc>
      </w:tr>
    </w:tbl>
    <w:p/>
    <w:p>
      <w:pPr>
        <w:pStyle w:val="Heading2"/>
      </w:pPr>
      <w:r>
        <w:t>5. The 3-Tier Omnichannel Outcome Sponsorship Packages</w:t>
      </w:r>
    </w:p>
    <w:p>
      <w:r>
        <w:t>We offer three transparent, turnkey partnership tiers engineered around your quarterly customer acquisition goals. All packages include full UTM link tracking and our signature Day-14 Proof-of-Performance ROI Telemetry Report.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Package Feature / Deliverable</w:t>
            </w:r>
          </w:p>
        </w:tc>
        <w:tc>
          <w:tcPr>
            <w:tcW w:type="dxa" w:w="2448"/>
            <w:shd w:val="clear" w:color="auto" w:fill="0F172A"/>
          </w:tcPr>
          <w:p>
            <w:r/>
            <w:r>
              <w:rPr>
                <w:b/>
                <w:color w:val="FFFFFF"/>
                <w:sz w:val="20"/>
              </w:rPr>
              <w:t>Tier A: Single-Sprint Launch ($1,850 USD)</w:t>
            </w:r>
          </w:p>
        </w:tc>
        <w:tc>
          <w:tcPr>
            <w:tcW w:type="dxa" w:w="2448"/>
            <w:shd w:val="clear" w:color="auto" w:fill="0F172A"/>
          </w:tcPr>
          <w:p>
            <w:r/>
            <w:r>
              <w:rPr>
                <w:b/>
                <w:color w:val="FFFFFF"/>
                <w:sz w:val="20"/>
              </w:rPr>
              <w:t>Tier B: Omnichannel Conversion Bundle ($3,200 USD — Most Popular)</w:t>
            </w:r>
          </w:p>
        </w:tc>
        <w:tc>
          <w:tcPr>
            <w:tcW w:type="dxa" w:w="2448"/>
            <w:shd w:val="clear" w:color="auto" w:fill="0F172A"/>
          </w:tcPr>
          <w:p>
            <w:r/>
            <w:r>
              <w:rPr>
                <w:b/>
                <w:color w:val="FFFFFF"/>
                <w:sz w:val="20"/>
              </w:rPr>
              <w:t>Tier C: Quarterly Category Partner ($8,400 USD — Save 15%)</w:t>
            </w:r>
          </w:p>
        </w:tc>
      </w:tr>
      <w:tr>
        <w:tc>
          <w:tcPr>
            <w:tcW w:type="dxa" w:w="2448"/>
            <w:shd w:val="clear" w:color="auto" w:fill="FFFFFF"/>
          </w:tcPr>
          <w:p>
            <w:r/>
            <w:r>
              <w:rPr>
                <w:color w:val="1E293B"/>
                <w:sz w:val="20"/>
              </w:rPr>
              <w:t>60–90s Native Mid-Roll Workflow Demo (YouTube Pillar)</w:t>
            </w:r>
          </w:p>
        </w:tc>
        <w:tc>
          <w:tcPr>
            <w:tcW w:type="dxa" w:w="2448"/>
            <w:shd w:val="clear" w:color="auto" w:fill="FFFFFF"/>
          </w:tcPr>
          <w:p>
            <w:r/>
            <w:r>
              <w:rPr>
                <w:color w:val="1E293B"/>
                <w:sz w:val="20"/>
              </w:rPr>
              <w:t>1x Pillar Integration (Permanent Evergreen Placement)</w:t>
            </w:r>
          </w:p>
        </w:tc>
        <w:tc>
          <w:tcPr>
            <w:tcW w:type="dxa" w:w="2448"/>
            <w:shd w:val="clear" w:color="auto" w:fill="FFFFFF"/>
          </w:tcPr>
          <w:p>
            <w:r/>
            <w:r>
              <w:rPr>
                <w:color w:val="1E293B"/>
                <w:sz w:val="20"/>
              </w:rPr>
              <w:t>1x Pillar Integration + Pin Comment + Description Top Link</w:t>
            </w:r>
          </w:p>
        </w:tc>
        <w:tc>
          <w:tcPr>
            <w:tcW w:type="dxa" w:w="2448"/>
            <w:shd w:val="clear" w:color="auto" w:fill="FFFFFF"/>
          </w:tcPr>
          <w:p>
            <w:r/>
            <w:r>
              <w:rPr>
                <w:color w:val="1E293B"/>
                <w:sz w:val="20"/>
              </w:rPr>
              <w:t>3x Monthly Pillar Integrations (1 Per Month for 90 Days)</w:t>
            </w:r>
          </w:p>
        </w:tc>
      </w:tr>
      <w:tr>
        <w:tc>
          <w:tcPr>
            <w:tcW w:type="dxa" w:w="2448"/>
            <w:shd w:val="clear" w:color="auto" w:fill="F8FAFC"/>
          </w:tcPr>
          <w:p>
            <w:r/>
            <w:r>
              <w:rPr>
                <w:color w:val="1E293B"/>
                <w:sz w:val="20"/>
              </w:rPr>
              <w:t>Owned Email Newsletter Top-of-Fold Sponsorship</w:t>
            </w:r>
          </w:p>
        </w:tc>
        <w:tc>
          <w:tcPr>
            <w:tcW w:type="dxa" w:w="2448"/>
            <w:shd w:val="clear" w:color="auto" w:fill="F8FAFC"/>
          </w:tcPr>
          <w:p>
            <w:r/>
            <w:r>
              <w:rPr>
                <w:color w:val="1E293B"/>
                <w:sz w:val="20"/>
              </w:rPr>
              <w:t>1x Primary Issue Slot (150 words + Logo + CTA Button)</w:t>
            </w:r>
          </w:p>
        </w:tc>
        <w:tc>
          <w:tcPr>
            <w:tcW w:type="dxa" w:w="2448"/>
            <w:shd w:val="clear" w:color="auto" w:fill="F8FAFC"/>
          </w:tcPr>
          <w:p>
            <w:r/>
            <w:r>
              <w:rPr>
                <w:color w:val="1E293B"/>
                <w:sz w:val="20"/>
              </w:rPr>
              <w:t>2x Primary Issue Slots (Tuesday Value + Friday Offer Issue)</w:t>
            </w:r>
          </w:p>
        </w:tc>
        <w:tc>
          <w:tcPr>
            <w:tcW w:type="dxa" w:w="2448"/>
            <w:shd w:val="clear" w:color="auto" w:fill="F8FAFC"/>
          </w:tcPr>
          <w:p>
            <w:r/>
            <w:r>
              <w:rPr>
                <w:color w:val="1E293B"/>
                <w:sz w:val="20"/>
              </w:rPr>
              <w:t>6x Primary Issue Slots (2 Per Month Across Full Quarter)</w:t>
            </w:r>
          </w:p>
        </w:tc>
      </w:tr>
      <w:tr>
        <w:tc>
          <w:tcPr>
            <w:tcW w:type="dxa" w:w="2448"/>
            <w:shd w:val="clear" w:color="auto" w:fill="FFFFFF"/>
          </w:tcPr>
          <w:p>
            <w:r/>
            <w:r>
              <w:rPr>
                <w:color w:val="1E293B"/>
                <w:sz w:val="20"/>
              </w:rPr>
              <w:t>Native LinkedIn &amp; X Authority Breakdown Post</w:t>
            </w:r>
          </w:p>
        </w:tc>
        <w:tc>
          <w:tcPr>
            <w:tcW w:type="dxa" w:w="2448"/>
            <w:shd w:val="clear" w:color="auto" w:fill="FFFFFF"/>
          </w:tcPr>
          <w:p>
            <w:r/>
            <w:r>
              <w:rPr>
                <w:color w:val="1E293B"/>
                <w:sz w:val="20"/>
              </w:rPr>
              <w:t>Not Included</w:t>
            </w:r>
          </w:p>
        </w:tc>
        <w:tc>
          <w:tcPr>
            <w:tcW w:type="dxa" w:w="2448"/>
            <w:shd w:val="clear" w:color="auto" w:fill="FFFFFF"/>
          </w:tcPr>
          <w:p>
            <w:r/>
            <w:r>
              <w:rPr>
                <w:color w:val="1E293B"/>
                <w:sz w:val="20"/>
              </w:rPr>
              <w:t>1x Dedicated LinkedIn Post + 1x X Thread Integration</w:t>
            </w:r>
          </w:p>
        </w:tc>
        <w:tc>
          <w:tcPr>
            <w:tcW w:type="dxa" w:w="2448"/>
            <w:shd w:val="clear" w:color="auto" w:fill="FFFFFF"/>
          </w:tcPr>
          <w:p>
            <w:r/>
            <w:r>
              <w:rPr>
                <w:color w:val="1E293B"/>
                <w:sz w:val="20"/>
              </w:rPr>
              <w:t>3x LinkedIn Posts + 3x X Threads + 1x PDF Carousel</w:t>
            </w:r>
          </w:p>
        </w:tc>
      </w:tr>
      <w:tr>
        <w:tc>
          <w:tcPr>
            <w:tcW w:type="dxa" w:w="2448"/>
            <w:shd w:val="clear" w:color="auto" w:fill="F8FAFC"/>
          </w:tcPr>
          <w:p>
            <w:r/>
            <w:r>
              <w:rPr>
                <w:color w:val="1E293B"/>
                <w:sz w:val="20"/>
              </w:rPr>
              <w:t>Inclusion in Downloadable Chapter Resource Vault</w:t>
            </w:r>
          </w:p>
        </w:tc>
        <w:tc>
          <w:tcPr>
            <w:tcW w:type="dxa" w:w="2448"/>
            <w:shd w:val="clear" w:color="auto" w:fill="F8FAFC"/>
          </w:tcPr>
          <w:p>
            <w:r/>
            <w:r>
              <w:rPr>
                <w:color w:val="1E293B"/>
                <w:sz w:val="20"/>
              </w:rPr>
              <w:t>Standard Link Inclusion</w:t>
            </w:r>
          </w:p>
        </w:tc>
        <w:tc>
          <w:tcPr>
            <w:tcW w:type="dxa" w:w="2448"/>
            <w:shd w:val="clear" w:color="auto" w:fill="F8FAFC"/>
          </w:tcPr>
          <w:p>
            <w:r/>
            <w:r>
              <w:rPr>
                <w:color w:val="1E293B"/>
                <w:sz w:val="20"/>
              </w:rPr>
              <w:t>Featured Tool Callout Box Inside Fillable PDF/Notion Kit</w:t>
            </w:r>
          </w:p>
        </w:tc>
        <w:tc>
          <w:tcPr>
            <w:tcW w:type="dxa" w:w="2448"/>
            <w:shd w:val="clear" w:color="auto" w:fill="F8FAFC"/>
          </w:tcPr>
          <w:p>
            <w:r/>
            <w:r>
              <w:rPr>
                <w:color w:val="1E293B"/>
                <w:sz w:val="20"/>
              </w:rPr>
              <w:t>Permanent Featured Stack Partner Across All Quarter Downloads</w:t>
            </w:r>
          </w:p>
        </w:tc>
      </w:tr>
      <w:tr>
        <w:tc>
          <w:tcPr>
            <w:tcW w:type="dxa" w:w="2448"/>
            <w:shd w:val="clear" w:color="auto" w:fill="FFFFFF"/>
          </w:tcPr>
          <w:p>
            <w:r/>
            <w:r>
              <w:rPr>
                <w:color w:val="1E293B"/>
                <w:sz w:val="20"/>
              </w:rPr>
              <w:t>Paid-Ad Whitelisting &amp; Spark/Cutdown Licensing</w:t>
            </w:r>
          </w:p>
        </w:tc>
        <w:tc>
          <w:tcPr>
            <w:tcW w:type="dxa" w:w="2448"/>
            <w:shd w:val="clear" w:color="auto" w:fill="FFFFFF"/>
          </w:tcPr>
          <w:p>
            <w:r/>
            <w:r>
              <w:rPr>
                <w:color w:val="1E293B"/>
                <w:sz w:val="20"/>
              </w:rPr>
              <w:t>Optional (+$550 / 30 Days)</w:t>
            </w:r>
          </w:p>
        </w:tc>
        <w:tc>
          <w:tcPr>
            <w:tcW w:type="dxa" w:w="2448"/>
            <w:shd w:val="clear" w:color="auto" w:fill="FFFFFF"/>
          </w:tcPr>
          <w:p>
            <w:r/>
            <w:r>
              <w:rPr>
                <w:color w:val="1E293B"/>
                <w:sz w:val="20"/>
              </w:rPr>
              <w:t>Included: 30 Days Paid Social Cutdown Rights</w:t>
            </w:r>
          </w:p>
        </w:tc>
        <w:tc>
          <w:tcPr>
            <w:tcW w:type="dxa" w:w="2448"/>
            <w:shd w:val="clear" w:color="auto" w:fill="FFFFFF"/>
          </w:tcPr>
          <w:p>
            <w:r/>
            <w:r>
              <w:rPr>
                <w:color w:val="1E293B"/>
                <w:sz w:val="20"/>
              </w:rPr>
              <w:t>Included: 90 Days Full Paid Social &amp; Landing Page Rights</w:t>
            </w:r>
          </w:p>
        </w:tc>
      </w:tr>
      <w:tr>
        <w:tc>
          <w:tcPr>
            <w:tcW w:type="dxa" w:w="2448"/>
            <w:shd w:val="clear" w:color="auto" w:fill="F8FAFC"/>
          </w:tcPr>
          <w:p>
            <w:r/>
            <w:r>
              <w:rPr>
                <w:color w:val="1E293B"/>
                <w:sz w:val="20"/>
              </w:rPr>
              <w:t>Direct Competitor Category Exclusivity</w:t>
            </w:r>
          </w:p>
        </w:tc>
        <w:tc>
          <w:tcPr>
            <w:tcW w:type="dxa" w:w="2448"/>
            <w:shd w:val="clear" w:color="auto" w:fill="F8FAFC"/>
          </w:tcPr>
          <w:p>
            <w:r/>
            <w:r>
              <w:rPr>
                <w:color w:val="1E293B"/>
                <w:sz w:val="20"/>
              </w:rPr>
              <w:t>7-Day Sprint Exclusivity</w:t>
            </w:r>
          </w:p>
        </w:tc>
        <w:tc>
          <w:tcPr>
            <w:tcW w:type="dxa" w:w="2448"/>
            <w:shd w:val="clear" w:color="auto" w:fill="F8FAFC"/>
          </w:tcPr>
          <w:p>
            <w:r/>
            <w:r>
              <w:rPr>
                <w:color w:val="1E293B"/>
                <w:sz w:val="20"/>
              </w:rPr>
              <w:t>30-Day Category Exclusivity</w:t>
            </w:r>
          </w:p>
        </w:tc>
        <w:tc>
          <w:tcPr>
            <w:tcW w:type="dxa" w:w="2448"/>
            <w:shd w:val="clear" w:color="auto" w:fill="F8FAFC"/>
          </w:tcPr>
          <w:p>
            <w:r/>
            <w:r>
              <w:rPr>
                <w:color w:val="1E293B"/>
                <w:sz w:val="20"/>
              </w:rPr>
              <w:t>Full 90-Day Category Lock (Zero Competitor Mentions)</w:t>
            </w:r>
          </w:p>
        </w:tc>
      </w:tr>
      <w:tr>
        <w:tc>
          <w:tcPr>
            <w:tcW w:type="dxa" w:w="2448"/>
            <w:shd w:val="clear" w:color="auto" w:fill="FFFFFF"/>
          </w:tcPr>
          <w:p>
            <w:r/>
            <w:r>
              <w:rPr>
                <w:color w:val="1E293B"/>
                <w:sz w:val="20"/>
              </w:rPr>
              <w:t>Day-14 Proof-of-Performance Telemetry Report</w:t>
            </w:r>
          </w:p>
        </w:tc>
        <w:tc>
          <w:tcPr>
            <w:tcW w:type="dxa" w:w="2448"/>
            <w:shd w:val="clear" w:color="auto" w:fill="FFFFFF"/>
          </w:tcPr>
          <w:p>
            <w:r/>
            <w:r>
              <w:rPr>
                <w:color w:val="1E293B"/>
                <w:sz w:val="20"/>
              </w:rPr>
              <w:t>Included</w:t>
            </w:r>
          </w:p>
        </w:tc>
        <w:tc>
          <w:tcPr>
            <w:tcW w:type="dxa" w:w="2448"/>
            <w:shd w:val="clear" w:color="auto" w:fill="FFFFFF"/>
          </w:tcPr>
          <w:p>
            <w:r/>
            <w:r>
              <w:rPr>
                <w:color w:val="1E293B"/>
                <w:sz w:val="20"/>
              </w:rPr>
              <w:t>Included + 30-Day Long-Tail Update</w:t>
            </w:r>
          </w:p>
        </w:tc>
        <w:tc>
          <w:tcPr>
            <w:tcW w:type="dxa" w:w="2448"/>
            <w:shd w:val="clear" w:color="auto" w:fill="FFFFFF"/>
          </w:tcPr>
          <w:p>
            <w:r/>
            <w:r>
              <w:rPr>
                <w:color w:val="1E293B"/>
                <w:sz w:val="20"/>
              </w:rPr>
              <w:t>Included Monthly + Quarterly Executive Strategy Review</w:t>
            </w:r>
          </w:p>
        </w:tc>
      </w:tr>
    </w:tbl>
    <w:p/>
    <w:p>
      <w:pPr>
        <w:pStyle w:val="Heading2"/>
      </w:pPr>
      <w:r>
        <w:t>6. Paid-Ad Whitelisting, Usage Rights &amp; Add-On Pricing Formula</w:t>
      </w:r>
    </w:p>
    <w:p>
      <w:r>
        <w:t>Every package is priced deterministically using our studio's Outcome Sponsorship Valuation Formula:</w:t>
      </w:r>
    </w:p>
    <w:p>
      <w:r>
        <w:t>$$R_{\text{sponsor}} = (\text{Base Placement Rate} \times \text{Niche Authority Multiplier}) + \text{Omnichannel Add-Ons} + \text{Usage Rights Fee} + \text{Exclusivity Fee}$$</w:t>
      </w:r>
    </w:p>
    <w:p>
      <w:pPr>
        <w:pStyle w:val="ListBullet"/>
      </w:pPr>
      <w:r>
        <w:t>Paid-Ad Whitelisting / Cutdown Licensing (+30% of Base Rate per 30-Day Period): Allows your paid acquisition team to run our 60-second native workflow demonstration as a high-converting UGC/creator ad on Meta, YouTube, LinkedIn, or X, or embed the clip directly on your homepage/landing page.</w:t>
      </w:r>
    </w:p>
    <w:p>
      <w:pPr>
        <w:pStyle w:val="ListBullet"/>
      </w:pPr>
      <w:r>
        <w:t>Dedicated Standalone Deep-Dive Tutorial ($4,800 USD): A full 12-to-18-minute end-to-end tutorial built entirely around your platform, including a custom downloadable Notion/Spreadsheet template built for your users.</w:t>
      </w:r>
    </w:p>
    <w:p>
      <w:pPr>
        <w:pStyle w:val="Heading2"/>
      </w:pPr>
      <w:r>
        <w:t>7. 14-Day Production Workflow &amp; Factual Review SLA</w:t>
      </w:r>
    </w:p>
    <w:p>
      <w:pPr>
        <w:pStyle w:val="ListBullet"/>
      </w:pPr>
      <w:r>
        <w:t>Day 01 (Agreement &amp; Deposit Lock): Partner selects Tier A, B, or C, signs the 2-page Creator-Protection Sponsorship Agreement, and remits the 50% scheduling deposit (Net-15 for balance upon publication).</w:t>
      </w:r>
    </w:p>
    <w:p>
      <w:pPr>
        <w:pStyle w:val="ListBullet"/>
      </w:pPr>
      <w:r>
        <w:t>Day 03 (Async Talking-Point Alignment): Partner provides product access, target UTM destination URL, and top 3 factual value propositions.</w:t>
      </w:r>
    </w:p>
    <w:p>
      <w:pPr>
        <w:pStyle w:val="ListBullet"/>
      </w:pPr>
      <w:r>
        <w:t>Day 07 (Integration Storyboard &amp; Factual Check): We submit the exact 60-second workflow demonstration outline and newsletter copy for a single consolidated round of factual verification (48-hour turnaround).</w:t>
      </w:r>
    </w:p>
    <w:p>
      <w:pPr>
        <w:pStyle w:val="ListBullet"/>
      </w:pPr>
      <w:r>
        <w:t>Day 10–12 (Batch Production &amp; 12-Point QA Gate): Integration is recorded, edited with custom visual callouts, and verified across all links.</w:t>
      </w:r>
    </w:p>
    <w:p>
      <w:pPr>
        <w:pStyle w:val="ListBullet"/>
      </w:pPr>
      <w:r>
        <w:t>Day 14 (Omnichannel Publication &amp; Live Link Delivery): Video, newsletter, and social assets go live; live URLs and timestamp links are delivered immediately.</w:t>
      </w:r>
    </w:p>
    <w:p>
      <w:pPr>
        <w:pStyle w:val="ListBullet"/>
      </w:pPr>
      <w:r>
        <w:t>Day 28 (Day-14 Proof-of-Performance ROI Report): We deliver verified view, retention, email open, and UTM click telemetry along with priority renewal options.</w:t>
      </w:r>
    </w:p>
    <w:p>
      <w:pPr>
        <w:pStyle w:val="Heading2"/>
      </w:pPr>
      <w:r>
        <w:t>8. Partnership Onboarding &amp; Reservation Block</w:t>
      </w:r>
    </w:p>
    <w:p>
      <w:r>
        <w:t>To lock in your preferred publication sprint date, complete the fields below and return via email:</w:t>
      </w:r>
    </w:p>
    <w:p>
      <w:pPr>
        <w:pStyle w:val="ListBullet"/>
      </w:pPr>
      <w:r>
        <w:t>Partner Company &amp; Product Name: [ENTER COMPANY &amp; PRODUCT NAME]</w:t>
      </w:r>
    </w:p>
    <w:p>
      <w:pPr>
        <w:pStyle w:val="ListBullet"/>
      </w:pPr>
      <w:r>
        <w:t>Primary Point of Contact (Name, Title, Email): [ENTER CONTACT DETAILS]</w:t>
      </w:r>
    </w:p>
    <w:p>
      <w:pPr>
        <w:pStyle w:val="ListBullet"/>
      </w:pPr>
      <w:r>
        <w:t>Billing Entity Address &amp; Tax/VAT ID: [ENTER BILLING ADDRESS]</w:t>
      </w:r>
    </w:p>
    <w:p>
      <w:pPr>
        <w:pStyle w:val="ListBullet"/>
      </w:pPr>
      <w:r>
        <w:t>Selected Partnership Tier: [ ] Tier A ($1,850)   [ ] Tier B ($3,200)   [ ] Tier C Quarterly ($8,400)</w:t>
      </w:r>
    </w:p>
    <w:p>
      <w:pPr>
        <w:pStyle w:val="ListBullet"/>
      </w:pPr>
      <w:r>
        <w:t>Optional Licensing Add-Ons: [ ] Additional 30-Day Whitelisting (+30%)   [ ] Dedicated Deep-Dive ($4,800)</w:t>
      </w:r>
    </w:p>
    <w:p>
      <w:pPr>
        <w:pStyle w:val="ListBullet"/>
      </w:pPr>
      <w:r>
        <w:t>Target Publication Week &amp; Campaign Goal: [ENTER TARGET WEEK &amp; PRIMARY TRIAL/CONVERSION GOAL]</w:t>
      </w:r>
    </w:p>
    <w:p>
      <w:pPr>
        <w:pStyle w:val="Heading2"/>
      </w:pPr>
      <w:r>
        <w:t>9. Historical Partner Case Studies &amp; Verified Day-14 ROI Telemetry Benchmarks</w:t>
      </w:r>
    </w:p>
    <w:p>
      <w:r>
        <w:t>Unlike traditional consumer entertainment sponsorships that rely on passive mid-roll ad reads and expire within 48 hours of upload, our Live Workflow Demonstration Integrations compound in search and recommendation engines for 12 to 24 months. Below are three representative anonymized B2B SaaS partner campaigns executed across our Pillar Video + Owned Newsletter ecosystem:</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F172A"/>
          </w:tcPr>
          <w:p>
            <w:r/>
            <w:r>
              <w:rPr>
                <w:b/>
                <w:color w:val="FFFFFF"/>
                <w:sz w:val="20"/>
              </w:rPr>
              <w:t>Partner Category &amp; Tier</w:t>
            </w:r>
          </w:p>
        </w:tc>
        <w:tc>
          <w:tcPr>
            <w:tcW w:type="dxa" w:w="1399"/>
            <w:shd w:val="clear" w:color="auto" w:fill="0F172A"/>
          </w:tcPr>
          <w:p>
            <w:r/>
            <w:r>
              <w:rPr>
                <w:b/>
                <w:color w:val="FFFFFF"/>
                <w:sz w:val="20"/>
              </w:rPr>
              <w:t>14-Day Verified Views</w:t>
            </w:r>
          </w:p>
        </w:tc>
        <w:tc>
          <w:tcPr>
            <w:tcW w:type="dxa" w:w="1399"/>
            <w:shd w:val="clear" w:color="auto" w:fill="0F172A"/>
          </w:tcPr>
          <w:p>
            <w:r/>
            <w:r>
              <w:rPr>
                <w:b/>
                <w:color w:val="FFFFFF"/>
                <w:sz w:val="20"/>
              </w:rPr>
              <w:t>Mid-Roll Segment Hold Rate</w:t>
            </w:r>
          </w:p>
        </w:tc>
        <w:tc>
          <w:tcPr>
            <w:tcW w:type="dxa" w:w="1399"/>
            <w:shd w:val="clear" w:color="auto" w:fill="0F172A"/>
          </w:tcPr>
          <w:p>
            <w:r/>
            <w:r>
              <w:rPr>
                <w:b/>
                <w:color w:val="FFFFFF"/>
                <w:sz w:val="20"/>
              </w:rPr>
              <w:t>Newsletter Open / Click Rate</w:t>
            </w:r>
          </w:p>
        </w:tc>
        <w:tc>
          <w:tcPr>
            <w:tcW w:type="dxa" w:w="1399"/>
            <w:shd w:val="clear" w:color="auto" w:fill="0F172A"/>
          </w:tcPr>
          <w:p>
            <w:r/>
            <w:r>
              <w:rPr>
                <w:b/>
                <w:color w:val="FFFFFF"/>
                <w:sz w:val="20"/>
              </w:rPr>
              <w:t>Total Tracked UTM Clicks (14d)</w:t>
            </w:r>
          </w:p>
        </w:tc>
        <w:tc>
          <w:tcPr>
            <w:tcW w:type="dxa" w:w="1399"/>
            <w:shd w:val="clear" w:color="auto" w:fill="0F172A"/>
          </w:tcPr>
          <w:p>
            <w:r/>
            <w:r>
              <w:rPr>
                <w:b/>
                <w:color w:val="FFFFFF"/>
                <w:sz w:val="20"/>
              </w:rPr>
              <w:t>Verified Free-Trial / Demo Signups</w:t>
            </w:r>
          </w:p>
        </w:tc>
        <w:tc>
          <w:tcPr>
            <w:tcW w:type="dxa" w:w="1399"/>
            <w:shd w:val="clear" w:color="auto" w:fill="0F172A"/>
          </w:tcPr>
          <w:p>
            <w:r/>
            <w:r>
              <w:rPr>
                <w:b/>
                <w:color w:val="FFFFFF"/>
                <w:sz w:val="20"/>
              </w:rPr>
              <w:t>Partner Renewal Outcome</w:t>
            </w:r>
          </w:p>
        </w:tc>
      </w:tr>
      <w:tr>
        <w:tc>
          <w:tcPr>
            <w:tcW w:type="dxa" w:w="1399"/>
            <w:shd w:val="clear" w:color="auto" w:fill="FFFFFF"/>
          </w:tcPr>
          <w:p>
            <w:r/>
            <w:r>
              <w:rPr>
                <w:color w:val="1E293B"/>
                <w:sz w:val="20"/>
              </w:rPr>
              <w:t>Case A: AI Workflow Automation SaaS (Tier B · $3,200)</w:t>
            </w:r>
          </w:p>
        </w:tc>
        <w:tc>
          <w:tcPr>
            <w:tcW w:type="dxa" w:w="1399"/>
            <w:shd w:val="clear" w:color="auto" w:fill="FFFFFF"/>
          </w:tcPr>
          <w:p>
            <w:r/>
            <w:r>
              <w:rPr>
                <w:color w:val="1E293B"/>
                <w:sz w:val="20"/>
              </w:rPr>
              <w:t>19,400 Views</w:t>
            </w:r>
          </w:p>
        </w:tc>
        <w:tc>
          <w:tcPr>
            <w:tcW w:type="dxa" w:w="1399"/>
            <w:shd w:val="clear" w:color="auto" w:fill="FFFFFF"/>
          </w:tcPr>
          <w:p>
            <w:r/>
            <w:r>
              <w:rPr>
                <w:color w:val="1E293B"/>
                <w:sz w:val="20"/>
              </w:rPr>
              <w:t>89.4% Hold (0:60–2:15)</w:t>
            </w:r>
          </w:p>
        </w:tc>
        <w:tc>
          <w:tcPr>
            <w:tcW w:type="dxa" w:w="1399"/>
            <w:shd w:val="clear" w:color="auto" w:fill="FFFFFF"/>
          </w:tcPr>
          <w:p>
            <w:r/>
            <w:r>
              <w:rPr>
                <w:color w:val="1E293B"/>
                <w:sz w:val="20"/>
              </w:rPr>
              <w:t>51.2% Open · 7.8% CTR</w:t>
            </w:r>
          </w:p>
        </w:tc>
        <w:tc>
          <w:tcPr>
            <w:tcW w:type="dxa" w:w="1399"/>
            <w:shd w:val="clear" w:color="auto" w:fill="FFFFFF"/>
          </w:tcPr>
          <w:p>
            <w:r/>
            <w:r>
              <w:rPr>
                <w:color w:val="1E293B"/>
                <w:sz w:val="20"/>
              </w:rPr>
              <w:t>842 Unique Clicks</w:t>
            </w:r>
          </w:p>
        </w:tc>
        <w:tc>
          <w:tcPr>
            <w:tcW w:type="dxa" w:w="1399"/>
            <w:shd w:val="clear" w:color="auto" w:fill="FFFFFF"/>
          </w:tcPr>
          <w:p>
            <w:r/>
            <w:r>
              <w:rPr>
                <w:color w:val="1E293B"/>
                <w:sz w:val="20"/>
              </w:rPr>
              <w:t>214 Free Trials ($14.95 CAC)</w:t>
            </w:r>
          </w:p>
        </w:tc>
        <w:tc>
          <w:tcPr>
            <w:tcW w:type="dxa" w:w="1399"/>
            <w:shd w:val="clear" w:color="auto" w:fill="FFFFFF"/>
          </w:tcPr>
          <w:p>
            <w:r/>
            <w:r>
              <w:rPr>
                <w:color w:val="1E293B"/>
                <w:sz w:val="20"/>
              </w:rPr>
              <w:t>Upgraded to Tier C Quarterly ($8,400)</w:t>
            </w:r>
          </w:p>
        </w:tc>
      </w:tr>
      <w:tr>
        <w:tc>
          <w:tcPr>
            <w:tcW w:type="dxa" w:w="1399"/>
            <w:shd w:val="clear" w:color="auto" w:fill="F8FAFC"/>
          </w:tcPr>
          <w:p>
            <w:r/>
            <w:r>
              <w:rPr>
                <w:color w:val="1E293B"/>
                <w:sz w:val="20"/>
              </w:rPr>
              <w:t>Case B: B2B Cloud Analytics Platform (Tier C · $8,400 Qtr)</w:t>
            </w:r>
          </w:p>
        </w:tc>
        <w:tc>
          <w:tcPr>
            <w:tcW w:type="dxa" w:w="1399"/>
            <w:shd w:val="clear" w:color="auto" w:fill="F8FAFC"/>
          </w:tcPr>
          <w:p>
            <w:r/>
            <w:r>
              <w:rPr>
                <w:color w:val="1E293B"/>
                <w:sz w:val="20"/>
              </w:rPr>
              <w:t>64,800 Views (3 Videos)</w:t>
            </w:r>
          </w:p>
        </w:tc>
        <w:tc>
          <w:tcPr>
            <w:tcW w:type="dxa" w:w="1399"/>
            <w:shd w:val="clear" w:color="auto" w:fill="F8FAFC"/>
          </w:tcPr>
          <w:p>
            <w:r/>
            <w:r>
              <w:rPr>
                <w:color w:val="1E293B"/>
                <w:sz w:val="20"/>
              </w:rPr>
              <w:t>87.8% Hold</w:t>
            </w:r>
          </w:p>
        </w:tc>
        <w:tc>
          <w:tcPr>
            <w:tcW w:type="dxa" w:w="1399"/>
            <w:shd w:val="clear" w:color="auto" w:fill="F8FAFC"/>
          </w:tcPr>
          <w:p>
            <w:r/>
            <w:r>
              <w:rPr>
                <w:color w:val="1E293B"/>
                <w:sz w:val="20"/>
              </w:rPr>
              <w:t>49.6% Open · 6.9% CTR</w:t>
            </w:r>
          </w:p>
        </w:tc>
        <w:tc>
          <w:tcPr>
            <w:tcW w:type="dxa" w:w="1399"/>
            <w:shd w:val="clear" w:color="auto" w:fill="F8FAFC"/>
          </w:tcPr>
          <w:p>
            <w:r/>
            <w:r>
              <w:rPr>
                <w:color w:val="1E293B"/>
                <w:sz w:val="20"/>
              </w:rPr>
              <w:t>2,610 Unique Clicks</w:t>
            </w:r>
          </w:p>
        </w:tc>
        <w:tc>
          <w:tcPr>
            <w:tcW w:type="dxa" w:w="1399"/>
            <w:shd w:val="clear" w:color="auto" w:fill="F8FAFC"/>
          </w:tcPr>
          <w:p>
            <w:r/>
            <w:r>
              <w:rPr>
                <w:color w:val="1E293B"/>
                <w:sz w:val="20"/>
              </w:rPr>
              <w:t>148 Team Demos Booked</w:t>
            </w:r>
          </w:p>
        </w:tc>
        <w:tc>
          <w:tcPr>
            <w:tcW w:type="dxa" w:w="1399"/>
            <w:shd w:val="clear" w:color="auto" w:fill="F8FAFC"/>
          </w:tcPr>
          <w:p>
            <w:r/>
            <w:r>
              <w:rPr>
                <w:color w:val="1E293B"/>
                <w:sz w:val="20"/>
              </w:rPr>
              <w:t>Renewed for 2nd Consecutive Quarter</w:t>
            </w:r>
          </w:p>
        </w:tc>
      </w:tr>
      <w:tr>
        <w:tc>
          <w:tcPr>
            <w:tcW w:type="dxa" w:w="1399"/>
            <w:shd w:val="clear" w:color="auto" w:fill="FFFFFF"/>
          </w:tcPr>
          <w:p>
            <w:r/>
            <w:r>
              <w:rPr>
                <w:color w:val="1E293B"/>
                <w:sz w:val="20"/>
              </w:rPr>
              <w:t>Case C: Solopreneur Financial &amp; Tax Tool (Tier A · $1,850)</w:t>
            </w:r>
          </w:p>
        </w:tc>
        <w:tc>
          <w:tcPr>
            <w:tcW w:type="dxa" w:w="1399"/>
            <w:shd w:val="clear" w:color="auto" w:fill="FFFFFF"/>
          </w:tcPr>
          <w:p>
            <w:r/>
            <w:r>
              <w:rPr>
                <w:color w:val="1E293B"/>
                <w:sz w:val="20"/>
              </w:rPr>
              <w:t>14,200 Views</w:t>
            </w:r>
          </w:p>
        </w:tc>
        <w:tc>
          <w:tcPr>
            <w:tcW w:type="dxa" w:w="1399"/>
            <w:shd w:val="clear" w:color="auto" w:fill="FFFFFF"/>
          </w:tcPr>
          <w:p>
            <w:r/>
            <w:r>
              <w:rPr>
                <w:color w:val="1E293B"/>
                <w:sz w:val="20"/>
              </w:rPr>
              <w:t>86.2% Hold</w:t>
            </w:r>
          </w:p>
        </w:tc>
        <w:tc>
          <w:tcPr>
            <w:tcW w:type="dxa" w:w="1399"/>
            <w:shd w:val="clear" w:color="auto" w:fill="FFFFFF"/>
          </w:tcPr>
          <w:p>
            <w:r/>
            <w:r>
              <w:rPr>
                <w:color w:val="1E293B"/>
                <w:sz w:val="20"/>
              </w:rPr>
              <w:t>50.4% Open · 6.4% CTR</w:t>
            </w:r>
          </w:p>
        </w:tc>
        <w:tc>
          <w:tcPr>
            <w:tcW w:type="dxa" w:w="1399"/>
            <w:shd w:val="clear" w:color="auto" w:fill="FFFFFF"/>
          </w:tcPr>
          <w:p>
            <w:r/>
            <w:r>
              <w:rPr>
                <w:color w:val="1E293B"/>
                <w:sz w:val="20"/>
              </w:rPr>
              <w:t>518 Unique Clicks</w:t>
            </w:r>
          </w:p>
        </w:tc>
        <w:tc>
          <w:tcPr>
            <w:tcW w:type="dxa" w:w="1399"/>
            <w:shd w:val="clear" w:color="auto" w:fill="FFFFFF"/>
          </w:tcPr>
          <w:p>
            <w:r/>
            <w:r>
              <w:rPr>
                <w:color w:val="1E293B"/>
                <w:sz w:val="20"/>
              </w:rPr>
              <w:t>132 Paid Subscriptions</w:t>
            </w:r>
          </w:p>
        </w:tc>
        <w:tc>
          <w:tcPr>
            <w:tcW w:type="dxa" w:w="1399"/>
            <w:shd w:val="clear" w:color="auto" w:fill="FFFFFF"/>
          </w:tcPr>
          <w:p>
            <w:r/>
            <w:r>
              <w:rPr>
                <w:color w:val="1E293B"/>
                <w:sz w:val="20"/>
              </w:rPr>
              <w:t>Upgraded to Tier B + 60d Whitelisting</w:t>
            </w:r>
          </w:p>
        </w:tc>
      </w:tr>
    </w:tbl>
    <w:p/>
    <w:p>
      <w:pPr>
        <w:pStyle w:val="Heading3"/>
      </w:pPr>
      <w:r>
        <w:t>Why Our Native Workflow Demonstrations Outperform Standard Ad Reads by 3.4x:</w:t>
      </w:r>
    </w:p>
    <w:p>
      <w:pPr>
        <w:pStyle w:val="ListBullet"/>
      </w:pPr>
      <w:r>
        <w:t>Zero Viewer Ad-Skip Reflex: We never say "This video is brought to you by..." Instead, we introduce your product inside Block 2 or Block 3 of our H.E.A.R.T. tutorial script as the exact software instrument solving the step we are teaching on screen.</w:t>
      </w:r>
    </w:p>
    <w:p>
      <w:pPr>
        <w:pStyle w:val="ListBullet"/>
      </w:pPr>
      <w:r>
        <w:t>Dual-Channel High-Intent Reinforcement: Viewers who watch the 60-second screen demonstration on YouTube receive our Tuesday and Friday Owned Operator Newsletter (49.4% open rate) featuring a direct top-of-fold deep link and implementation checklist for your tool.</w:t>
      </w:r>
    </w:p>
    <w:p>
      <w:pPr>
        <w:pStyle w:val="ListBullet"/>
      </w:pPr>
      <w:r>
        <w:t>Turnkey Paid-Social Cutdown Asset: When your growth team selects Tier B or Tier C, we deliver a clean, high-resolution 16:9 and 9:16 cutdown of the 60-second workflow demonstration ready to deploy immediately inside your Meta, LinkedIn, and YouTube paid acquisition campaigns.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