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92"/>
      </w:tblGrid>
      <w:tr>
        <w:tc>
          <w:tcPr>
            <w:tcW w:type="dxa" w:w="9792"/>
            <w:shd w:val="clear" w:color="auto" w:fill="0F172A"/>
          </w:tcPr>
          <w:p>
            <w:r>
              <w:rPr>
                <w:b/>
                <w:color w:val="2DD4BF"/>
                <w:sz w:val="19"/>
              </w:rPr>
              <w:t>APEX DIGITAL SYSTEMS STUDIO · TEMPLATE 04 · SPONSORSHIP &amp; LICENSING AGREEMENT</w:t>
              <w:br/>
            </w:r>
            <w:r>
              <w:rPr>
                <w:b/>
                <w:color w:val="FFFFFF"/>
                <w:sz w:val="36"/>
              </w:rPr>
              <w:t>Creator-Protection Brand Deal &amp; Usage-Rights Contract Template</w:t>
              <w:br/>
            </w:r>
            <w:r>
              <w:rPr>
                <w:color w:val="CBD5E1"/>
                <w:sz w:val="21"/>
              </w:rPr>
              <w:t>The AI Content Creator &amp; Solopreneur Operating System — Customizable Operator SOP &amp; Commercial Template</w:t>
            </w:r>
          </w:p>
        </w:tc>
      </w:tr>
    </w:tbl>
    <w:p/>
    <w:p>
      <w:pPr>
        <w:pStyle w:val="Heading1"/>
      </w:pPr>
      <w:r>
        <w:t>Creator-Protection Brand Deal &amp; Usage-Rights Agreement Template</w:t>
      </w:r>
    </w:p>
    <w:p>
      <w:pPr>
        <w:pStyle w:val="Heading2"/>
      </w:pPr>
      <w:r>
        <w:t>Commercial Sponsorship, Content Integration &amp; Licensing Contract</w:t>
      </w:r>
    </w:p>
    <w:p>
      <w:r>
        <w:t>This Brand Sponsorship and Content Integration Agreement (the "Agreement") is entered into as of [EFFECTIVE DATE] (the "Effective Date"), by and between:</w:t>
      </w:r>
    </w:p>
    <w:p>
      <w:pPr>
        <w:pStyle w:val="ListBullet"/>
      </w:pPr>
      <w:r>
        <w:t>Creator / Publisher Entity: [CREATOR LEGAL NAME OR STUDIO LLC], operating the media property known as [CHANNEL / NEWSLETTER NAME], with principal offices at [CREATOR BUSINESS ADDRESS] ("Creator"), and</w:t>
      </w:r>
    </w:p>
    <w:p>
      <w:pPr>
        <w:pStyle w:val="ListBullet"/>
      </w:pPr>
      <w:r>
        <w:t>Sponsor / Brand Entity: [SPONSOR LEGAL CORPORATE NAME], with principal offices at [SPONSOR CORPORATE ADDRESS] ("Sponsor").</w:t>
      </w:r>
    </w:p>
    <w:p>
      <w:r>
        <w:t>Creator and Sponsor may each be referred to individually as a "Party" and collectively as the "Parties."</w:t>
      </w:r>
    </w:p>
    <w:p>
      <w:pPr>
        <w:pStyle w:val="Heading2"/>
      </w:pPr>
      <w:r>
        <w:t>1. Scope of Sponsored Deliverables &amp; Publication Schedule</w:t>
      </w:r>
    </w:p>
    <w:p>
      <w:r>
        <w:t>Creator agrees to research, script, produce, and publish the native content integration deliverables specified in the table below (collectively, the "Deliverables") featuring Sponsor's product or service known as [PRODUCT / SERVICE NAME] (the "Featured Product"):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Deliverable ID</w:t>
            </w:r>
          </w:p>
        </w:tc>
        <w:tc>
          <w:tcPr>
            <w:tcW w:type="dxa" w:w="1958"/>
            <w:shd w:val="clear" w:color="auto" w:fill="0F172A"/>
          </w:tcPr>
          <w:p>
            <w:r/>
            <w:r>
              <w:rPr>
                <w:b/>
                <w:color w:val="FFFFFF"/>
                <w:sz w:val="20"/>
              </w:rPr>
              <w:t>Platform &amp; Format</w:t>
            </w:r>
          </w:p>
        </w:tc>
        <w:tc>
          <w:tcPr>
            <w:tcW w:type="dxa" w:w="1958"/>
            <w:shd w:val="clear" w:color="auto" w:fill="0F172A"/>
          </w:tcPr>
          <w:p>
            <w:r/>
            <w:r>
              <w:rPr>
                <w:b/>
                <w:color w:val="FFFFFF"/>
                <w:sz w:val="20"/>
              </w:rPr>
              <w:t>Integration Placement &amp; Duration</w:t>
            </w:r>
          </w:p>
        </w:tc>
        <w:tc>
          <w:tcPr>
            <w:tcW w:type="dxa" w:w="1958"/>
            <w:shd w:val="clear" w:color="auto" w:fill="0F172A"/>
          </w:tcPr>
          <w:p>
            <w:r/>
            <w:r>
              <w:rPr>
                <w:b/>
                <w:color w:val="FFFFFF"/>
                <w:sz w:val="20"/>
              </w:rPr>
              <w:t>Target Publication Date</w:t>
            </w:r>
          </w:p>
        </w:tc>
        <w:tc>
          <w:tcPr>
            <w:tcW w:type="dxa" w:w="1958"/>
            <w:shd w:val="clear" w:color="auto" w:fill="0F172A"/>
          </w:tcPr>
          <w:p>
            <w:r/>
            <w:r>
              <w:rPr>
                <w:b/>
                <w:color w:val="FFFFFF"/>
                <w:sz w:val="20"/>
              </w:rPr>
              <w:t>Included Organic Hosting Window</w:t>
            </w:r>
          </w:p>
        </w:tc>
      </w:tr>
      <w:tr>
        <w:tc>
          <w:tcPr>
            <w:tcW w:type="dxa" w:w="1958"/>
            <w:shd w:val="clear" w:color="auto" w:fill="FFFFFF"/>
          </w:tcPr>
          <w:p>
            <w:r/>
            <w:r>
              <w:rPr>
                <w:color w:val="1E293B"/>
                <w:sz w:val="20"/>
              </w:rPr>
              <w:t>DEL-01</w:t>
            </w:r>
          </w:p>
        </w:tc>
        <w:tc>
          <w:tcPr>
            <w:tcW w:type="dxa" w:w="1958"/>
            <w:shd w:val="clear" w:color="auto" w:fill="FFFFFF"/>
          </w:tcPr>
          <w:p>
            <w:r/>
            <w:r>
              <w:rPr>
                <w:color w:val="1E293B"/>
                <w:sz w:val="20"/>
              </w:rPr>
              <w:t>YouTube Long-Form Pillar Video</w:t>
            </w:r>
          </w:p>
        </w:tc>
        <w:tc>
          <w:tcPr>
            <w:tcW w:type="dxa" w:w="1958"/>
            <w:shd w:val="clear" w:color="auto" w:fill="FFFFFF"/>
          </w:tcPr>
          <w:p>
            <w:r/>
            <w:r>
              <w:rPr>
                <w:color w:val="1E293B"/>
                <w:sz w:val="20"/>
              </w:rPr>
              <w:t>60–90 Second Mid-Roll Native Workflow Demo + Top Description UTM Link + Pinned Comment</w:t>
            </w:r>
          </w:p>
        </w:tc>
        <w:tc>
          <w:tcPr>
            <w:tcW w:type="dxa" w:w="1958"/>
            <w:shd w:val="clear" w:color="auto" w:fill="FFFFFF"/>
          </w:tcPr>
          <w:p>
            <w:r/>
            <w:r>
              <w:rPr>
                <w:color w:val="1E293B"/>
                <w:sz w:val="20"/>
              </w:rPr>
              <w:t>[YYYY-MM-DD]</w:t>
            </w:r>
          </w:p>
        </w:tc>
        <w:tc>
          <w:tcPr>
            <w:tcW w:type="dxa" w:w="1958"/>
            <w:shd w:val="clear" w:color="auto" w:fill="FFFFFF"/>
          </w:tcPr>
          <w:p>
            <w:r/>
            <w:r>
              <w:rPr>
                <w:color w:val="1E293B"/>
                <w:sz w:val="20"/>
              </w:rPr>
              <w:t>Minimum 12 Months Evergreen Organic Hosting</w:t>
            </w:r>
          </w:p>
        </w:tc>
      </w:tr>
      <w:tr>
        <w:tc>
          <w:tcPr>
            <w:tcW w:type="dxa" w:w="1958"/>
            <w:shd w:val="clear" w:color="auto" w:fill="F8FAFC"/>
          </w:tcPr>
          <w:p>
            <w:r/>
            <w:r>
              <w:rPr>
                <w:color w:val="1E293B"/>
                <w:sz w:val="20"/>
              </w:rPr>
              <w:t>DEL-02</w:t>
            </w:r>
          </w:p>
        </w:tc>
        <w:tc>
          <w:tcPr>
            <w:tcW w:type="dxa" w:w="1958"/>
            <w:shd w:val="clear" w:color="auto" w:fill="F8FAFC"/>
          </w:tcPr>
          <w:p>
            <w:r/>
            <w:r>
              <w:rPr>
                <w:color w:val="1E293B"/>
                <w:sz w:val="20"/>
              </w:rPr>
              <w:t>Owned Email Newsletter Issue #1</w:t>
            </w:r>
          </w:p>
        </w:tc>
        <w:tc>
          <w:tcPr>
            <w:tcW w:type="dxa" w:w="1958"/>
            <w:shd w:val="clear" w:color="auto" w:fill="F8FAFC"/>
          </w:tcPr>
          <w:p>
            <w:r/>
            <w:r>
              <w:rPr>
                <w:color w:val="1E293B"/>
                <w:sz w:val="20"/>
              </w:rPr>
              <w:t>Top-of-Fold Primary Sponsor Box (150 words + Brand Logo + Tracked CTA Button)</w:t>
            </w:r>
          </w:p>
        </w:tc>
        <w:tc>
          <w:tcPr>
            <w:tcW w:type="dxa" w:w="1958"/>
            <w:shd w:val="clear" w:color="auto" w:fill="F8FAFC"/>
          </w:tcPr>
          <w:p>
            <w:r/>
            <w:r>
              <w:rPr>
                <w:color w:val="1E293B"/>
                <w:sz w:val="20"/>
              </w:rPr>
              <w:t>[YYYY-MM-DD]</w:t>
            </w:r>
          </w:p>
        </w:tc>
        <w:tc>
          <w:tcPr>
            <w:tcW w:type="dxa" w:w="1958"/>
            <w:shd w:val="clear" w:color="auto" w:fill="F8FAFC"/>
          </w:tcPr>
          <w:p>
            <w:r/>
            <w:r>
              <w:rPr>
                <w:color w:val="1E293B"/>
                <w:sz w:val="20"/>
              </w:rPr>
              <w:t>Permanent Web Archive Inclusion</w:t>
            </w:r>
          </w:p>
        </w:tc>
      </w:tr>
      <w:tr>
        <w:tc>
          <w:tcPr>
            <w:tcW w:type="dxa" w:w="1958"/>
            <w:shd w:val="clear" w:color="auto" w:fill="FFFFFF"/>
          </w:tcPr>
          <w:p>
            <w:r/>
            <w:r>
              <w:rPr>
                <w:color w:val="1E293B"/>
                <w:sz w:val="20"/>
              </w:rPr>
              <w:t>DEL-03</w:t>
            </w:r>
          </w:p>
        </w:tc>
        <w:tc>
          <w:tcPr>
            <w:tcW w:type="dxa" w:w="1958"/>
            <w:shd w:val="clear" w:color="auto" w:fill="FFFFFF"/>
          </w:tcPr>
          <w:p>
            <w:r/>
            <w:r>
              <w:rPr>
                <w:color w:val="1E293B"/>
                <w:sz w:val="20"/>
              </w:rPr>
              <w:t>Owned Email Newsletter Issue #2</w:t>
            </w:r>
          </w:p>
        </w:tc>
        <w:tc>
          <w:tcPr>
            <w:tcW w:type="dxa" w:w="1958"/>
            <w:shd w:val="clear" w:color="auto" w:fill="FFFFFF"/>
          </w:tcPr>
          <w:p>
            <w:r/>
            <w:r>
              <w:rPr>
                <w:color w:val="1E293B"/>
                <w:sz w:val="20"/>
              </w:rPr>
              <w:t>Mid-Issue Operator Tool Spotlight (100 words + Tracked CTA Link)</w:t>
            </w:r>
          </w:p>
        </w:tc>
        <w:tc>
          <w:tcPr>
            <w:tcW w:type="dxa" w:w="1958"/>
            <w:shd w:val="clear" w:color="auto" w:fill="FFFFFF"/>
          </w:tcPr>
          <w:p>
            <w:r/>
            <w:r>
              <w:rPr>
                <w:color w:val="1E293B"/>
                <w:sz w:val="20"/>
              </w:rPr>
              <w:t>[YYYY-MM-DD]</w:t>
            </w:r>
          </w:p>
        </w:tc>
        <w:tc>
          <w:tcPr>
            <w:tcW w:type="dxa" w:w="1958"/>
            <w:shd w:val="clear" w:color="auto" w:fill="FFFFFF"/>
          </w:tcPr>
          <w:p>
            <w:r/>
            <w:r>
              <w:rPr>
                <w:color w:val="1E293B"/>
                <w:sz w:val="20"/>
              </w:rPr>
              <w:t>Permanent Web Archive Inclusion</w:t>
            </w:r>
          </w:p>
        </w:tc>
      </w:tr>
      <w:tr>
        <w:tc>
          <w:tcPr>
            <w:tcW w:type="dxa" w:w="1958"/>
            <w:shd w:val="clear" w:color="auto" w:fill="F8FAFC"/>
          </w:tcPr>
          <w:p>
            <w:r/>
            <w:r>
              <w:rPr>
                <w:color w:val="1E293B"/>
                <w:sz w:val="20"/>
              </w:rPr>
              <w:t>DEL-04</w:t>
            </w:r>
          </w:p>
        </w:tc>
        <w:tc>
          <w:tcPr>
            <w:tcW w:type="dxa" w:w="1958"/>
            <w:shd w:val="clear" w:color="auto" w:fill="F8FAFC"/>
          </w:tcPr>
          <w:p>
            <w:r/>
            <w:r>
              <w:rPr>
                <w:color w:val="1E293B"/>
                <w:sz w:val="20"/>
              </w:rPr>
              <w:t>LinkedIn &amp; X Native Breakdown</w:t>
            </w:r>
          </w:p>
        </w:tc>
        <w:tc>
          <w:tcPr>
            <w:tcW w:type="dxa" w:w="1958"/>
            <w:shd w:val="clear" w:color="auto" w:fill="F8FAFC"/>
          </w:tcPr>
          <w:p>
            <w:r/>
            <w:r>
              <w:rPr>
                <w:color w:val="1E293B"/>
                <w:sz w:val="20"/>
              </w:rPr>
              <w:t>1x Long-Form LinkedIn Post + 1x X Thread featuring workflow takeaway &amp; link</w:t>
            </w:r>
          </w:p>
        </w:tc>
        <w:tc>
          <w:tcPr>
            <w:tcW w:type="dxa" w:w="1958"/>
            <w:shd w:val="clear" w:color="auto" w:fill="F8FAFC"/>
          </w:tcPr>
          <w:p>
            <w:r/>
            <w:r>
              <w:rPr>
                <w:color w:val="1E293B"/>
                <w:sz w:val="20"/>
              </w:rPr>
              <w:t>[YYYY-MM-DD]</w:t>
            </w:r>
          </w:p>
        </w:tc>
        <w:tc>
          <w:tcPr>
            <w:tcW w:type="dxa" w:w="1958"/>
            <w:shd w:val="clear" w:color="auto" w:fill="F8FAFC"/>
          </w:tcPr>
          <w:p>
            <w:r/>
            <w:r>
              <w:rPr>
                <w:color w:val="1E293B"/>
                <w:sz w:val="20"/>
              </w:rPr>
              <w:t>Permanent Organic Feed Hosting</w:t>
            </w:r>
          </w:p>
        </w:tc>
      </w:tr>
    </w:tbl>
    <w:p/>
    <w:p>
      <w:pPr>
        <w:pStyle w:val="ListBullet"/>
      </w:pPr>
      <w:r>
        <w:t>No Implied Additional Deliverables: Any social posts, vertical short-form cutdowns, raw unedited video files, or additional revisions not explicitly listed in Section 1 are excluded from this Agreement unless added via a signed written amendment.</w:t>
      </w:r>
    </w:p>
    <w:p>
      <w:pPr>
        <w:pStyle w:val="Heading2"/>
      </w:pPr>
      <w:r>
        <w:t>2. Creative Control, Editorial Independence &amp; Revision Cap</w:t>
      </w:r>
    </w:p>
    <w:p>
      <w:pPr>
        <w:pStyle w:val="ListBullet"/>
      </w:pPr>
      <w:r>
        <w:t>Creator Voice &amp; Format Authority: Sponsor acknowledges that Creator's audience trust and high retention rates depend on Creator's authentic editorial voice, visual style, and instructional format. Creator retains final creative authority over the scripting, pacing, visual presentation, and surrounding editorial content of the Pillar Video and Newsletter issues.</w:t>
      </w:r>
    </w:p>
    <w:p>
      <w:pPr>
        <w:pStyle w:val="ListBullet"/>
      </w:pPr>
      <w:r>
        <w:t>Factual Brief &amp; Prohibited Claims: Sponsor shall provide a written factual brief (the "Sponsor Brief") no later than 7 business days prior to the Target Publication Date containing up to three (3) core product talking points, mandatory legal disclaimers, and the exact tracked destination URL.</w:t>
      </w:r>
    </w:p>
    <w:p>
      <w:pPr>
        <w:pStyle w:val="ListBullet"/>
      </w:pPr>
      <w:r>
        <w:t>Single Consolidated Factual Revision Round: Prior to publication, Creator shall submit the proposed integration script/storyboard (or rough-cut integration segment) to Sponsor for factual accuracy review only. Sponsor shall have 48 hours from delivery to request one (1) consolidated round of factual corrections. If Sponsor does not respond within 48 hours, the integration segment is deemed approved for publication.</w:t>
      </w:r>
    </w:p>
    <w:p>
      <w:pPr>
        <w:pStyle w:val="ListBullet"/>
      </w:pPr>
      <w:r>
        <w:t>Reshoot &amp; Scope-Creep Fee: Any request by Sponsor to alter approved talking points after Creator has recorded the integration segment, or any request for a second revision round unrelated to objective factual errors by Creator, shall incur a mandatory Reshoot &amp; Re-Editing Fee equal to 25% of the Base Package Fee ($[AMOUNT]).</w:t>
      </w:r>
    </w:p>
    <w:p>
      <w:pPr>
        <w:pStyle w:val="Heading2"/>
      </w:pPr>
      <w:r>
        <w:t>3. Intellectual Property Ownership, Paid-Ad Whitelisting &amp; AI Training Prohibition</w:t>
      </w:r>
    </w:p>
    <w:p>
      <w:pPr>
        <w:pStyle w:val="ListBullet"/>
      </w:pPr>
      <w:r>
        <w:t>Creator Retention of Master Copyright: Creator retains 100% ownership, copyright, and intellectual property rights in and to all Pillar Videos, Newsletter issues, scripts, visual diagrams, and underlying templates, including the integrated sponsorship segments.</w:t>
      </w:r>
    </w:p>
    <w:p>
      <w:pPr>
        <w:pStyle w:val="ListBullet"/>
      </w:pPr>
      <w:r>
        <w:t>Standard Organic Social Sharing Rights: During the Term, Sponsor is granted a non-exclusive, revocable license to share direct links to the published Deliverables on Sponsor's organic social media accounts and internal company communications with proper attribution to Creator.</w:t>
      </w:r>
    </w:p>
    <w:p>
      <w:pPr>
        <w:pStyle w:val="ListBullet"/>
      </w:pPr>
      <w:r>
        <w:t>Paid-Ad Whitelisting, Dark Posting &amp; Commercial Cutdown License (+30% / 30 Days):</w:t>
      </w:r>
    </w:p>
    <w:p>
      <w:pPr>
        <w:pStyle w:val="ListBullet"/>
      </w:pPr>
      <w:r>
        <w:t>Selection Status: [ ] NOT INCLUDED (Organic Hosting Only)   [X] INCLUDED FOR [30 / 60 / 90] DAYS</w:t>
      </w:r>
    </w:p>
    <w:p>
      <w:pPr>
        <w:pStyle w:val="ListBullet"/>
      </w:pPr>
      <w:r>
        <w:t>Unless explicitly checked above and paid for in Section 5, Sponsor is strictly prohibited from downloading, clipping, re-uploading, boosting, whitelisting, or running any portion of Creator's video, audio, or likeness as a paid advertisement (including Meta Ads, YouTube Ads, LinkedIn Ads, TikTok Spark Ads, or website sales-page embeds).</w:t>
      </w:r>
    </w:p>
    <w:p>
      <w:pPr>
        <w:pStyle w:val="ListBullet"/>
      </w:pPr>
      <w:r>
        <w:t>Where Paid-Ad Licensing is purchased, Sponsor is granted a limited, non-exclusive license for [30 / 60 / 90] calendar days from publication to run the approved 60-second integration clip in paid social campaigns at a licensing rate of 30% of the Base Package Fee per 30-day period ($[USAGE FEE]). Upon expiration of the licensed window, Sponsor must pause all paid ad sets within 48 hours or renew at the standard monthly licensing rate.</w:t>
      </w:r>
    </w:p>
    <w:p>
      <w:pPr>
        <w:pStyle w:val="ListBullet"/>
      </w:pPr>
      <w:r>
        <w:t>Strict Prohibition on Generative AI Voice, Likeness &amp; Style Training: Sponsor (and its agencies, contractors, or affiliates) shall never feed, upload, or use Creator's voice, facial likeness, video footage, or written scripts to train, fine-tune, clone, or synthesize any artificial intelligence model, synthetic voice clone, or digital avatar under any circumstances. Breach of this clause triggers immediate termination and liquidated damages equal to 300% of the Total Contract Value.</w:t>
      </w:r>
    </w:p>
    <w:p>
      <w:pPr>
        <w:pStyle w:val="Heading2"/>
      </w:pPr>
      <w:r>
        <w:t>4. Category Exclusivity &amp; Non-Compete Boundaries</w:t>
      </w:r>
    </w:p>
    <w:p>
      <w:pPr>
        <w:pStyle w:val="ListBullet"/>
      </w:pPr>
      <w:r>
        <w:t>Exclusivity Window: During the [7 / 30 / 90]-day period following the publication of DEL-01, Creator agrees not to publish a paid sponsorship integration featuring the following named direct competitors of Sponsor: [LIST MAXIMUM 3 NAMED DIRECT COMPETITOR BRANDS].</w:t>
      </w:r>
    </w:p>
    <w:p>
      <w:pPr>
        <w:pStyle w:val="ListBullet"/>
      </w:pPr>
      <w:r>
        <w:t>Editorial Mention Carve-Out: This exclusivity applies strictly to paid commercial sponsorships and does not restrict Creator from mentioning industry tools in unpaid, objective educational comparisons.</w:t>
      </w:r>
    </w:p>
    <w:p>
      <w:pPr>
        <w:pStyle w:val="Heading2"/>
      </w:pPr>
      <w:r>
        <w:t>5. Compensation, Deposit Structure, Net-15 Invoicing &amp; Late Fees</w:t>
      </w:r>
    </w:p>
    <w:p>
      <w:r>
        <w:t>In consideration for the Deliverables and rights granted herein, Sponsor agrees to pay Creator the Total Contract Value calculated below:</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Fee Component</w:t>
            </w:r>
          </w:p>
        </w:tc>
        <w:tc>
          <w:tcPr>
            <w:tcW w:type="dxa" w:w="3264"/>
            <w:shd w:val="clear" w:color="auto" w:fill="0F172A"/>
          </w:tcPr>
          <w:p>
            <w:r/>
            <w:r>
              <w:rPr>
                <w:b/>
                <w:color w:val="FFFFFF"/>
                <w:sz w:val="20"/>
              </w:rPr>
              <w:t>Calculation Basis</w:t>
            </w:r>
          </w:p>
        </w:tc>
        <w:tc>
          <w:tcPr>
            <w:tcW w:type="dxa" w:w="3264"/>
            <w:shd w:val="clear" w:color="auto" w:fill="0F172A"/>
          </w:tcPr>
          <w:p>
            <w:r/>
            <w:r>
              <w:rPr>
                <w:b/>
                <w:color w:val="FFFFFF"/>
                <w:sz w:val="20"/>
              </w:rPr>
              <w:t>Agreed Amount (USD)</w:t>
            </w:r>
          </w:p>
        </w:tc>
      </w:tr>
      <w:tr>
        <w:tc>
          <w:tcPr>
            <w:tcW w:type="dxa" w:w="3264"/>
            <w:shd w:val="clear" w:color="auto" w:fill="FFFFFF"/>
          </w:tcPr>
          <w:p>
            <w:r/>
            <w:r>
              <w:rPr>
                <w:color w:val="1E293B"/>
                <w:sz w:val="20"/>
              </w:rPr>
              <w:t>1. Base Omnichannel Outcome Package (DEL-01 to DEL-04)</w:t>
            </w:r>
          </w:p>
        </w:tc>
        <w:tc>
          <w:tcPr>
            <w:tcW w:type="dxa" w:w="3264"/>
            <w:shd w:val="clear" w:color="auto" w:fill="FFFFFF"/>
          </w:tcPr>
          <w:p>
            <w:r/>
            <w:r>
              <w:rPr>
                <w:color w:val="1E293B"/>
                <w:sz w:val="20"/>
              </w:rPr>
              <w:t>Base Rate × Niche Authority Multiplier (2.0x) + Add-Ons</w:t>
            </w:r>
          </w:p>
        </w:tc>
        <w:tc>
          <w:tcPr>
            <w:tcW w:type="dxa" w:w="3264"/>
            <w:shd w:val="clear" w:color="auto" w:fill="FFFFFF"/>
          </w:tcPr>
          <w:p>
            <w:r/>
            <w:r>
              <w:rPr>
                <w:color w:val="1E293B"/>
                <w:sz w:val="20"/>
              </w:rPr>
              <w:t>$[2,500.00]</w:t>
            </w:r>
          </w:p>
        </w:tc>
      </w:tr>
      <w:tr>
        <w:tc>
          <w:tcPr>
            <w:tcW w:type="dxa" w:w="3264"/>
            <w:shd w:val="clear" w:color="auto" w:fill="F8FAFC"/>
          </w:tcPr>
          <w:p>
            <w:r/>
            <w:r>
              <w:rPr>
                <w:color w:val="1E293B"/>
                <w:sz w:val="20"/>
              </w:rPr>
              <w:t>2. Paid-Ad Whitelisting &amp; Cutdown License</w:t>
            </w:r>
          </w:p>
        </w:tc>
        <w:tc>
          <w:tcPr>
            <w:tcW w:type="dxa" w:w="3264"/>
            <w:shd w:val="clear" w:color="auto" w:fill="F8FAFC"/>
          </w:tcPr>
          <w:p>
            <w:r/>
            <w:r>
              <w:rPr>
                <w:color w:val="1E293B"/>
                <w:sz w:val="20"/>
              </w:rPr>
              <w:t>30% of Base Rate × [1] Month (30 Days)</w:t>
            </w:r>
          </w:p>
        </w:tc>
        <w:tc>
          <w:tcPr>
            <w:tcW w:type="dxa" w:w="3264"/>
            <w:shd w:val="clear" w:color="auto" w:fill="F8FAFC"/>
          </w:tcPr>
          <w:p>
            <w:r/>
            <w:r>
              <w:rPr>
                <w:color w:val="1E293B"/>
                <w:sz w:val="20"/>
              </w:rPr>
              <w:t>$[750.00]</w:t>
            </w:r>
          </w:p>
        </w:tc>
      </w:tr>
      <w:tr>
        <w:tc>
          <w:tcPr>
            <w:tcW w:type="dxa" w:w="3264"/>
            <w:shd w:val="clear" w:color="auto" w:fill="FFFFFF"/>
          </w:tcPr>
          <w:p>
            <w:r/>
            <w:r>
              <w:rPr>
                <w:color w:val="1E293B"/>
                <w:sz w:val="20"/>
              </w:rPr>
              <w:t>3. Direct Competitor Category Exclusivity Fee</w:t>
            </w:r>
          </w:p>
        </w:tc>
        <w:tc>
          <w:tcPr>
            <w:tcW w:type="dxa" w:w="3264"/>
            <w:shd w:val="clear" w:color="auto" w:fill="FFFFFF"/>
          </w:tcPr>
          <w:p>
            <w:r/>
            <w:r>
              <w:rPr>
                <w:color w:val="1E293B"/>
                <w:sz w:val="20"/>
              </w:rPr>
              <w:t>[30-Day] Named Competitor Lock</w:t>
            </w:r>
          </w:p>
        </w:tc>
        <w:tc>
          <w:tcPr>
            <w:tcW w:type="dxa" w:w="3264"/>
            <w:shd w:val="clear" w:color="auto" w:fill="FFFFFF"/>
          </w:tcPr>
          <w:p>
            <w:r/>
            <w:r>
              <w:rPr>
                <w:color w:val="1E293B"/>
                <w:sz w:val="20"/>
              </w:rPr>
              <w:t>$[250.00]</w:t>
            </w:r>
          </w:p>
        </w:tc>
      </w:tr>
      <w:tr>
        <w:tc>
          <w:tcPr>
            <w:tcW w:type="dxa" w:w="3264"/>
            <w:shd w:val="clear" w:color="auto" w:fill="F8FAFC"/>
          </w:tcPr>
          <w:p>
            <w:r/>
            <w:r>
              <w:rPr>
                <w:color w:val="1E293B"/>
                <w:sz w:val="20"/>
              </w:rPr>
              <w:t>TOTAL CONTRACT VALUE (USD)</w:t>
            </w:r>
          </w:p>
        </w:tc>
        <w:tc>
          <w:tcPr>
            <w:tcW w:type="dxa" w:w="3264"/>
            <w:shd w:val="clear" w:color="auto" w:fill="F8FAFC"/>
          </w:tcPr>
          <w:p>
            <w:r/>
            <w:r>
              <w:rPr>
                <w:color w:val="1E293B"/>
                <w:sz w:val="20"/>
              </w:rPr>
              <w:t>All-Inclusive Net Payable to Creator</w:t>
            </w:r>
          </w:p>
        </w:tc>
        <w:tc>
          <w:tcPr>
            <w:tcW w:type="dxa" w:w="3264"/>
            <w:shd w:val="clear" w:color="auto" w:fill="F8FAFC"/>
          </w:tcPr>
          <w:p>
            <w:r/>
            <w:r>
              <w:rPr>
                <w:color w:val="1E293B"/>
                <w:sz w:val="20"/>
              </w:rPr>
              <w:t>$[3,500.00] USD</w:t>
            </w:r>
          </w:p>
        </w:tc>
      </w:tr>
    </w:tbl>
    <w:p/>
    <w:p>
      <w:pPr>
        <w:pStyle w:val="ListBullet"/>
      </w:pPr>
      <w:r>
        <w:t>Payment Schedule:</w:t>
      </w:r>
    </w:p>
    <w:p>
      <w:pPr>
        <w:pStyle w:val="ListBullet"/>
      </w:pPr>
      <w:r>
        <w:t>50% Production &amp; Calendar Reservation Deposit ($[1,750.00]): Due upon execution of this Agreement to lock Creator's production calendar. Production does not commence until the deposit clears.</w:t>
      </w:r>
    </w:p>
    <w:p>
      <w:pPr>
        <w:pStyle w:val="ListBullet"/>
      </w:pPr>
      <w:r>
        <w:t>50% Publication Balance ($[1,750.00]): Invoiced upon live publication of DEL-01, payable strictly Net-15 calendar days via ACH/Wire/Payoneer EFT to Creator's designated account.</w:t>
      </w:r>
    </w:p>
    <w:p>
      <w:pPr>
        <w:pStyle w:val="ListBullet"/>
      </w:pPr>
      <w:r>
        <w:t>Late Payment Interest &amp; Removal Right: Any invoice remaining unpaid past Net-15 shall accrue a late administrative fee of 3.0% per month (or the maximum rate permitted by law). If an invoice remains unpaid 30 days past due, Creator reserves the right to unlist or remove the sponsorship links and revoke all Usage Rights until paid in full, without waiving Creator's right to collect the full contract balance.</w:t>
      </w:r>
    </w:p>
    <w:p>
      <w:pPr>
        <w:pStyle w:val="Heading2"/>
      </w:pPr>
      <w:r>
        <w:t>6. Cancellation, Postponement &amp; Kill-Fee Protection</w:t>
      </w:r>
    </w:p>
    <w:p>
      <w:pPr>
        <w:pStyle w:val="ListBullet"/>
      </w:pPr>
      <w:r>
        <w:t>Kill Fee Before Recording (50%): If Sponsor cancels this Agreement after booking the calendar slot and approving the Sponsor Brief, but prior to Creator recording the integration, Creator shall retain the 50% Reservation Deposit as a non-refundable kill fee compensating for lost inventory.</w:t>
      </w:r>
    </w:p>
    <w:p>
      <w:pPr>
        <w:pStyle w:val="ListBullet"/>
      </w:pPr>
      <w:r>
        <w:t>Kill Fee After Recording (100%): If Sponsor cancels the campaign after Creator has recorded the integration segment in accordance with the approved Sponsor Brief, 100% of the Total Contract Value is immediately due and payable.</w:t>
      </w:r>
    </w:p>
    <w:p>
      <w:pPr>
        <w:pStyle w:val="ListBullet"/>
      </w:pPr>
      <w:r>
        <w:t>Sponsor-Requested Postponement: Sponsor may request a one-time reschedule of the publication date with at least 10 days advance written notice, provided the new publication date falls within 30 days of the original date.</w:t>
      </w:r>
    </w:p>
    <w:p>
      <w:pPr>
        <w:pStyle w:val="Heading2"/>
      </w:pPr>
      <w:r>
        <w:t>7. FTC Disclosure, Representations &amp; Limitation of Liability</w:t>
      </w:r>
    </w:p>
    <w:p>
      <w:pPr>
        <w:pStyle w:val="ListBullet"/>
      </w:pPr>
      <w:r>
        <w:t>FTC &amp; Platform Compliance: Creator shall clearly disclose the material connection between Creator and Sponsor in all Deliverables (e.g., verbal disclosure, #ad or Sponsored by [Brand] label, and YouTube's built-in Paid Promotion checkbox) in full compliance with US Federal Trade Commission (FTC) Endorsement Guides.</w:t>
      </w:r>
    </w:p>
    <w:p>
      <w:pPr>
        <w:pStyle w:val="ListBullet"/>
      </w:pPr>
      <w:r>
        <w:t>No Guaranteed View or Sales Minimums: Sponsor acknowledges that organic algorithmic distribution and viewer purchasing decisions are outside Creator's control. Unless an explicit view-guarantee addendum is attached, fees are based on Deliverable execution and audience access rather than guaranteed view or conversion counts.</w:t>
      </w:r>
    </w:p>
    <w:p>
      <w:pPr>
        <w:pStyle w:val="ListBullet"/>
      </w:pPr>
      <w:r>
        <w:t>Mutual Indemnification &amp; Liability Cap: Sponsor warrants that the Featured Product and all claims in the Sponsor Brief are truthful, lawful, and non-infringing, and agrees to indemnify Creator against any third-party claims arising from Sponsor's product or claims. In no event shall Creator's aggregate liability under this Agreement exceed the total fees actually paid by Sponsor hereunder.</w:t>
      </w:r>
    </w:p>
    <w:p>
      <w:pPr>
        <w:pStyle w:val="Heading2"/>
      </w:pPr>
      <w:r>
        <w:t>8. Authorized Signatures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FOR CREATOR / PUBLISHER:</w:t>
            </w:r>
          </w:p>
        </w:tc>
        <w:tc>
          <w:tcPr>
            <w:tcW w:type="dxa" w:w="4896"/>
            <w:shd w:val="clear" w:color="auto" w:fill="0F172A"/>
          </w:tcPr>
          <w:p>
            <w:r/>
            <w:r>
              <w:rPr>
                <w:b/>
                <w:color w:val="FFFFFF"/>
                <w:sz w:val="20"/>
              </w:rPr>
              <w:t>FOR SPONSOR / BRAND:</w:t>
            </w:r>
          </w:p>
        </w:tc>
      </w:tr>
      <w:tr>
        <w:tc>
          <w:tcPr>
            <w:tcW w:type="dxa" w:w="4896"/>
            <w:shd w:val="clear" w:color="auto" w:fill="FFFFFF"/>
          </w:tcPr>
          <w:p>
            <w:r/>
            <w:r>
              <w:rPr>
                <w:color w:val="1E293B"/>
                <w:sz w:val="20"/>
              </w:rPr>
              <w:t>Signature: ______________________________</w:t>
            </w:r>
          </w:p>
        </w:tc>
        <w:tc>
          <w:tcPr>
            <w:tcW w:type="dxa" w:w="4896"/>
            <w:shd w:val="clear" w:color="auto" w:fill="FFFFFF"/>
          </w:tcPr>
          <w:p>
            <w:r/>
            <w:r>
              <w:rPr>
                <w:color w:val="1E293B"/>
                <w:sz w:val="20"/>
              </w:rPr>
              <w:t>Signature: ______________________________</w:t>
            </w:r>
          </w:p>
        </w:tc>
      </w:tr>
      <w:tr>
        <w:tc>
          <w:tcPr>
            <w:tcW w:type="dxa" w:w="4896"/>
            <w:shd w:val="clear" w:color="auto" w:fill="F8FAFC"/>
          </w:tcPr>
          <w:p>
            <w:r/>
            <w:r>
              <w:rPr>
                <w:color w:val="1E293B"/>
                <w:sz w:val="20"/>
              </w:rPr>
              <w:t>Printed Name: [CREATOR LEGAL NAME]</w:t>
            </w:r>
          </w:p>
        </w:tc>
        <w:tc>
          <w:tcPr>
            <w:tcW w:type="dxa" w:w="4896"/>
            <w:shd w:val="clear" w:color="auto" w:fill="F8FAFC"/>
          </w:tcPr>
          <w:p>
            <w:r/>
            <w:r>
              <w:rPr>
                <w:color w:val="1E293B"/>
                <w:sz w:val="20"/>
              </w:rPr>
              <w:t>Printed Name: [AUTHORIZED SIGNATORY NAME]</w:t>
            </w:r>
          </w:p>
        </w:tc>
      </w:tr>
      <w:tr>
        <w:tc>
          <w:tcPr>
            <w:tcW w:type="dxa" w:w="4896"/>
            <w:shd w:val="clear" w:color="auto" w:fill="FFFFFF"/>
          </w:tcPr>
          <w:p>
            <w:r/>
            <w:r>
              <w:rPr>
                <w:color w:val="1E293B"/>
                <w:sz w:val="20"/>
              </w:rPr>
              <w:t>Title: Founder &amp; Principal Operator</w:t>
            </w:r>
          </w:p>
        </w:tc>
        <w:tc>
          <w:tcPr>
            <w:tcW w:type="dxa" w:w="4896"/>
            <w:shd w:val="clear" w:color="auto" w:fill="FFFFFF"/>
          </w:tcPr>
          <w:p>
            <w:r/>
            <w:r>
              <w:rPr>
                <w:color w:val="1E293B"/>
                <w:sz w:val="20"/>
              </w:rPr>
              <w:t>Title: [VP MARKETING / PARTNERSHIPS]</w:t>
            </w:r>
          </w:p>
        </w:tc>
      </w:tr>
      <w:tr>
        <w:tc>
          <w:tcPr>
            <w:tcW w:type="dxa" w:w="4896"/>
            <w:shd w:val="clear" w:color="auto" w:fill="F8FAFC"/>
          </w:tcPr>
          <w:p>
            <w:r/>
            <w:r>
              <w:rPr>
                <w:color w:val="1E293B"/>
                <w:sz w:val="20"/>
              </w:rPr>
              <w:t>Date: [YYYY-MM-DD]</w:t>
            </w:r>
          </w:p>
        </w:tc>
        <w:tc>
          <w:tcPr>
            <w:tcW w:type="dxa" w:w="4896"/>
            <w:shd w:val="clear" w:color="auto" w:fill="F8FAFC"/>
          </w:tcPr>
          <w:p>
            <w:r/>
            <w:r>
              <w:rPr>
                <w:color w:val="1E293B"/>
                <w:sz w:val="20"/>
              </w:rPr>
              <w:t>Date: [YYYY-MM-DD]</w:t>
            </w:r>
          </w:p>
        </w:tc>
      </w:tr>
    </w:tbl>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