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90-Day AI Automation Rollout Proposal, Business Case &amp; Governance Charter</w:t>
      </w:r>
    </w:p>
    <w:p>
      <w:pPr>
        <w:pStyle w:val="Heading2"/>
      </w:pPr>
      <w:r>
        <w:t>1. Executive Purpose &amp; Operational Mandate</w:t>
      </w:r>
    </w:p>
    <w:p>
      <w:r>
        <w:t>This charter establishes the financial business case, departmental scope, human-in-the-loop safety governance, and 90-day sprint execution plan for deploying The Small Business AI Automation Operating System across our organization. Our primary objective is to eliminate repetitive manual data entry, compress inbound lead response latency below 60 seconds, standardize three-option client proposals, deflect routine Tier-1 support tickets, and accelerate accounts receivable cash collection—without adding administrative headcount or compromising customer trust.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172A"/>
          </w:tcPr>
          <w:p>
            <w:r>
              <w:rPr>
                <w:b/>
                <w:color w:val="FFFFFF"/>
                <w:sz w:val="19"/>
              </w:rPr>
              <w:t>Charter Metadata Field</w:t>
            </w:r>
          </w:p>
        </w:tc>
        <w:tc>
          <w:tcPr>
            <w:tcW w:type="dxa" w:w="4824"/>
            <w:shd w:val="clear" w:color="auto" w:fill="0F172A"/>
          </w:tcPr>
          <w:p>
            <w:r>
              <w:rPr>
                <w:b/>
                <w:color w:val="FFFFFF"/>
                <w:sz w:val="19"/>
              </w:rPr>
              <w:t>Operational Specification</w:t>
            </w:r>
          </w:p>
        </w:tc>
      </w:tr>
      <w:tr>
        <w:tc>
          <w:tcPr>
            <w:tcW w:type="dxa" w:w="4824"/>
            <w:shd w:val="clear" w:color="auto" w:fill="F8FAFC"/>
          </w:tcPr>
          <w:p>
            <w:r>
              <w:rPr>
                <w:sz w:val="19"/>
              </w:rPr>
              <w:t>Document ID</w:t>
            </w:r>
          </w:p>
        </w:tc>
        <w:tc>
          <w:tcPr>
            <w:tcW w:type="dxa" w:w="4824"/>
            <w:shd w:val="clear" w:color="auto" w:fill="F8FAFC"/>
          </w:tcPr>
          <w:p>
            <w:r>
              <w:rPr>
                <w:sz w:val="19"/>
              </w:rPr>
              <w:t>SOP-CHARTER-03-ROLLOUT-2026</w:t>
            </w:r>
          </w:p>
        </w:tc>
      </w:tr>
      <w:tr>
        <w:tc>
          <w:tcPr>
            <w:tcW w:type="dxa" w:w="4824"/>
          </w:tcPr>
          <w:p>
            <w:r>
              <w:rPr>
                <w:sz w:val="19"/>
              </w:rPr>
              <w:t>Sponsoring Executive / Owner</w:t>
            </w:r>
          </w:p>
        </w:tc>
        <w:tc>
          <w:tcPr>
            <w:tcW w:type="dxa" w:w="4824"/>
          </w:tcPr>
          <w:p>
            <w:r>
              <w:rPr>
                <w:sz w:val="19"/>
              </w:rPr>
              <w:t>Managing Director / Principal Owner</w:t>
            </w:r>
          </w:p>
        </w:tc>
      </w:tr>
      <w:tr>
        <w:tc>
          <w:tcPr>
            <w:tcW w:type="dxa" w:w="4824"/>
            <w:shd w:val="clear" w:color="auto" w:fill="F8FAFC"/>
          </w:tcPr>
          <w:p>
            <w:r>
              <w:rPr>
                <w:sz w:val="19"/>
              </w:rPr>
              <w:t>Operations Systems Lead</w:t>
            </w:r>
          </w:p>
        </w:tc>
        <w:tc>
          <w:tcPr>
            <w:tcW w:type="dxa" w:w="4824"/>
            <w:shd w:val="clear" w:color="auto" w:fill="F8FAFC"/>
          </w:tcPr>
          <w:p>
            <w:r>
              <w:rPr>
                <w:sz w:val="19"/>
              </w:rPr>
              <w:t>Operations Manager / Designated Automation Champion</w:t>
            </w:r>
          </w:p>
        </w:tc>
      </w:tr>
      <w:tr>
        <w:tc>
          <w:tcPr>
            <w:tcW w:type="dxa" w:w="4824"/>
          </w:tcPr>
          <w:p>
            <w:r>
              <w:rPr>
                <w:sz w:val="19"/>
              </w:rPr>
              <w:t>Target Rollout Window</w:t>
            </w:r>
          </w:p>
        </w:tc>
        <w:tc>
          <w:tcPr>
            <w:tcW w:type="dxa" w:w="4824"/>
          </w:tcPr>
          <w:p>
            <w:r>
              <w:rPr>
                <w:sz w:val="19"/>
              </w:rPr>
              <w:t>90 Calendar Days (Three 30-Day Phased Sprints)</w:t>
            </w:r>
          </w:p>
        </w:tc>
      </w:tr>
      <w:tr>
        <w:tc>
          <w:tcPr>
            <w:tcW w:type="dxa" w:w="4824"/>
            <w:shd w:val="clear" w:color="auto" w:fill="F8FAFC"/>
          </w:tcPr>
          <w:p>
            <w:r>
              <w:rPr>
                <w:sz w:val="19"/>
              </w:rPr>
              <w:t>Governance Architecture</w:t>
            </w:r>
          </w:p>
        </w:tc>
        <w:tc>
          <w:tcPr>
            <w:tcW w:type="dxa" w:w="4824"/>
            <w:shd w:val="clear" w:color="auto" w:fill="F8FAFC"/>
          </w:tcPr>
          <w:p>
            <w:r>
              <w:rPr>
                <w:sz w:val="19"/>
              </w:rPr>
              <w:t>T.R.A.V. (Trigger -&gt; Rules -&gt; AI -&gt; Verification) with Green / Amber / Red Gates</w:t>
            </w:r>
          </w:p>
        </w:tc>
      </w:tr>
      <w:tr>
        <w:tc>
          <w:tcPr>
            <w:tcW w:type="dxa" w:w="4824"/>
          </w:tcPr>
          <w:p>
            <w:r>
              <w:rPr>
                <w:sz w:val="19"/>
              </w:rPr>
              <w:t>Staff Employment Covenant</w:t>
            </w:r>
          </w:p>
        </w:tc>
        <w:tc>
          <w:tcPr>
            <w:tcW w:type="dxa" w:w="4824"/>
          </w:tcPr>
          <w:p>
            <w:r>
              <w:rPr>
                <w:sz w:val="19"/>
              </w:rPr>
              <w:t>Zero-Layoff Administrative Reallocation Guarantee</w:t>
            </w:r>
          </w:p>
        </w:tc>
      </w:tr>
    </w:tbl>
    <w:p/>
    <w:p>
      <w:pPr>
        <w:pStyle w:val="Heading2"/>
      </w:pPr>
      <w:r>
        <w:t>2. Baseline Cost of Manual Friction (CMF) Financial Diagnostic</w:t>
      </w:r>
    </w:p>
    <w:p>
      <w:r>
        <w:t>Before activating any automation workflow, our leadership team completed the 5-Day Manual Task &amp; Lead-Leak Audit (Chapter 1, Worksheet 01). Across our five core operating departments, manual friction drains company profitability through three quantifiable channels:</w:t>
      </w:r>
    </w:p>
    <w:p>
      <w:pPr>
        <w:pStyle w:val="ListNumber"/>
      </w:pPr>
      <w:r>
        <w:t>Direct Administrative Labor Waste (L_tax): Skilled staff and the business owner spend 24 to 38 hours every week copying contact details between web forms and the CRM, re-typing estimate line items, chasing missing onboarding files, answering repetitive status questions, and manually reconciling overdue invoices.</w:t>
      </w:r>
    </w:p>
    <w:p>
      <w:pPr>
        <w:pStyle w:val="ListNumber"/>
      </w:pPr>
      <w:r>
        <w:t>Speed-to-Lead Revenue Decay (R_leak): Empirical small business response telemetry demonstrates that prospects contacted within 60 seconds convert at up to 391% higher rates than prospects contacted after 30 minutes. Every missed phone call or evening web inquiry that waits until the next morning represents leaked high-margin revenue.</w:t>
      </w:r>
    </w:p>
    <w:p>
      <w:pPr>
        <w:pStyle w:val="ListNumber"/>
      </w:pPr>
      <w:r>
        <w:t>Working Capital &amp; Receivables Drag (C_drag): When completed work sits unbilled until Friday afternoon and overdue invoices lack polite, systematic reminders, Days Sales Outstanding (DSO) stretches past 40 days—restricting operating cashflow.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Friction Component</w:t>
            </w:r>
          </w:p>
        </w:tc>
        <w:tc>
          <w:tcPr>
            <w:tcW w:type="dxa" w:w="1930"/>
            <w:shd w:val="clear" w:color="auto" w:fill="0F172A"/>
          </w:tcPr>
          <w:p>
            <w:r>
              <w:rPr>
                <w:b/>
                <w:color w:val="FFFFFF"/>
                <w:sz w:val="19"/>
              </w:rPr>
              <w:t>Baseline Formula</w:t>
            </w:r>
          </w:p>
        </w:tc>
        <w:tc>
          <w:tcPr>
            <w:tcW w:type="dxa" w:w="1930"/>
            <w:shd w:val="clear" w:color="auto" w:fill="0F172A"/>
          </w:tcPr>
          <w:p>
            <w:r>
              <w:rPr>
                <w:b/>
                <w:color w:val="FFFFFF"/>
                <w:sz w:val="19"/>
              </w:rPr>
              <w:t>Typical 10-Person SMB Baseline</w:t>
            </w:r>
          </w:p>
        </w:tc>
        <w:tc>
          <w:tcPr>
            <w:tcW w:type="dxa" w:w="1930"/>
            <w:shd w:val="clear" w:color="auto" w:fill="0F172A"/>
          </w:tcPr>
          <w:p>
            <w:r>
              <w:rPr>
                <w:b/>
                <w:color w:val="FFFFFF"/>
                <w:sz w:val="19"/>
              </w:rPr>
              <w:t>90-Day Post-Automation Target</w:t>
            </w:r>
          </w:p>
        </w:tc>
        <w:tc>
          <w:tcPr>
            <w:tcW w:type="dxa" w:w="1930"/>
            <w:shd w:val="clear" w:color="auto" w:fill="0F172A"/>
          </w:tcPr>
          <w:p>
            <w:r>
              <w:rPr>
                <w:b/>
                <w:color w:val="FFFFFF"/>
                <w:sz w:val="19"/>
              </w:rPr>
              <w:t>Projected Annual Net Gain</w:t>
            </w:r>
          </w:p>
        </w:tc>
      </w:tr>
      <w:tr>
        <w:tc>
          <w:tcPr>
            <w:tcW w:type="dxa" w:w="1930"/>
            <w:shd w:val="clear" w:color="auto" w:fill="F8FAFC"/>
          </w:tcPr>
          <w:p>
            <w:r>
              <w:rPr>
                <w:sz w:val="19"/>
              </w:rPr>
              <w:t>Admin Labor Waste (L_tax)</w:t>
            </w:r>
          </w:p>
        </w:tc>
        <w:tc>
          <w:tcPr>
            <w:tcW w:type="dxa" w:w="1930"/>
            <w:shd w:val="clear" w:color="auto" w:fill="F8FAFC"/>
          </w:tcPr>
          <w:p>
            <w:r>
              <w:rPr>
                <w:sz w:val="19"/>
              </w:rPr>
              <w:t>Weekly Manual Hours × Blended Rate × 52</w:t>
            </w:r>
          </w:p>
        </w:tc>
        <w:tc>
          <w:tcPr>
            <w:tcW w:type="dxa" w:w="1930"/>
            <w:shd w:val="clear" w:color="auto" w:fill="F8FAFC"/>
          </w:tcPr>
          <w:p>
            <w:r>
              <w:rPr>
                <w:sz w:val="19"/>
              </w:rPr>
              <w:t>26 hrs/wk × $58/hr = $78,416/yr</w:t>
            </w:r>
          </w:p>
        </w:tc>
        <w:tc>
          <w:tcPr>
            <w:tcW w:type="dxa" w:w="1930"/>
            <w:shd w:val="clear" w:color="auto" w:fill="F8FAFC"/>
          </w:tcPr>
          <w:p>
            <w:r>
              <w:rPr>
                <w:sz w:val="19"/>
              </w:rPr>
              <w:t>7.5 hrs/wk (71% reduction)</w:t>
            </w:r>
          </w:p>
        </w:tc>
        <w:tc>
          <w:tcPr>
            <w:tcW w:type="dxa" w:w="1930"/>
            <w:shd w:val="clear" w:color="auto" w:fill="F8FAFC"/>
          </w:tcPr>
          <w:p>
            <w:r>
              <w:rPr>
                <w:sz w:val="19"/>
              </w:rPr>
              <w:t>+$55,796/yr in reallocated capacity</w:t>
            </w:r>
          </w:p>
        </w:tc>
      </w:tr>
      <w:tr>
        <w:tc>
          <w:tcPr>
            <w:tcW w:type="dxa" w:w="1930"/>
          </w:tcPr>
          <w:p>
            <w:r>
              <w:rPr>
                <w:sz w:val="19"/>
              </w:rPr>
              <w:t>Missed/Slow Lead Leak (R_leak)</w:t>
            </w:r>
          </w:p>
        </w:tc>
        <w:tc>
          <w:tcPr>
            <w:tcW w:type="dxa" w:w="1930"/>
          </w:tcPr>
          <w:p>
            <w:r>
              <w:rPr>
                <w:sz w:val="19"/>
              </w:rPr>
              <w:t>Delayed Leads/Mo × Close Rate × LTV × 12</w:t>
            </w:r>
          </w:p>
        </w:tc>
        <w:tc>
          <w:tcPr>
            <w:tcW w:type="dxa" w:w="1930"/>
          </w:tcPr>
          <w:p>
            <w:r>
              <w:rPr>
                <w:sz w:val="19"/>
              </w:rPr>
              <w:t>42 leads/mo × 16% × $1,850 × 12 = $149,184/yr</w:t>
            </w:r>
          </w:p>
        </w:tc>
        <w:tc>
          <w:tcPr>
            <w:tcW w:type="dxa" w:w="1930"/>
          </w:tcPr>
          <w:p>
            <w:r>
              <w:rPr>
                <w:sz w:val="19"/>
              </w:rPr>
              <w:t>&lt; 60 sec 24/7 response (65% rescue)</w:t>
            </w:r>
          </w:p>
        </w:tc>
        <w:tc>
          <w:tcPr>
            <w:tcW w:type="dxa" w:w="1930"/>
          </w:tcPr>
          <w:p>
            <w:r>
              <w:rPr>
                <w:sz w:val="19"/>
              </w:rPr>
              <w:t>+$96,970/yr in rescued gross revenue</w:t>
            </w:r>
          </w:p>
        </w:tc>
      </w:tr>
      <w:tr>
        <w:tc>
          <w:tcPr>
            <w:tcW w:type="dxa" w:w="1930"/>
            <w:shd w:val="clear" w:color="auto" w:fill="F8FAFC"/>
          </w:tcPr>
          <w:p>
            <w:r>
              <w:rPr>
                <w:sz w:val="19"/>
              </w:rPr>
              <w:t>Receivables Cash Drag (C_drag)</w:t>
            </w:r>
          </w:p>
        </w:tc>
        <w:tc>
          <w:tcPr>
            <w:tcW w:type="dxa" w:w="1930"/>
            <w:shd w:val="clear" w:color="auto" w:fill="F8FAFC"/>
          </w:tcPr>
          <w:p>
            <w:r>
              <w:rPr>
                <w:sz w:val="19"/>
              </w:rPr>
              <w:t>(Avg AR Balance × Cost of Capital) + Write-Offs</w:t>
            </w:r>
          </w:p>
        </w:tc>
        <w:tc>
          <w:tcPr>
            <w:tcW w:type="dxa" w:w="1930"/>
            <w:shd w:val="clear" w:color="auto" w:fill="F8FAFC"/>
          </w:tcPr>
          <w:p>
            <w:r>
              <w:rPr>
                <w:sz w:val="19"/>
              </w:rPr>
              <w:t>42 Days DSO / $18,500 overdue &gt;15d</w:t>
            </w:r>
          </w:p>
        </w:tc>
        <w:tc>
          <w:tcPr>
            <w:tcW w:type="dxa" w:w="1930"/>
            <w:shd w:val="clear" w:color="auto" w:fill="F8FAFC"/>
          </w:tcPr>
          <w:p>
            <w:r>
              <w:rPr>
                <w:sz w:val="19"/>
              </w:rPr>
              <w:t>14 Days DSO / &lt;$2,500 overdue</w:t>
            </w:r>
          </w:p>
        </w:tc>
        <w:tc>
          <w:tcPr>
            <w:tcW w:type="dxa" w:w="1930"/>
            <w:shd w:val="clear" w:color="auto" w:fill="F8FAFC"/>
          </w:tcPr>
          <w:p>
            <w:r>
              <w:rPr>
                <w:sz w:val="19"/>
              </w:rPr>
              <w:t>+$24,400/yr in freed working capital</w:t>
            </w:r>
          </w:p>
        </w:tc>
      </w:tr>
      <w:tr>
        <w:tc>
          <w:tcPr>
            <w:tcW w:type="dxa" w:w="1930"/>
          </w:tcPr>
          <w:p>
            <w:r>
              <w:rPr>
                <w:sz w:val="19"/>
              </w:rPr>
              <w:t>Combined Annual CMF</w:t>
            </w:r>
          </w:p>
        </w:tc>
        <w:tc>
          <w:tcPr>
            <w:tcW w:type="dxa" w:w="1930"/>
          </w:tcPr>
          <w:p>
            <w:r>
              <w:rPr>
                <w:sz w:val="19"/>
              </w:rPr>
              <w:t>L_tax + R_leak + C_drag</w:t>
            </w:r>
          </w:p>
        </w:tc>
        <w:tc>
          <w:tcPr>
            <w:tcW w:type="dxa" w:w="1930"/>
          </w:tcPr>
          <w:p>
            <w:r>
              <w:rPr>
                <w:sz w:val="19"/>
              </w:rPr>
              <w:t>$252,000/yr Total Friction Cost</w:t>
            </w:r>
          </w:p>
        </w:tc>
        <w:tc>
          <w:tcPr>
            <w:tcW w:type="dxa" w:w="1930"/>
          </w:tcPr>
          <w:p>
            <w:r>
              <w:rPr>
                <w:sz w:val="19"/>
              </w:rPr>
              <w:t>12-KPI Friday Scorecard Green</w:t>
            </w:r>
          </w:p>
        </w:tc>
        <w:tc>
          <w:tcPr>
            <w:tcW w:type="dxa" w:w="1930"/>
          </w:tcPr>
          <w:p>
            <w:r>
              <w:rPr>
                <w:sz w:val="19"/>
              </w:rPr>
              <w:t>+$177,166/yr Net First-Year Impact</w:t>
            </w:r>
          </w:p>
        </w:tc>
      </w:tr>
    </w:tbl>
    <w:p/>
    <w:p>
      <w:pPr>
        <w:pStyle w:val="Heading2"/>
      </w:pPr>
      <w:r>
        <w:t>3. The T.R.A.V. Human-in-the-Loop Safety Contract</w:t>
      </w:r>
    </w:p>
    <w:p>
      <w:r>
        <w:t>To guarantee zero hallucinated prices, zero unauthorized refunds, and zero compliance breaches, no AI model is ever connected directly to an external customer channel without passing through our four-stage T.R.A.V. Architecture:</w:t>
      </w:r>
    </w:p>
    <w:p>
      <w:pPr>
        <w:pStyle w:val="ListBullet"/>
      </w:pPr>
      <w:r>
        <w:t>Stage 1 — Trigger (T): Every workflow initiates from a structured, verifiable digital event (an inbound webhook payload, a missed-call event from OpenPhone/Twilio, a signed Stripe deposit, or a scheduled Friday 3:00 PM timer) logged with a unique event_id for idempotency.</w:t>
      </w:r>
    </w:p>
    <w:p>
      <w:pPr>
        <w:pStyle w:val="ListBullet"/>
      </w:pPr>
      <w:r>
        <w:t>Stage 2 — Rules &amp; Deterministic Lookup (R): Before any language model is invoked, deterministic code nodes validate phone/email formatting, check our Pre-AI Red-Zone Regex Filter for legal/safety/emergency keywords, and retrieve locked pricing or policy rows from our approved Truth Table. The language model is strictly forbidden from performing arithmetic or inventing SKU prices.</w:t>
      </w:r>
    </w:p>
    <w:p>
      <w:pPr>
        <w:pStyle w:val="ListBullet"/>
      </w:pPr>
      <w:r>
        <w:t>Stage 3 — Grounded AI Generation (A): The LLM runs at temperature: 0.0 to 0.1 under a strict JSON schema contract, formatting the deterministic facts into a warm, human-sounding message or structured internal brief.</w:t>
      </w:r>
    </w:p>
    <w:p>
      <w:pPr>
        <w:pStyle w:val="ListBullet"/>
      </w:pPr>
      <w:r>
        <w:t>Stage 4 — Verification &amp; Governance Gate (V):</w:t>
      </w:r>
    </w:p>
    <w:p>
      <w:pPr>
        <w:pStyle w:val="ListBullet"/>
      </w:pPr>
      <w:r>
        <w:t>Green Zone (~75% of volume): Routine acknowledgments, calendar booking links, standard FAQ answers, and Day-1 invoice receipts execute unattended 24/7.</w:t>
      </w:r>
    </w:p>
    <w:p>
      <w:pPr>
        <w:pStyle w:val="ListBullet"/>
      </w:pPr>
      <w:r>
        <w:t>Amber Zone (~20% of volume): Multi-option proposals above $1,500, goodwill credits between $25 and $150, scope-change notices, and Stage-4 overdue chasers post an interactive Amber Approval Card to #amber-approvals in Slack/Teams for a 15-second manager click ([Approve &amp; Send], [Edit], or [Hold]).</w:t>
      </w:r>
    </w:p>
    <w:p>
      <w:pPr>
        <w:pStyle w:val="ListBullet"/>
      </w:pPr>
      <w:r>
        <w:t>Red Zone (~5% of volume): Angry customer sentiment (Score &lt;= 2), refund demands over $150, legal/regulatory threats, clinical/safety emergencies, or API schema errors halt automation immediately and page the designated human owner in #red-alerts.</w:t>
      </w:r>
    </w:p>
    <w:p>
      <w:pPr>
        <w:pStyle w:val="Heading2"/>
      </w:pPr>
      <w:r>
        <w:t>4. Phased 90-Day Sprint Rollout Schedule &amp; Exit Gates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Sprint Phase</w:t>
            </w:r>
          </w:p>
        </w:tc>
        <w:tc>
          <w:tcPr>
            <w:tcW w:type="dxa" w:w="2412"/>
            <w:shd w:val="clear" w:color="auto" w:fill="0F172A"/>
          </w:tcPr>
          <w:p>
            <w:r>
              <w:rPr>
                <w:b/>
                <w:color w:val="FFFFFF"/>
                <w:sz w:val="19"/>
              </w:rPr>
              <w:t>Calendar Window</w:t>
            </w:r>
          </w:p>
        </w:tc>
        <w:tc>
          <w:tcPr>
            <w:tcW w:type="dxa" w:w="2412"/>
            <w:shd w:val="clear" w:color="auto" w:fill="0F172A"/>
          </w:tcPr>
          <w:p>
            <w:r>
              <w:rPr>
                <w:b/>
                <w:color w:val="FFFFFF"/>
                <w:sz w:val="19"/>
              </w:rPr>
              <w:t>Departments &amp; Core Workflows Deployed</w:t>
            </w:r>
          </w:p>
        </w:tc>
        <w:tc>
          <w:tcPr>
            <w:tcW w:type="dxa" w:w="2412"/>
            <w:shd w:val="clear" w:color="auto" w:fill="0F172A"/>
          </w:tcPr>
          <w:p>
            <w:r>
              <w:rPr>
                <w:b/>
                <w:color w:val="FFFFFF"/>
                <w:sz w:val="19"/>
              </w:rPr>
              <w:t>Mandatory Sprint Exit Gate Criteria</w:t>
            </w:r>
          </w:p>
        </w:tc>
      </w:tr>
      <w:tr>
        <w:tc>
          <w:tcPr>
            <w:tcW w:type="dxa" w:w="2412"/>
            <w:shd w:val="clear" w:color="auto" w:fill="F8FAFC"/>
          </w:tcPr>
          <w:p>
            <w:r>
              <w:rPr>
                <w:sz w:val="19"/>
              </w:rPr>
              <w:t>Sprint 1: Revenue Capture &amp; Safety Foundation</w:t>
            </w:r>
          </w:p>
        </w:tc>
        <w:tc>
          <w:tcPr>
            <w:tcW w:type="dxa" w:w="2412"/>
            <w:shd w:val="clear" w:color="auto" w:fill="F8FAFC"/>
          </w:tcPr>
          <w:p>
            <w:r>
              <w:rPr>
                <w:sz w:val="19"/>
              </w:rPr>
              <w:t>Days 1 – 30</w:t>
            </w:r>
          </w:p>
        </w:tc>
        <w:tc>
          <w:tcPr>
            <w:tcW w:type="dxa" w:w="2412"/>
            <w:shd w:val="clear" w:color="auto" w:fill="F8FAFC"/>
          </w:tcPr>
          <w:p>
            <w:r>
              <w:rPr>
                <w:sz w:val="19"/>
              </w:rPr>
              <w:t>Dept 05 &amp; Dept 01 (Ch 1–3): 5-Day CMF Audit, T.R.A.V. Safety Wrapper, Kill-Switch Registry, and 60-Second Omnichannel Speed-to-Lead Concierge (Prompts 1.1–3.5).</w:t>
            </w:r>
          </w:p>
        </w:tc>
        <w:tc>
          <w:tcPr>
            <w:tcW w:type="dxa" w:w="2412"/>
            <w:shd w:val="clear" w:color="auto" w:fill="F8FAFC"/>
          </w:tcPr>
          <w:p>
            <w:r>
              <w:rPr>
                <w:sz w:val="19"/>
              </w:rPr>
              <w:t>100% of web/phone/SMS leads receive a grounded reply + booking link in &lt; 60 seconds; 0 pricing hallucinations in 10-lead shadow test.</w:t>
            </w:r>
          </w:p>
        </w:tc>
      </w:tr>
      <w:tr>
        <w:tc>
          <w:tcPr>
            <w:tcW w:type="dxa" w:w="2412"/>
          </w:tcPr>
          <w:p>
            <w:r>
              <w:rPr>
                <w:sz w:val="19"/>
              </w:rPr>
              <w:t>Sprint 2: Quoting, Onboarding &amp; Support Shield</w:t>
            </w:r>
          </w:p>
        </w:tc>
        <w:tc>
          <w:tcPr>
            <w:tcW w:type="dxa" w:w="2412"/>
          </w:tcPr>
          <w:p>
            <w:r>
              <w:rPr>
                <w:sz w:val="19"/>
              </w:rPr>
              <w:t>Days 31 – 60</w:t>
            </w:r>
          </w:p>
        </w:tc>
        <w:tc>
          <w:tcPr>
            <w:tcW w:type="dxa" w:w="2412"/>
          </w:tcPr>
          <w:p>
            <w:r>
              <w:rPr>
                <w:sz w:val="19"/>
              </w:rPr>
              <w:t>Dept 02 &amp; Dept 03 (Ch 4–7): Voice-to-3-Tier Proposal Engine, 14-Day Polite-Persistence Follow-Up Loop, Zero-Drop Onboarding Provisioner, 3-Tier RAG Support Desk, and 5-Star Review Flywheel (Prompts 4.1–7.5).</w:t>
            </w:r>
          </w:p>
        </w:tc>
        <w:tc>
          <w:tcPr>
            <w:tcW w:type="dxa" w:w="2412"/>
          </w:tcPr>
          <w:p>
            <w:r>
              <w:rPr>
                <w:sz w:val="19"/>
              </w:rPr>
              <w:t>Proposal turnaround &lt; 15 minutes; Tier-1 support auto-resolution &gt;= 60%; sentiment-gated review request active on 100% of completed jobs.</w:t>
            </w:r>
          </w:p>
        </w:tc>
      </w:tr>
      <w:tr>
        <w:tc>
          <w:tcPr>
            <w:tcW w:type="dxa" w:w="2412"/>
            <w:shd w:val="clear" w:color="auto" w:fill="F8FAFC"/>
          </w:tcPr>
          <w:p>
            <w:r>
              <w:rPr>
                <w:sz w:val="19"/>
              </w:rPr>
              <w:t>Sprint 3: Cashflow, Living SOPs &amp; Owner Pulse</w:t>
            </w:r>
          </w:p>
        </w:tc>
        <w:tc>
          <w:tcPr>
            <w:tcW w:type="dxa" w:w="2412"/>
            <w:shd w:val="clear" w:color="auto" w:fill="F8FAFC"/>
          </w:tcPr>
          <w:p>
            <w:r>
              <w:rPr>
                <w:sz w:val="19"/>
              </w:rPr>
              <w:t>Days 61 – 90</w:t>
            </w:r>
          </w:p>
        </w:tc>
        <w:tc>
          <w:tcPr>
            <w:tcW w:type="dxa" w:w="2412"/>
            <w:shd w:val="clear" w:color="auto" w:fill="F8FAFC"/>
          </w:tcPr>
          <w:p>
            <w:r>
              <w:rPr>
                <w:sz w:val="19"/>
              </w:rPr>
              <w:t>Dept 04 &amp; Dept 05 (Ch 8–10): Same-Day Milestone Invoicing, 5-Stage AR Payment Chasers, Receipt OCR &amp; 5% Price-Creep Guard, 7-Block Living SOP Compiler, and Friday 3:00 PM 12-KPI Owner Scorecard (Prompts 8.1–10.5).</w:t>
            </w:r>
          </w:p>
        </w:tc>
        <w:tc>
          <w:tcPr>
            <w:tcW w:type="dxa" w:w="2412"/>
            <w:shd w:val="clear" w:color="auto" w:fill="F8FAFC"/>
          </w:tcPr>
          <w:p>
            <w:r>
              <w:rPr>
                <w:sz w:val="19"/>
              </w:rPr>
              <w:t>Average DSO &lt;= 16 days; Top 20 company SOPs documented in Notion; Friday 3:00 PM Owner Scorecard running in &lt; 15 minutes/week.</w:t>
            </w:r>
          </w:p>
        </w:tc>
      </w:tr>
    </w:tbl>
    <w:p/>
    <w:p>
      <w:pPr>
        <w:pStyle w:val="Heading2"/>
      </w:pPr>
      <w:r>
        <w:t>5. Monthly Tool-Stack Budget &amp; ROI Payback Governance</w:t>
      </w:r>
    </w:p>
    <w:p>
      <w:r>
        <w:t>Our automation infrastructure uses a lean, modular no-code stack with a hard monthly software budget cap of $185/month for a 1-to-25 person team:</w:t>
      </w:r>
    </w:p>
    <w:p>
      <w:pPr>
        <w:pStyle w:val="ListBullet"/>
      </w:pPr>
      <w:r>
        <w:t>Workflow Orchestration (Make.com Core/Pro or Self-Hosted n8n): $18 to $49/month for 10,000 to 40,000 monthly operations.</w:t>
      </w:r>
    </w:p>
    <w:p>
      <w:pPr>
        <w:pStyle w:val="ListBullet"/>
      </w:pPr>
      <w:r>
        <w:t>LLM API Inference (OpenAI GPT-4o-mini / GPT-4o or Anthropic Claude 3.5 Sonnet): $12 to $38/month using structured JSON prompts at temperature: 0.0–0.1.</w:t>
      </w:r>
    </w:p>
    <w:p>
      <w:pPr>
        <w:pStyle w:val="ListBullet"/>
      </w:pPr>
      <w:r>
        <w:t>Programmable SMS &amp; Missed-Call Voice (Twilio / OpenPhone): $25 to $65/month including A2P 10DLC campaign registration.</w:t>
      </w:r>
    </w:p>
    <w:p>
      <w:pPr>
        <w:pStyle w:val="ListBullet"/>
      </w:pPr>
      <w:r>
        <w:t>Workspace &amp; Executive Command (Notion Plus / Google Workspace / Slack): Existing operational stack.</w:t>
      </w:r>
    </w:p>
    <w:p>
      <w:pPr>
        <w:pStyle w:val="Heading2"/>
      </w:pPr>
      <w:r>
        <w:t>6. Executive Sign-Off &amp; Zero-Layoff Team Commitment</w:t>
      </w:r>
    </w:p>
    <w:p>
      <w:r>
        <w:t>By signing below, leadership authorizes the 90-Day Rollout Schedule and affirms our Zero-Layoff Administrative Reallocation Policy: automation exists to remove robotic drudgery so our team can focus on high-empathy customer care, craftsmanship, and high-value relationship building.</w:t>
      </w:r>
    </w:p>
    <w:p>
      <w:pPr>
        <w:pStyle w:val="ListBullet"/>
      </w:pPr>
      <w:r>
        <w:t>Approved By (Owner / Managing Partner): ____________________________  Date: ______________</w:t>
      </w:r>
    </w:p>
    <w:p>
      <w:pPr>
        <w:pStyle w:val="ListBullet"/>
      </w:pPr>
      <w:r>
        <w:t>Operations Automation Lead: ____________________________  Date: ______________</w:t>
      </w:r>
    </w:p>
    <w:p>
      <w:pPr>
        <w:pStyle w:val="ListBullet"/>
      </w:pPr>
      <w:r>
        <w:t>Finance &amp; Compliance Reviewer: ____________________________  Date: ______________</w:t>
      </w:r>
    </w:p>
    <w:p>
      <w:pPr>
        <w:pStyle w:val="Heading2"/>
      </w:pPr>
      <w:r>
        <w:t>6. Departmental Implementation Playbook &amp; Worked Small Business Case Study (Doc 03)</w:t>
      </w:r>
    </w:p>
    <w:p>
      <w:pPr>
        <w:pStyle w:val="Heading3"/>
      </w:pPr>
      <w:r>
        <w:t>6.1 Step-by-Step 14-Day Departmental Rollout Sequence</w:t>
      </w:r>
    </w:p>
    <w:p>
      <w:r>
        <w:t>To ensure that 90-Day Automation Rollout Proposal &amp; Charter transitions from a written document into a living, daily habit across your 1-to-25 person organization without overwhelming your staff, execute the structured 14-day deployment protocol below:</w:t>
      </w:r>
    </w:p>
    <w:p>
      <w:pPr>
        <w:pStyle w:val="ListNumber"/>
      </w:pPr>
      <w:r>
        <w:t>Days 1–2 (Executive Baseline &amp; Truth-Table Alignment): The Operations Systems Lead and Business Owner review every table in this document alongside 06-NOTION-TEMPLATES/02-Automation-Workflows-and-Health-Registry.csv. Confirm that the named metric owner, backup operator, Slack approval channel (#amber-approvals and #red-alerts), and dollar authorization ceilings reflect your exact business model, pricing structure, and operating hours.</w:t>
      </w:r>
    </w:p>
    <w:p>
      <w:pPr>
        <w:pStyle w:val="ListNumber"/>
      </w:pPr>
      <w:r>
        <w:t>Days 3–5 (Pre-AI Deterministic Gate &amp; Webhook Configuration): Before enabling any language model prompt node inside Make.com, n8n, or Zapier, wire the deterministic code filters first:</w:t>
      </w:r>
    </w:p>
    <w:p>
      <w:pPr>
        <w:pStyle w:val="ListBullet"/>
      </w:pPr>
      <w:r>
        <w:t>Verify E.164 phone normalization and RFC-5322 email validation on all inbound webhooks.</w:t>
      </w:r>
    </w:p>
    <w:p>
      <w:pPr>
        <w:pStyle w:val="ListBullet"/>
      </w:pPr>
      <w:r>
        <w:t>Paste the Pre-AI Red-Zone Regex Filter into the initial router filter branch so safety emergencies, legal threats, billing disputes, or clinical/property hazards bypass automated replies and page the human manager immediately.</w:t>
      </w:r>
    </w:p>
    <w:p>
      <w:pPr>
        <w:pStyle w:val="ListBullet"/>
      </w:pPr>
      <w:r>
        <w:t>Connect your locked SKU Pricebook and Single-Source FAQ Knowledge Base (Database 05) so the language model never guesses a price, policy, or turnaround window.</w:t>
      </w:r>
    </w:p>
    <w:p>
      <w:pPr>
        <w:pStyle w:val="ListNumber"/>
      </w:pPr>
      <w:r>
        <w:t>Days 6–9 (10-Payload Shadow-Mode Verification): Run ten real historical customer inquiries, estimates, invoices, or operational events from the prior 30 days through the workflow in Shadow Mode (writing the structured JSON output to Notion Database 02 and #qa-shadow-log without transmitting external SMS or emails to customers). Audit every single output for:</w:t>
      </w:r>
    </w:p>
    <w:p>
      <w:pPr>
        <w:pStyle w:val="ListBullet"/>
      </w:pPr>
      <w:r>
        <w:t>100% valid JSON schema compliance at temperature: 0.0 to 0.1.</w:t>
      </w:r>
    </w:p>
    <w:p>
      <w:pPr>
        <w:pStyle w:val="ListBullet"/>
      </w:pPr>
      <w:r>
        <w:t>Zero ungrounded numbers, zero invented discounts, and zero raw PII/PCI exposure.</w:t>
      </w:r>
    </w:p>
    <w:p>
      <w:pPr>
        <w:pStyle w:val="ListBullet"/>
      </w:pPr>
      <w:r>
        <w:t>Sub-15-second human review ergonomics on all Amber-Gate Slack approval cards.</w:t>
      </w:r>
    </w:p>
    <w:p>
      <w:pPr>
        <w:pStyle w:val="ListNumber"/>
      </w:pPr>
      <w:r>
        <w:t>Days 10–12 (Team 15-Minute Micro-Training &amp; Live Kill-Switch Drill): Conduct a 15-minute live walkthrough with all front-desk, sales, fulfillment, support, and billing personnel using Deck 01 (01-Team-AI-Automation-Onboarding-and-SOP-Deck.pptx). Have each primary and backup owner physically execute a 60-Second Manual Kill-Switch Drill—pausing the workflow in Notion Database 02 and switching to the paired Emergency Operations Script (Scripts 01–12) in under one minute.</w:t>
      </w:r>
    </w:p>
    <w:p>
      <w:pPr>
        <w:pStyle w:val="ListNumber"/>
      </w:pPr>
      <w:r>
        <w:t>Days 13–14 (Production Cutover &amp; First Friday 3:00 PM Scorecard Review): Flip the Green-Gate branch to active 24/7 execution while keeping Amber-Gate exceptions routed to #amber-approvals. On Friday at 3:00 PM, evaluate the first full week of post-cutover telemetry inside 04-Weekly-Owner-KPI-Scorecard.csv (Module 6 of the Web Companion App).</w:t>
      </w:r>
    </w:p>
    <w:p>
      <w:pPr>
        <w:pStyle w:val="Heading3"/>
      </w:pPr>
      <w:r>
        <w:t>6.2 Worked Multi-Industry Verification Scenarios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Real-World Operational Trigger</w:t>
            </w:r>
          </w:p>
        </w:tc>
        <w:tc>
          <w:tcPr>
            <w:tcW w:type="dxa" w:w="2412"/>
            <w:shd w:val="clear" w:color="auto" w:fill="0F172A"/>
          </w:tcPr>
          <w:p>
            <w:r>
              <w:rPr>
                <w:b/>
                <w:color w:val="FFFFFF"/>
                <w:sz w:val="19"/>
              </w:rPr>
              <w:t>Deterministic Rule &amp; T.R.A.V. Gate Applied</w:t>
            </w:r>
          </w:p>
        </w:tc>
        <w:tc>
          <w:tcPr>
            <w:tcW w:type="dxa" w:w="2412"/>
            <w:shd w:val="clear" w:color="auto" w:fill="0F172A"/>
          </w:tcPr>
          <w:p>
            <w:r>
              <w:rPr>
                <w:b/>
                <w:color w:val="FFFFFF"/>
                <w:sz w:val="19"/>
              </w:rPr>
              <w:t>Verified Measurable Outcome</w:t>
            </w:r>
          </w:p>
        </w:tc>
      </w:tr>
      <w:tr>
        <w:tc>
          <w:tcPr>
            <w:tcW w:type="dxa" w:w="2412"/>
            <w:shd w:val="clear" w:color="auto" w:fill="F8FAFC"/>
          </w:tcPr>
          <w:p>
            <w:r>
              <w:rPr>
                <w:sz w:val="19"/>
              </w:rPr>
              <w:t>Vertical 1: Medical, Dental &amp; PT Clinics (9 Staff, $1.18M Revenue)</w:t>
            </w:r>
          </w:p>
        </w:tc>
        <w:tc>
          <w:tcPr>
            <w:tcW w:type="dxa" w:w="2412"/>
            <w:shd w:val="clear" w:color="auto" w:fill="F8FAFC"/>
          </w:tcPr>
          <w:p>
            <w:r>
              <w:rPr>
                <w:sz w:val="19"/>
              </w:rPr>
              <w:t>Inbound patient web message at 8:45 PM asking about Invisalign insurance coverage and Thursday availability.</w:t>
            </w:r>
          </w:p>
        </w:tc>
        <w:tc>
          <w:tcPr>
            <w:tcW w:type="dxa" w:w="2412"/>
            <w:shd w:val="clear" w:color="auto" w:fill="F8FAFC"/>
          </w:tcPr>
          <w:p>
            <w:r>
              <w:rPr>
                <w:sz w:val="19"/>
              </w:rPr>
              <w:t>Pre-AI regex confirms zero acute clinical red flags; lookup verifies Delta Dental PPO in-network; Green Gate sends privacy-safe SMS + booking link in 34 seconds.</w:t>
            </w:r>
          </w:p>
        </w:tc>
        <w:tc>
          <w:tcPr>
            <w:tcW w:type="dxa" w:w="2412"/>
            <w:shd w:val="clear" w:color="auto" w:fill="F8FAFC"/>
          </w:tcPr>
          <w:p>
            <w:r>
              <w:rPr>
                <w:sz w:val="19"/>
              </w:rPr>
              <w:t>Booked $4,200 treatment consult overnight; front-desk saved 18 minutes of morning phone tag.</w:t>
            </w:r>
          </w:p>
        </w:tc>
      </w:tr>
      <w:tr>
        <w:tc>
          <w:tcPr>
            <w:tcW w:type="dxa" w:w="2412"/>
          </w:tcPr>
          <w:p>
            <w:r>
              <w:rPr>
                <w:sz w:val="19"/>
              </w:rPr>
              <w:t>Vertical 2: HVAC, Plumbing &amp; Home Services (14 Staff, $2.10M Revenue)</w:t>
            </w:r>
          </w:p>
        </w:tc>
        <w:tc>
          <w:tcPr>
            <w:tcW w:type="dxa" w:w="2412"/>
          </w:tcPr>
          <w:p>
            <w:r>
              <w:rPr>
                <w:sz w:val="19"/>
              </w:rPr>
              <w:t>Field estimator finishes a rooftop heat-pump walkthrough and records a 90-second voice note in the truck.</w:t>
            </w:r>
          </w:p>
        </w:tc>
        <w:tc>
          <w:tcPr>
            <w:tcW w:type="dxa" w:w="2412"/>
          </w:tcPr>
          <w:p>
            <w:r>
              <w:rPr>
                <w:sz w:val="19"/>
              </w:rPr>
              <w:t>Whisper transcribes voice memo; deterministic pricebook calculates Good ($6,400), Better ($8,250), and Best ($10,900); Amber Gate posts Slack card for 1-click estimator approval.</w:t>
            </w:r>
          </w:p>
        </w:tc>
        <w:tc>
          <w:tcPr>
            <w:tcW w:type="dxa" w:w="2412"/>
          </w:tcPr>
          <w:p>
            <w:r>
              <w:rPr>
                <w:sz w:val="19"/>
              </w:rPr>
              <w:t>3-Option PDF proposal delivered in 11 minutes (down from 72 hours); client signed Option B ($8,250) the same afternoon.</w:t>
            </w:r>
          </w:p>
        </w:tc>
      </w:tr>
      <w:tr>
        <w:tc>
          <w:tcPr>
            <w:tcW w:type="dxa" w:w="2412"/>
            <w:shd w:val="clear" w:color="auto" w:fill="F8FAFC"/>
          </w:tcPr>
          <w:p>
            <w:r>
              <w:rPr>
                <w:sz w:val="19"/>
              </w:rPr>
              <w:t>Vertical 3: E-Commerce &amp; Specialty Retail (8 Staff, $1.35M Revenue)</w:t>
            </w:r>
          </w:p>
        </w:tc>
        <w:tc>
          <w:tcPr>
            <w:tcW w:type="dxa" w:w="2412"/>
            <w:shd w:val="clear" w:color="auto" w:fill="F8FAFC"/>
          </w:tcPr>
          <w:p>
            <w:r>
              <w:rPr>
                <w:sz w:val="19"/>
              </w:rPr>
              <w:t>Customer emails support asking where package #ORD-88412 is and whether they can swap sizes.</w:t>
            </w:r>
          </w:p>
        </w:tc>
        <w:tc>
          <w:tcPr>
            <w:tcW w:type="dxa" w:w="2412"/>
            <w:shd w:val="clear" w:color="auto" w:fill="F8FAFC"/>
          </w:tcPr>
          <w:p>
            <w:r>
              <w:rPr>
                <w:sz w:val="19"/>
              </w:rPr>
              <w:t>Live Shopify + ShipStation API lookup confirms delivery scheduled tomorrow and 30-day exchange eligibility; Green Gate replies in 28 seconds with tracking + instant exchange portal link.</w:t>
            </w:r>
          </w:p>
        </w:tc>
        <w:tc>
          <w:tcPr>
            <w:tcW w:type="dxa" w:w="2412"/>
            <w:shd w:val="clear" w:color="auto" w:fill="F8FAFC"/>
          </w:tcPr>
          <w:p>
            <w:r>
              <w:rPr>
                <w:sz w:val="19"/>
              </w:rPr>
              <w:t>68.5% of routine Tier-1 tickets resolved unattended with 4.92 / 5.0 customer satisfaction.</w:t>
            </w:r>
          </w:p>
        </w:tc>
      </w:tr>
      <w:tr>
        <w:tc>
          <w:tcPr>
            <w:tcW w:type="dxa" w:w="2412"/>
          </w:tcPr>
          <w:p>
            <w:r>
              <w:rPr>
                <w:sz w:val="19"/>
              </w:rPr>
              <w:t>Vertical 4: B2B Agencies, CPAs &amp; Consultancies (13 Staff, $1.78M Revenue)</w:t>
            </w:r>
          </w:p>
        </w:tc>
        <w:tc>
          <w:tcPr>
            <w:tcW w:type="dxa" w:w="2412"/>
          </w:tcPr>
          <w:p>
            <w:r>
              <w:rPr>
                <w:sz w:val="19"/>
              </w:rPr>
              <w:t>Commercial client invoice #INV-2026-1094 ($3,850) reaches 7 days past due with zero open support disputes.</w:t>
            </w:r>
          </w:p>
        </w:tc>
        <w:tc>
          <w:tcPr>
            <w:tcW w:type="dxa" w:w="2412"/>
          </w:tcPr>
          <w:p>
            <w:r>
              <w:rPr>
                <w:sz w:val="19"/>
              </w:rPr>
              <w:t>Daily 08:30 AM AR poll verifies open_support_dispute == false; Green Gate dispatches polite Stage-3 reminder with 1-click ACH payment link.</w:t>
            </w:r>
          </w:p>
        </w:tc>
        <w:tc>
          <w:tcPr>
            <w:tcW w:type="dxa" w:w="2412"/>
          </w:tcPr>
          <w:p>
            <w:r>
              <w:rPr>
                <w:sz w:val="19"/>
              </w:rPr>
              <w:t>Client paid $3,850 via ACH within 2 hours; firm-wide average DSO dropped from 44 days to 13.4 days.</w:t>
            </w:r>
          </w:p>
        </w:tc>
      </w:tr>
    </w:tbl>
    <w:p/>
    <w:p>
      <w:pPr>
        <w:pStyle w:val="Heading3"/>
      </w:pPr>
      <w:r>
        <w:t>6.3 Quarterly Governance, Drift &amp; Compliance Audit Log</w:t>
      </w:r>
    </w:p>
    <w:p>
      <w:r>
        <w:t>Use the audit log table below during your Chapter 10 Quarterly Security &amp; Prompt-Drift Review (Prompt 10.4) to certify that this SOP and its paired automation workflows remain 100% compliant across all four quarters of the operating year: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Quarter &amp; Audit Date</w:t>
            </w:r>
          </w:p>
        </w:tc>
        <w:tc>
          <w:tcPr>
            <w:tcW w:type="dxa" w:w="1608"/>
            <w:shd w:val="clear" w:color="auto" w:fill="0F172A"/>
          </w:tcPr>
          <w:p>
            <w:r>
              <w:rPr>
                <w:b/>
                <w:color w:val="FFFFFF"/>
                <w:sz w:val="19"/>
              </w:rPr>
              <w:t>Reviewer Name &amp; Role</w:t>
            </w:r>
          </w:p>
        </w:tc>
        <w:tc>
          <w:tcPr>
            <w:tcW w:type="dxa" w:w="1608"/>
            <w:shd w:val="clear" w:color="auto" w:fill="0F172A"/>
          </w:tcPr>
          <w:p>
            <w:r>
              <w:rPr>
                <w:b/>
                <w:color w:val="FFFFFF"/>
                <w:sz w:val="19"/>
              </w:rPr>
              <w:t>50-Sample JSON Drift Rate (Target: 0%)</w:t>
            </w:r>
          </w:p>
        </w:tc>
        <w:tc>
          <w:tcPr>
            <w:tcW w:type="dxa" w:w="1608"/>
            <w:shd w:val="clear" w:color="auto" w:fill="0F172A"/>
          </w:tcPr>
          <w:p>
            <w:r>
              <w:rPr>
                <w:b/>
                <w:color w:val="FFFFFF"/>
                <w:sz w:val="19"/>
              </w:rPr>
              <w:t>API Key &amp; Webhook Secret Rotated?</w:t>
            </w:r>
          </w:p>
        </w:tc>
        <w:tc>
          <w:tcPr>
            <w:tcW w:type="dxa" w:w="1608"/>
            <w:shd w:val="clear" w:color="auto" w:fill="0F172A"/>
          </w:tcPr>
          <w:p>
            <w:r>
              <w:rPr>
                <w:b/>
                <w:color w:val="FFFFFF"/>
                <w:sz w:val="19"/>
              </w:rPr>
              <w:t>60-Second Kill-Switch Drill Verified?</w:t>
            </w:r>
          </w:p>
        </w:tc>
        <w:tc>
          <w:tcPr>
            <w:tcW w:type="dxa" w:w="1608"/>
            <w:shd w:val="clear" w:color="auto" w:fill="0F172A"/>
          </w:tcPr>
          <w:p>
            <w:r>
              <w:rPr>
                <w:b/>
                <w:color w:val="FFFFFF"/>
                <w:sz w:val="19"/>
              </w:rPr>
              <w:t>Corrective Updates Logged in Notion DB 02</w:t>
            </w:r>
          </w:p>
        </w:tc>
      </w:tr>
      <w:tr>
        <w:tc>
          <w:tcPr>
            <w:tcW w:type="dxa" w:w="1608"/>
            <w:shd w:val="clear" w:color="auto" w:fill="F8FAFC"/>
          </w:tcPr>
          <w:p>
            <w:r>
              <w:rPr>
                <w:sz w:val="19"/>
              </w:rPr>
              <w:t>Q1 Audit (Day 30)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Verified</w:t>
            </w:r>
          </w:p>
        </w:tc>
        <w:tc>
          <w:tcPr>
            <w:tcW w:type="dxa" w:w="1608"/>
            <w:shd w:val="clear" w:color="auto" w:fill="F8FAFC"/>
          </w:tcPr>
          <w:p>
            <w:r>
              <w:rPr>
                <w:sz w:val="19"/>
              </w:rPr>
              <w:t>[x] Passed (&lt; 45s)</w:t>
            </w:r>
          </w:p>
        </w:tc>
        <w:tc>
          <w:tcPr>
            <w:tcW w:type="dxa" w:w="1608"/>
            <w:shd w:val="clear" w:color="auto" w:fill="F8FAFC"/>
          </w:tcPr>
          <w:p>
            <w:r>
              <w:rPr>
                <w:sz w:val="19"/>
              </w:rPr>
              <w:t>Added 4 new postal codes and 3 FAQ rows to Database 05.</w:t>
            </w:r>
          </w:p>
        </w:tc>
      </w:tr>
      <w:tr>
        <w:tc>
          <w:tcPr>
            <w:tcW w:type="dxa" w:w="1608"/>
          </w:tcPr>
          <w:p>
            <w:r>
              <w:rPr>
                <w:sz w:val="19"/>
              </w:rPr>
              <w:t>Q2 Audit (Day 90)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40s)</w:t>
            </w:r>
          </w:p>
        </w:tc>
        <w:tc>
          <w:tcPr>
            <w:tcW w:type="dxa" w:w="1608"/>
          </w:tcPr>
          <w:p>
            <w:r>
              <w:rPr>
                <w:sz w:val="19"/>
              </w:rPr>
              <w:t>Adjusted Amber quote approval threshold from $1,250 to $1,500.</w:t>
            </w:r>
          </w:p>
        </w:tc>
      </w:tr>
      <w:tr>
        <w:tc>
          <w:tcPr>
            <w:tcW w:type="dxa" w:w="1608"/>
            <w:shd w:val="clear" w:color="auto" w:fill="F8FAFC"/>
          </w:tcPr>
          <w:p>
            <w:r>
              <w:rPr>
                <w:sz w:val="19"/>
              </w:rPr>
              <w:t>Q3 Audit (Day 180)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Rotated</w:t>
            </w:r>
          </w:p>
        </w:tc>
        <w:tc>
          <w:tcPr>
            <w:tcW w:type="dxa" w:w="1608"/>
            <w:shd w:val="clear" w:color="auto" w:fill="F8FAFC"/>
          </w:tcPr>
          <w:p>
            <w:r>
              <w:rPr>
                <w:sz w:val="19"/>
              </w:rPr>
              <w:t>[x] Passed (&lt; 38s)</w:t>
            </w:r>
          </w:p>
        </w:tc>
        <w:tc>
          <w:tcPr>
            <w:tcW w:type="dxa" w:w="1608"/>
            <w:shd w:val="clear" w:color="auto" w:fill="F8FAFC"/>
          </w:tcPr>
          <w:p>
            <w:r>
              <w:rPr>
                <w:sz w:val="19"/>
              </w:rPr>
              <w:t>Onboarded backup support coordinator to #amber-approvals.</w:t>
            </w:r>
          </w:p>
        </w:tc>
      </w:tr>
      <w:tr>
        <w:tc>
          <w:tcPr>
            <w:tcW w:type="dxa" w:w="1608"/>
          </w:tcPr>
          <w:p>
            <w:r>
              <w:rPr>
                <w:sz w:val="19"/>
              </w:rPr>
              <w:t>Q4 Audit (Day 270)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35s)</w:t>
            </w:r>
          </w:p>
        </w:tc>
        <w:tc>
          <w:tcPr>
            <w:tcW w:type="dxa" w:w="1608"/>
          </w:tcPr>
          <w:p>
            <w:r>
              <w:rPr>
                <w:sz w:val="19"/>
              </w:rPr>
              <w:t>Locked annual tax &amp; encashment archive (Prompt 8.5).</w:t>
            </w:r>
          </w:p>
        </w:tc>
      </w:tr>
    </w:tbl>
    <w:p/>
    <w:p>
      <w:pPr>
        <w:pStyle w:val="Heading3"/>
      </w:pPr>
      <w:r>
        <w:t>6.4 Mandatory Operational Quality Checklist Before Filing</w:t>
      </w:r>
    </w:p>
    <w:p>
      <w:pPr>
        <w:pStyle w:val="ListBullet"/>
      </w:pPr>
      <w:r>
        <w:t>Rule 01 — Single Source of Truth: Always store the master copy of this document inside 12-EDITABLE-OFFICE-SUITE/Word-Docs/ and link its active version inside 06-NOTION-TEMPLATES/03-AI-Prompt-and-SOP-Vault-62.csv.</w:t>
      </w:r>
    </w:p>
    <w:p>
      <w:pPr>
        <w:pStyle w:val="ListBullet"/>
      </w:pPr>
      <w:r>
        <w:t>Rule 02 — Binary Definition of Done: No task governed by this SOP is marked complete until the required verification artifact (timestamped webhook log, signed proposal PDF, paid invoice receipt, or green Friday scorecard row) is recorded in the corresponding Notion database.</w:t>
      </w:r>
    </w:p>
    <w:p>
      <w:pPr>
        <w:pStyle w:val="ListBullet"/>
      </w:pPr>
      <w:r>
        <w:t>Rule 03 — Human Empathy First: Whenever a customer or team member expresses frustration, confusion, or an unusual edge-case requirement, human judgment and personal phone outreach immediately supersede automated sequences.</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90-Day Automation Rollout Proposal &amp;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