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Owner 15-Minute Friday Executive Brief &amp; Monday All-Hands Agenda Template</w:t>
      </w:r>
    </w:p>
    <w:p>
      <w:pPr>
        <w:pStyle w:val="Heading2"/>
      </w:pPr>
      <w:r>
        <w:t>1. Purpose of the Friday 3:00 PM Owner Command Ritual</w:t>
      </w:r>
    </w:p>
    <w:p>
      <w:r>
        <w:t>This executive template (SOP-EXEC-07-WEEKLY-BRIEF-2026) operationalizes Chapter 10 (The 15-Minute Friday Owner Scorecard &amp; Your 90-Day Phased Rollout Roadmap). Every Friday at 3:00 PM, our automated aggregation workflow (Blueprint 05 + Prompt 10.1) compiles telemetry across all five departments into 04-Weekly-Owner-KPI-Scorecard.csv. The business owner spends exactly 15 minutes reviewing the 12 Core KPIs, identifying the single Amber or Red bottleneck for the week, and approving the Monday 8:45 AM 15-Minute Team All-Hands Action Brief (Prompt 10.5).</w:t>
      </w:r>
    </w:p>
    <w:tbl>
      <w:tblPr>
        <w:tblStyle w:val="TableGrid"/>
        <w:tblW w:type="auto" w:w="0"/>
        <w:jc w:val="center"/>
        <w:tblLook w:firstColumn="1" w:firstRow="1" w:lastColumn="0" w:lastRow="0" w:noHBand="0" w:noVBand="1" w:val="04A0"/>
      </w:tblPr>
      <w:tblGrid>
        <w:gridCol w:w="4824"/>
        <w:gridCol w:w="4824"/>
      </w:tblGrid>
      <w:tr>
        <w:tc>
          <w:tcPr>
            <w:tcW w:type="dxa" w:w="4824"/>
            <w:shd w:val="clear" w:color="auto" w:fill="0F172A"/>
          </w:tcPr>
          <w:p>
            <w:r>
              <w:rPr>
                <w:b/>
                <w:color w:val="FFFFFF"/>
                <w:sz w:val="19"/>
              </w:rPr>
              <w:t>Executive Cadence Attribute</w:t>
            </w:r>
          </w:p>
        </w:tc>
        <w:tc>
          <w:tcPr>
            <w:tcW w:type="dxa" w:w="4824"/>
            <w:shd w:val="clear" w:color="auto" w:fill="0F172A"/>
          </w:tcPr>
          <w:p>
            <w:r>
              <w:rPr>
                <w:b/>
                <w:color w:val="FFFFFF"/>
                <w:sz w:val="19"/>
              </w:rPr>
              <w:t>Standard Specification</w:t>
            </w:r>
          </w:p>
        </w:tc>
      </w:tr>
      <w:tr>
        <w:tc>
          <w:tcPr>
            <w:tcW w:type="dxa" w:w="4824"/>
            <w:shd w:val="clear" w:color="auto" w:fill="F8FAFC"/>
          </w:tcPr>
          <w:p>
            <w:r>
              <w:rPr>
                <w:sz w:val="19"/>
              </w:rPr>
              <w:t>Template ID</w:t>
            </w:r>
          </w:p>
        </w:tc>
        <w:tc>
          <w:tcPr>
            <w:tcW w:type="dxa" w:w="4824"/>
            <w:shd w:val="clear" w:color="auto" w:fill="F8FAFC"/>
          </w:tcPr>
          <w:p>
            <w:r>
              <w:rPr>
                <w:sz w:val="19"/>
              </w:rPr>
              <w:t>SOP-EXEC-07-WEEKLY-BRIEF-2026</w:t>
            </w:r>
          </w:p>
        </w:tc>
      </w:tr>
      <w:tr>
        <w:tc>
          <w:tcPr>
            <w:tcW w:type="dxa" w:w="4824"/>
          </w:tcPr>
          <w:p>
            <w:r>
              <w:rPr>
                <w:sz w:val="19"/>
              </w:rPr>
              <w:t>Friday Automated Trigger</w:t>
            </w:r>
          </w:p>
        </w:tc>
        <w:tc>
          <w:tcPr>
            <w:tcW w:type="dxa" w:w="4824"/>
          </w:tcPr>
          <w:p>
            <w:r>
              <w:rPr>
                <w:sz w:val="19"/>
              </w:rPr>
              <w:t>Friday 15:00 Local Time (Blueprint 05 + Prompt 10.1)</w:t>
            </w:r>
          </w:p>
        </w:tc>
      </w:tr>
      <w:tr>
        <w:tc>
          <w:tcPr>
            <w:tcW w:type="dxa" w:w="4824"/>
            <w:shd w:val="clear" w:color="auto" w:fill="F8FAFC"/>
          </w:tcPr>
          <w:p>
            <w:r>
              <w:rPr>
                <w:sz w:val="19"/>
              </w:rPr>
              <w:t>Owner Review Duration</w:t>
            </w:r>
          </w:p>
        </w:tc>
        <w:tc>
          <w:tcPr>
            <w:tcW w:type="dxa" w:w="4824"/>
            <w:shd w:val="clear" w:color="auto" w:fill="F8FAFC"/>
          </w:tcPr>
          <w:p>
            <w:r>
              <w:rPr>
                <w:sz w:val="19"/>
              </w:rPr>
              <w:t>15 Minutes (15:00 – 15:15 Friday)</w:t>
            </w:r>
          </w:p>
        </w:tc>
      </w:tr>
      <w:tr>
        <w:tc>
          <w:tcPr>
            <w:tcW w:type="dxa" w:w="4824"/>
          </w:tcPr>
          <w:p>
            <w:r>
              <w:rPr>
                <w:sz w:val="19"/>
              </w:rPr>
              <w:t>Team All-Hands Huddle</w:t>
            </w:r>
          </w:p>
        </w:tc>
        <w:tc>
          <w:tcPr>
            <w:tcW w:type="dxa" w:w="4824"/>
          </w:tcPr>
          <w:p>
            <w:r>
              <w:rPr>
                <w:sz w:val="19"/>
              </w:rPr>
              <w:t>Monday 08:45 – 09:00 AM (15 Minutes sharp)</w:t>
            </w:r>
          </w:p>
        </w:tc>
      </w:tr>
    </w:tbl>
    <w:p/>
    <w:p>
      <w:pPr>
        <w:pStyle w:val="Heading2"/>
      </w:pPr>
      <w:r>
        <w:t>2. The 12-Metric Friday Owner Scorecard Table (5-Department Executive Pulse)</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val="clear" w:color="auto" w:fill="0F172A"/>
          </w:tcPr>
          <w:p>
            <w:r>
              <w:rPr>
                <w:b/>
                <w:color w:val="FFFFFF"/>
                <w:sz w:val="19"/>
              </w:rPr>
              <w:t>KPI #</w:t>
            </w:r>
          </w:p>
        </w:tc>
        <w:tc>
          <w:tcPr>
            <w:tcW w:type="dxa" w:w="1072"/>
            <w:shd w:val="clear" w:color="auto" w:fill="0F172A"/>
          </w:tcPr>
          <w:p>
            <w:r>
              <w:rPr>
                <w:b/>
                <w:color w:val="FFFFFF"/>
                <w:sz w:val="19"/>
              </w:rPr>
              <w:t>Department</w:t>
            </w:r>
          </w:p>
        </w:tc>
        <w:tc>
          <w:tcPr>
            <w:tcW w:type="dxa" w:w="1072"/>
            <w:shd w:val="clear" w:color="auto" w:fill="0F172A"/>
          </w:tcPr>
          <w:p>
            <w:r>
              <w:rPr>
                <w:b/>
                <w:color w:val="FFFFFF"/>
                <w:sz w:val="19"/>
              </w:rPr>
              <w:t>Executive Metric Name</w:t>
            </w:r>
          </w:p>
        </w:tc>
        <w:tc>
          <w:tcPr>
            <w:tcW w:type="dxa" w:w="1072"/>
            <w:shd w:val="clear" w:color="auto" w:fill="0F172A"/>
          </w:tcPr>
          <w:p>
            <w:r>
              <w:rPr>
                <w:b/>
                <w:color w:val="FFFFFF"/>
                <w:sz w:val="19"/>
              </w:rPr>
              <w:t>Target SLA Benchmark</w:t>
            </w:r>
          </w:p>
        </w:tc>
        <w:tc>
          <w:tcPr>
            <w:tcW w:type="dxa" w:w="1072"/>
            <w:shd w:val="clear" w:color="auto" w:fill="0F172A"/>
          </w:tcPr>
          <w:p>
            <w:r>
              <w:rPr>
                <w:b/>
                <w:color w:val="FFFFFF"/>
                <w:sz w:val="19"/>
              </w:rPr>
              <w:t>Prior Week</w:t>
            </w:r>
          </w:p>
        </w:tc>
        <w:tc>
          <w:tcPr>
            <w:tcW w:type="dxa" w:w="1072"/>
            <w:shd w:val="clear" w:color="auto" w:fill="0F172A"/>
          </w:tcPr>
          <w:p>
            <w:r>
              <w:rPr>
                <w:b/>
                <w:color w:val="FFFFFF"/>
                <w:sz w:val="19"/>
              </w:rPr>
              <w:t>Current Week</w:t>
            </w:r>
          </w:p>
        </w:tc>
        <w:tc>
          <w:tcPr>
            <w:tcW w:type="dxa" w:w="1072"/>
            <w:shd w:val="clear" w:color="auto" w:fill="0F172A"/>
          </w:tcPr>
          <w:p>
            <w:r>
              <w:rPr>
                <w:b/>
                <w:color w:val="FFFFFF"/>
                <w:sz w:val="19"/>
              </w:rPr>
              <w:t>Variance</w:t>
            </w:r>
          </w:p>
        </w:tc>
        <w:tc>
          <w:tcPr>
            <w:tcW w:type="dxa" w:w="1072"/>
            <w:shd w:val="clear" w:color="auto" w:fill="0F172A"/>
          </w:tcPr>
          <w:p>
            <w:r>
              <w:rPr>
                <w:b/>
                <w:color w:val="FFFFFF"/>
                <w:sz w:val="19"/>
              </w:rPr>
              <w:t>RAG Status (G/A/R)</w:t>
            </w:r>
          </w:p>
        </w:tc>
        <w:tc>
          <w:tcPr>
            <w:tcW w:type="dxa" w:w="1072"/>
            <w:shd w:val="clear" w:color="auto" w:fill="0F172A"/>
          </w:tcPr>
          <w:p>
            <w:r>
              <w:rPr>
                <w:b/>
                <w:color w:val="FFFFFF"/>
                <w:sz w:val="19"/>
              </w:rPr>
              <w:t>Designated Metric Owner</w:t>
            </w:r>
          </w:p>
        </w:tc>
      </w:tr>
      <w:tr>
        <w:tc>
          <w:tcPr>
            <w:tcW w:type="dxa" w:w="1072"/>
            <w:shd w:val="clear" w:color="auto" w:fill="F8FAFC"/>
          </w:tcPr>
          <w:p>
            <w:r>
              <w:rPr>
                <w:sz w:val="19"/>
              </w:rPr>
              <w:t>KPI 01</w:t>
            </w:r>
          </w:p>
        </w:tc>
        <w:tc>
          <w:tcPr>
            <w:tcW w:type="dxa" w:w="1072"/>
            <w:shd w:val="clear" w:color="auto" w:fill="F8FAFC"/>
          </w:tcPr>
          <w:p>
            <w:r>
              <w:rPr>
                <w:sz w:val="19"/>
              </w:rPr>
              <w:t>Dept 01: Leads</w:t>
            </w:r>
          </w:p>
        </w:tc>
        <w:tc>
          <w:tcPr>
            <w:tcW w:type="dxa" w:w="1072"/>
            <w:shd w:val="clear" w:color="auto" w:fill="F8FAFC"/>
          </w:tcPr>
          <w:p>
            <w:r>
              <w:rPr>
                <w:sz w:val="19"/>
              </w:rPr>
              <w:t>Weekly Qualified Inbound Leads</w:t>
            </w:r>
          </w:p>
        </w:tc>
        <w:tc>
          <w:tcPr>
            <w:tcW w:type="dxa" w:w="1072"/>
            <w:shd w:val="clear" w:color="auto" w:fill="F8FAFC"/>
          </w:tcPr>
          <w:p>
            <w:r>
              <w:rPr>
                <w:sz w:val="19"/>
              </w:rPr>
              <w:t>&gt;= 25 / wk</w:t>
            </w:r>
          </w:p>
        </w:tc>
        <w:tc>
          <w:tcPr>
            <w:tcW w:type="dxa" w:w="1072"/>
            <w:shd w:val="clear" w:color="auto" w:fill="F8FAFC"/>
          </w:tcPr>
          <w:p>
            <w:r>
              <w:rPr>
                <w:sz w:val="19"/>
              </w:rPr>
              <w:t>28</w:t>
            </w:r>
          </w:p>
        </w:tc>
        <w:tc>
          <w:tcPr>
            <w:tcW w:type="dxa" w:w="1072"/>
            <w:shd w:val="clear" w:color="auto" w:fill="F8FAFC"/>
          </w:tcPr>
          <w:p>
            <w:r>
              <w:rPr>
                <w:sz w:val="19"/>
              </w:rPr>
              <w:t>34</w:t>
            </w:r>
          </w:p>
        </w:tc>
        <w:tc>
          <w:tcPr>
            <w:tcW w:type="dxa" w:w="1072"/>
            <w:shd w:val="clear" w:color="auto" w:fill="F8FAFC"/>
          </w:tcPr>
          <w:p>
            <w:r>
              <w:rPr>
                <w:sz w:val="19"/>
              </w:rPr>
              <w:t>+21.4%</w:t>
            </w:r>
          </w:p>
        </w:tc>
        <w:tc>
          <w:tcPr>
            <w:tcW w:type="dxa" w:w="1072"/>
            <w:shd w:val="clear" w:color="auto" w:fill="F8FAFC"/>
          </w:tcPr>
          <w:p>
            <w:r>
              <w:rPr>
                <w:sz w:val="19"/>
              </w:rPr>
              <w:t>GREEN</w:t>
            </w:r>
          </w:p>
        </w:tc>
        <w:tc>
          <w:tcPr>
            <w:tcW w:type="dxa" w:w="1072"/>
            <w:shd w:val="clear" w:color="auto" w:fill="F8FAFC"/>
          </w:tcPr>
          <w:p>
            <w:r>
              <w:rPr>
                <w:sz w:val="19"/>
              </w:rPr>
              <w:t>Growth / Front-Desk Lead</w:t>
            </w:r>
          </w:p>
        </w:tc>
      </w:tr>
      <w:tr>
        <w:tc>
          <w:tcPr>
            <w:tcW w:type="dxa" w:w="1072"/>
          </w:tcPr>
          <w:p>
            <w:r>
              <w:rPr>
                <w:sz w:val="19"/>
              </w:rPr>
              <w:t>KPI 02</w:t>
            </w:r>
          </w:p>
        </w:tc>
        <w:tc>
          <w:tcPr>
            <w:tcW w:type="dxa" w:w="1072"/>
          </w:tcPr>
          <w:p>
            <w:r>
              <w:rPr>
                <w:sz w:val="19"/>
              </w:rPr>
              <w:t>Dept 01: Leads</w:t>
            </w:r>
          </w:p>
        </w:tc>
        <w:tc>
          <w:tcPr>
            <w:tcW w:type="dxa" w:w="1072"/>
          </w:tcPr>
          <w:p>
            <w:r>
              <w:rPr>
                <w:sz w:val="19"/>
              </w:rPr>
              <w:t>Median Speed-to-Lead Latency</w:t>
            </w:r>
          </w:p>
        </w:tc>
        <w:tc>
          <w:tcPr>
            <w:tcW w:type="dxa" w:w="1072"/>
          </w:tcPr>
          <w:p>
            <w:r>
              <w:rPr>
                <w:sz w:val="19"/>
              </w:rPr>
              <w:t>&lt;= 60 seconds</w:t>
            </w:r>
          </w:p>
        </w:tc>
        <w:tc>
          <w:tcPr>
            <w:tcW w:type="dxa" w:w="1072"/>
          </w:tcPr>
          <w:p>
            <w:r>
              <w:rPr>
                <w:sz w:val="19"/>
              </w:rPr>
              <w:t>44 sec</w:t>
            </w:r>
          </w:p>
        </w:tc>
        <w:tc>
          <w:tcPr>
            <w:tcW w:type="dxa" w:w="1072"/>
          </w:tcPr>
          <w:p>
            <w:r>
              <w:rPr>
                <w:sz w:val="19"/>
              </w:rPr>
              <w:t>38 sec</w:t>
            </w:r>
          </w:p>
        </w:tc>
        <w:tc>
          <w:tcPr>
            <w:tcW w:type="dxa" w:w="1072"/>
          </w:tcPr>
          <w:p>
            <w:r>
              <w:rPr>
                <w:sz w:val="19"/>
              </w:rPr>
              <w:t>-6 sec</w:t>
            </w:r>
          </w:p>
        </w:tc>
        <w:tc>
          <w:tcPr>
            <w:tcW w:type="dxa" w:w="1072"/>
          </w:tcPr>
          <w:p>
            <w:r>
              <w:rPr>
                <w:sz w:val="19"/>
              </w:rPr>
              <w:t>GREEN</w:t>
            </w:r>
          </w:p>
        </w:tc>
        <w:tc>
          <w:tcPr>
            <w:tcW w:type="dxa" w:w="1072"/>
          </w:tcPr>
          <w:p>
            <w:r>
              <w:rPr>
                <w:sz w:val="19"/>
              </w:rPr>
              <w:t>Growth / Front-Desk Lead</w:t>
            </w:r>
          </w:p>
        </w:tc>
      </w:tr>
      <w:tr>
        <w:tc>
          <w:tcPr>
            <w:tcW w:type="dxa" w:w="1072"/>
            <w:shd w:val="clear" w:color="auto" w:fill="F8FAFC"/>
          </w:tcPr>
          <w:p>
            <w:r>
              <w:rPr>
                <w:sz w:val="19"/>
              </w:rPr>
              <w:t>KPI 03</w:t>
            </w:r>
          </w:p>
        </w:tc>
        <w:tc>
          <w:tcPr>
            <w:tcW w:type="dxa" w:w="1072"/>
            <w:shd w:val="clear" w:color="auto" w:fill="F8FAFC"/>
          </w:tcPr>
          <w:p>
            <w:r>
              <w:rPr>
                <w:sz w:val="19"/>
              </w:rPr>
              <w:t>Dept 01: Leads</w:t>
            </w:r>
          </w:p>
        </w:tc>
        <w:tc>
          <w:tcPr>
            <w:tcW w:type="dxa" w:w="1072"/>
            <w:shd w:val="clear" w:color="auto" w:fill="F8FAFC"/>
          </w:tcPr>
          <w:p>
            <w:r>
              <w:rPr>
                <w:sz w:val="19"/>
              </w:rPr>
              <w:t>Missed-Call Text-Back Recovery Rate</w:t>
            </w:r>
          </w:p>
        </w:tc>
        <w:tc>
          <w:tcPr>
            <w:tcW w:type="dxa" w:w="1072"/>
            <w:shd w:val="clear" w:color="auto" w:fill="F8FAFC"/>
          </w:tcPr>
          <w:p>
            <w:r>
              <w:rPr>
                <w:sz w:val="19"/>
              </w:rPr>
              <w:t>&gt;= 85.0%</w:t>
            </w:r>
          </w:p>
        </w:tc>
        <w:tc>
          <w:tcPr>
            <w:tcW w:type="dxa" w:w="1072"/>
            <w:shd w:val="clear" w:color="auto" w:fill="F8FAFC"/>
          </w:tcPr>
          <w:p>
            <w:r>
              <w:rPr>
                <w:sz w:val="19"/>
              </w:rPr>
              <w:t>86.5%</w:t>
            </w:r>
          </w:p>
        </w:tc>
        <w:tc>
          <w:tcPr>
            <w:tcW w:type="dxa" w:w="1072"/>
            <w:shd w:val="clear" w:color="auto" w:fill="F8FAFC"/>
          </w:tcPr>
          <w:p>
            <w:r>
              <w:rPr>
                <w:sz w:val="19"/>
              </w:rPr>
              <w:t>91.2%</w:t>
            </w:r>
          </w:p>
        </w:tc>
        <w:tc>
          <w:tcPr>
            <w:tcW w:type="dxa" w:w="1072"/>
            <w:shd w:val="clear" w:color="auto" w:fill="F8FAFC"/>
          </w:tcPr>
          <w:p>
            <w:r>
              <w:rPr>
                <w:sz w:val="19"/>
              </w:rPr>
              <w:t>+4.7%</w:t>
            </w:r>
          </w:p>
        </w:tc>
        <w:tc>
          <w:tcPr>
            <w:tcW w:type="dxa" w:w="1072"/>
            <w:shd w:val="clear" w:color="auto" w:fill="F8FAFC"/>
          </w:tcPr>
          <w:p>
            <w:r>
              <w:rPr>
                <w:sz w:val="19"/>
              </w:rPr>
              <w:t>GREEN</w:t>
            </w:r>
          </w:p>
        </w:tc>
        <w:tc>
          <w:tcPr>
            <w:tcW w:type="dxa" w:w="1072"/>
            <w:shd w:val="clear" w:color="auto" w:fill="F8FAFC"/>
          </w:tcPr>
          <w:p>
            <w:r>
              <w:rPr>
                <w:sz w:val="19"/>
              </w:rPr>
              <w:t>Growth / Front-Desk Lead</w:t>
            </w:r>
          </w:p>
        </w:tc>
      </w:tr>
      <w:tr>
        <w:tc>
          <w:tcPr>
            <w:tcW w:type="dxa" w:w="1072"/>
          </w:tcPr>
          <w:p>
            <w:r>
              <w:rPr>
                <w:sz w:val="19"/>
              </w:rPr>
              <w:t>KPI 04</w:t>
            </w:r>
          </w:p>
        </w:tc>
        <w:tc>
          <w:tcPr>
            <w:tcW w:type="dxa" w:w="1072"/>
          </w:tcPr>
          <w:p>
            <w:r>
              <w:rPr>
                <w:sz w:val="19"/>
              </w:rPr>
              <w:t>Dept 02: Sales</w:t>
            </w:r>
          </w:p>
        </w:tc>
        <w:tc>
          <w:tcPr>
            <w:tcW w:type="dxa" w:w="1072"/>
          </w:tcPr>
          <w:p>
            <w:r>
              <w:rPr>
                <w:sz w:val="19"/>
              </w:rPr>
              <w:t>3-Option Proposals Dispatched &lt;15m</w:t>
            </w:r>
          </w:p>
        </w:tc>
        <w:tc>
          <w:tcPr>
            <w:tcW w:type="dxa" w:w="1072"/>
          </w:tcPr>
          <w:p>
            <w:r>
              <w:rPr>
                <w:sz w:val="19"/>
              </w:rPr>
              <w:t>&gt;= 90.0%</w:t>
            </w:r>
          </w:p>
        </w:tc>
        <w:tc>
          <w:tcPr>
            <w:tcW w:type="dxa" w:w="1072"/>
          </w:tcPr>
          <w:p>
            <w:r>
              <w:rPr>
                <w:sz w:val="19"/>
              </w:rPr>
              <w:t>88.0%</w:t>
            </w:r>
          </w:p>
        </w:tc>
        <w:tc>
          <w:tcPr>
            <w:tcW w:type="dxa" w:w="1072"/>
          </w:tcPr>
          <w:p>
            <w:r>
              <w:rPr>
                <w:sz w:val="19"/>
              </w:rPr>
              <w:t>94.0%</w:t>
            </w:r>
          </w:p>
        </w:tc>
        <w:tc>
          <w:tcPr>
            <w:tcW w:type="dxa" w:w="1072"/>
          </w:tcPr>
          <w:p>
            <w:r>
              <w:rPr>
                <w:sz w:val="19"/>
              </w:rPr>
              <w:t>+6.0%</w:t>
            </w:r>
          </w:p>
        </w:tc>
        <w:tc>
          <w:tcPr>
            <w:tcW w:type="dxa" w:w="1072"/>
          </w:tcPr>
          <w:p>
            <w:r>
              <w:rPr>
                <w:sz w:val="19"/>
              </w:rPr>
              <w:t>GREEN</w:t>
            </w:r>
          </w:p>
        </w:tc>
        <w:tc>
          <w:tcPr>
            <w:tcW w:type="dxa" w:w="1072"/>
          </w:tcPr>
          <w:p>
            <w:r>
              <w:rPr>
                <w:sz w:val="19"/>
              </w:rPr>
              <w:t>Sales / Estimating Lead</w:t>
            </w:r>
          </w:p>
        </w:tc>
      </w:tr>
      <w:tr>
        <w:tc>
          <w:tcPr>
            <w:tcW w:type="dxa" w:w="1072"/>
            <w:shd w:val="clear" w:color="auto" w:fill="F8FAFC"/>
          </w:tcPr>
          <w:p>
            <w:r>
              <w:rPr>
                <w:sz w:val="19"/>
              </w:rPr>
              <w:t>KPI 05</w:t>
            </w:r>
          </w:p>
        </w:tc>
        <w:tc>
          <w:tcPr>
            <w:tcW w:type="dxa" w:w="1072"/>
            <w:shd w:val="clear" w:color="auto" w:fill="F8FAFC"/>
          </w:tcPr>
          <w:p>
            <w:r>
              <w:rPr>
                <w:sz w:val="19"/>
              </w:rPr>
              <w:t>Dept 02: Sales</w:t>
            </w:r>
          </w:p>
        </w:tc>
        <w:tc>
          <w:tcPr>
            <w:tcW w:type="dxa" w:w="1072"/>
            <w:shd w:val="clear" w:color="auto" w:fill="F8FAFC"/>
          </w:tcPr>
          <w:p>
            <w:r>
              <w:rPr>
                <w:sz w:val="19"/>
              </w:rPr>
              <w:t>14-Day Proposal Close Rate</w:t>
            </w:r>
          </w:p>
        </w:tc>
        <w:tc>
          <w:tcPr>
            <w:tcW w:type="dxa" w:w="1072"/>
            <w:shd w:val="clear" w:color="auto" w:fill="F8FAFC"/>
          </w:tcPr>
          <w:p>
            <w:r>
              <w:rPr>
                <w:sz w:val="19"/>
              </w:rPr>
              <w:t>&gt;= 35.0%</w:t>
            </w:r>
          </w:p>
        </w:tc>
        <w:tc>
          <w:tcPr>
            <w:tcW w:type="dxa" w:w="1072"/>
            <w:shd w:val="clear" w:color="auto" w:fill="F8FAFC"/>
          </w:tcPr>
          <w:p>
            <w:r>
              <w:rPr>
                <w:sz w:val="19"/>
              </w:rPr>
              <w:t>33.5%</w:t>
            </w:r>
          </w:p>
        </w:tc>
        <w:tc>
          <w:tcPr>
            <w:tcW w:type="dxa" w:w="1072"/>
            <w:shd w:val="clear" w:color="auto" w:fill="F8FAFC"/>
          </w:tcPr>
          <w:p>
            <w:r>
              <w:rPr>
                <w:sz w:val="19"/>
              </w:rPr>
              <w:t>38.4%</w:t>
            </w:r>
          </w:p>
        </w:tc>
        <w:tc>
          <w:tcPr>
            <w:tcW w:type="dxa" w:w="1072"/>
            <w:shd w:val="clear" w:color="auto" w:fill="F8FAFC"/>
          </w:tcPr>
          <w:p>
            <w:r>
              <w:rPr>
                <w:sz w:val="19"/>
              </w:rPr>
              <w:t>+4.9%</w:t>
            </w:r>
          </w:p>
        </w:tc>
        <w:tc>
          <w:tcPr>
            <w:tcW w:type="dxa" w:w="1072"/>
            <w:shd w:val="clear" w:color="auto" w:fill="F8FAFC"/>
          </w:tcPr>
          <w:p>
            <w:r>
              <w:rPr>
                <w:sz w:val="19"/>
              </w:rPr>
              <w:t>GREEN</w:t>
            </w:r>
          </w:p>
        </w:tc>
        <w:tc>
          <w:tcPr>
            <w:tcW w:type="dxa" w:w="1072"/>
            <w:shd w:val="clear" w:color="auto" w:fill="F8FAFC"/>
          </w:tcPr>
          <w:p>
            <w:r>
              <w:rPr>
                <w:sz w:val="19"/>
              </w:rPr>
              <w:t>Sales / Estimating Lead</w:t>
            </w:r>
          </w:p>
        </w:tc>
      </w:tr>
      <w:tr>
        <w:tc>
          <w:tcPr>
            <w:tcW w:type="dxa" w:w="1072"/>
          </w:tcPr>
          <w:p>
            <w:r>
              <w:rPr>
                <w:sz w:val="19"/>
              </w:rPr>
              <w:t>KPI 06</w:t>
            </w:r>
          </w:p>
        </w:tc>
        <w:tc>
          <w:tcPr>
            <w:tcW w:type="dxa" w:w="1072"/>
          </w:tcPr>
          <w:p>
            <w:r>
              <w:rPr>
                <w:sz w:val="19"/>
              </w:rPr>
              <w:t>Dept 03: Ops</w:t>
            </w:r>
          </w:p>
        </w:tc>
        <w:tc>
          <w:tcPr>
            <w:tcW w:type="dxa" w:w="1072"/>
          </w:tcPr>
          <w:p>
            <w:r>
              <w:rPr>
                <w:sz w:val="19"/>
              </w:rPr>
              <w:t>Client Onboarding Cycle Time</w:t>
            </w:r>
          </w:p>
        </w:tc>
        <w:tc>
          <w:tcPr>
            <w:tcW w:type="dxa" w:w="1072"/>
          </w:tcPr>
          <w:p>
            <w:r>
              <w:rPr>
                <w:sz w:val="19"/>
              </w:rPr>
              <w:t>&lt;= 24.0 hours</w:t>
            </w:r>
          </w:p>
        </w:tc>
        <w:tc>
          <w:tcPr>
            <w:tcW w:type="dxa" w:w="1072"/>
          </w:tcPr>
          <w:p>
            <w:r>
              <w:rPr>
                <w:sz w:val="19"/>
              </w:rPr>
              <w:t>18.5 hrs</w:t>
            </w:r>
          </w:p>
        </w:tc>
        <w:tc>
          <w:tcPr>
            <w:tcW w:type="dxa" w:w="1072"/>
          </w:tcPr>
          <w:p>
            <w:r>
              <w:rPr>
                <w:sz w:val="19"/>
              </w:rPr>
              <w:t>11.2 hrs</w:t>
            </w:r>
          </w:p>
        </w:tc>
        <w:tc>
          <w:tcPr>
            <w:tcW w:type="dxa" w:w="1072"/>
          </w:tcPr>
          <w:p>
            <w:r>
              <w:rPr>
                <w:sz w:val="19"/>
              </w:rPr>
              <w:t>-7.3 hrs</w:t>
            </w:r>
          </w:p>
        </w:tc>
        <w:tc>
          <w:tcPr>
            <w:tcW w:type="dxa" w:w="1072"/>
          </w:tcPr>
          <w:p>
            <w:r>
              <w:rPr>
                <w:sz w:val="19"/>
              </w:rPr>
              <w:t>GREEN</w:t>
            </w:r>
          </w:p>
        </w:tc>
        <w:tc>
          <w:tcPr>
            <w:tcW w:type="dxa" w:w="1072"/>
          </w:tcPr>
          <w:p>
            <w:r>
              <w:rPr>
                <w:sz w:val="19"/>
              </w:rPr>
              <w:t>Fulfillment / Ops Lead</w:t>
            </w:r>
          </w:p>
        </w:tc>
      </w:tr>
      <w:tr>
        <w:tc>
          <w:tcPr>
            <w:tcW w:type="dxa" w:w="1072"/>
            <w:shd w:val="clear" w:color="auto" w:fill="F8FAFC"/>
          </w:tcPr>
          <w:p>
            <w:r>
              <w:rPr>
                <w:sz w:val="19"/>
              </w:rPr>
              <w:t>KPI 07</w:t>
            </w:r>
          </w:p>
        </w:tc>
        <w:tc>
          <w:tcPr>
            <w:tcW w:type="dxa" w:w="1072"/>
            <w:shd w:val="clear" w:color="auto" w:fill="F8FAFC"/>
          </w:tcPr>
          <w:p>
            <w:r>
              <w:rPr>
                <w:sz w:val="19"/>
              </w:rPr>
              <w:t>Dept 03: Support</w:t>
            </w:r>
          </w:p>
        </w:tc>
        <w:tc>
          <w:tcPr>
            <w:tcW w:type="dxa" w:w="1072"/>
            <w:shd w:val="clear" w:color="auto" w:fill="F8FAFC"/>
          </w:tcPr>
          <w:p>
            <w:r>
              <w:rPr>
                <w:sz w:val="19"/>
              </w:rPr>
              <w:t>Tier-1 Support Auto-Resolution Rate</w:t>
            </w:r>
          </w:p>
        </w:tc>
        <w:tc>
          <w:tcPr>
            <w:tcW w:type="dxa" w:w="1072"/>
            <w:shd w:val="clear" w:color="auto" w:fill="F8FAFC"/>
          </w:tcPr>
          <w:p>
            <w:r>
              <w:rPr>
                <w:sz w:val="19"/>
              </w:rPr>
              <w:t>&gt;= 60.0%</w:t>
            </w:r>
          </w:p>
        </w:tc>
        <w:tc>
          <w:tcPr>
            <w:tcW w:type="dxa" w:w="1072"/>
            <w:shd w:val="clear" w:color="auto" w:fill="F8FAFC"/>
          </w:tcPr>
          <w:p>
            <w:r>
              <w:rPr>
                <w:sz w:val="19"/>
              </w:rPr>
              <w:t>64.0%</w:t>
            </w:r>
          </w:p>
        </w:tc>
        <w:tc>
          <w:tcPr>
            <w:tcW w:type="dxa" w:w="1072"/>
            <w:shd w:val="clear" w:color="auto" w:fill="F8FAFC"/>
          </w:tcPr>
          <w:p>
            <w:r>
              <w:rPr>
                <w:sz w:val="19"/>
              </w:rPr>
              <w:t>68.5%</w:t>
            </w:r>
          </w:p>
        </w:tc>
        <w:tc>
          <w:tcPr>
            <w:tcW w:type="dxa" w:w="1072"/>
            <w:shd w:val="clear" w:color="auto" w:fill="F8FAFC"/>
          </w:tcPr>
          <w:p>
            <w:r>
              <w:rPr>
                <w:sz w:val="19"/>
              </w:rPr>
              <w:t>+4.5%</w:t>
            </w:r>
          </w:p>
        </w:tc>
        <w:tc>
          <w:tcPr>
            <w:tcW w:type="dxa" w:w="1072"/>
            <w:shd w:val="clear" w:color="auto" w:fill="F8FAFC"/>
          </w:tcPr>
          <w:p>
            <w:r>
              <w:rPr>
                <w:sz w:val="19"/>
              </w:rPr>
              <w:t>GREEN</w:t>
            </w:r>
          </w:p>
        </w:tc>
        <w:tc>
          <w:tcPr>
            <w:tcW w:type="dxa" w:w="1072"/>
            <w:shd w:val="clear" w:color="auto" w:fill="F8FAFC"/>
          </w:tcPr>
          <w:p>
            <w:r>
              <w:rPr>
                <w:sz w:val="19"/>
              </w:rPr>
              <w:t>Customer Support Lead</w:t>
            </w:r>
          </w:p>
        </w:tc>
      </w:tr>
      <w:tr>
        <w:tc>
          <w:tcPr>
            <w:tcW w:type="dxa" w:w="1072"/>
          </w:tcPr>
          <w:p>
            <w:r>
              <w:rPr>
                <w:sz w:val="19"/>
              </w:rPr>
              <w:t>KPI 08</w:t>
            </w:r>
          </w:p>
        </w:tc>
        <w:tc>
          <w:tcPr>
            <w:tcW w:type="dxa" w:w="1072"/>
          </w:tcPr>
          <w:p>
            <w:r>
              <w:rPr>
                <w:sz w:val="19"/>
              </w:rPr>
              <w:t>Dept 03: Reviews</w:t>
            </w:r>
          </w:p>
        </w:tc>
        <w:tc>
          <w:tcPr>
            <w:tcW w:type="dxa" w:w="1072"/>
          </w:tcPr>
          <w:p>
            <w:r>
              <w:rPr>
                <w:sz w:val="19"/>
              </w:rPr>
              <w:t>Net New 5-Star Public Google Reviews</w:t>
            </w:r>
          </w:p>
        </w:tc>
        <w:tc>
          <w:tcPr>
            <w:tcW w:type="dxa" w:w="1072"/>
          </w:tcPr>
          <w:p>
            <w:r>
              <w:rPr>
                <w:sz w:val="19"/>
              </w:rPr>
              <w:t>&gt;= 3 / wk</w:t>
            </w:r>
          </w:p>
        </w:tc>
        <w:tc>
          <w:tcPr>
            <w:tcW w:type="dxa" w:w="1072"/>
          </w:tcPr>
          <w:p>
            <w:r>
              <w:rPr>
                <w:sz w:val="19"/>
              </w:rPr>
              <w:t>4</w:t>
            </w:r>
          </w:p>
        </w:tc>
        <w:tc>
          <w:tcPr>
            <w:tcW w:type="dxa" w:w="1072"/>
          </w:tcPr>
          <w:p>
            <w:r>
              <w:rPr>
                <w:sz w:val="19"/>
              </w:rPr>
              <w:t>5</w:t>
            </w:r>
          </w:p>
        </w:tc>
        <w:tc>
          <w:tcPr>
            <w:tcW w:type="dxa" w:w="1072"/>
          </w:tcPr>
          <w:p>
            <w:r>
              <w:rPr>
                <w:sz w:val="19"/>
              </w:rPr>
              <w:t>+1</w:t>
            </w:r>
          </w:p>
        </w:tc>
        <w:tc>
          <w:tcPr>
            <w:tcW w:type="dxa" w:w="1072"/>
          </w:tcPr>
          <w:p>
            <w:r>
              <w:rPr>
                <w:sz w:val="19"/>
              </w:rPr>
              <w:t>GREEN</w:t>
            </w:r>
          </w:p>
        </w:tc>
        <w:tc>
          <w:tcPr>
            <w:tcW w:type="dxa" w:w="1072"/>
          </w:tcPr>
          <w:p>
            <w:r>
              <w:rPr>
                <w:sz w:val="19"/>
              </w:rPr>
              <w:t>Customer Support Lead</w:t>
            </w:r>
          </w:p>
        </w:tc>
      </w:tr>
      <w:tr>
        <w:tc>
          <w:tcPr>
            <w:tcW w:type="dxa" w:w="1072"/>
            <w:shd w:val="clear" w:color="auto" w:fill="F8FAFC"/>
          </w:tcPr>
          <w:p>
            <w:r>
              <w:rPr>
                <w:sz w:val="19"/>
              </w:rPr>
              <w:t>KPI 09</w:t>
            </w:r>
          </w:p>
        </w:tc>
        <w:tc>
          <w:tcPr>
            <w:tcW w:type="dxa" w:w="1072"/>
            <w:shd w:val="clear" w:color="auto" w:fill="F8FAFC"/>
          </w:tcPr>
          <w:p>
            <w:r>
              <w:rPr>
                <w:sz w:val="19"/>
              </w:rPr>
              <w:t>Dept 04: Finance</w:t>
            </w:r>
          </w:p>
        </w:tc>
        <w:tc>
          <w:tcPr>
            <w:tcW w:type="dxa" w:w="1072"/>
            <w:shd w:val="clear" w:color="auto" w:fill="F8FAFC"/>
          </w:tcPr>
          <w:p>
            <w:r>
              <w:rPr>
                <w:sz w:val="19"/>
              </w:rPr>
              <w:t>Weekly Gross Cash Collected ($)</w:t>
            </w:r>
          </w:p>
        </w:tc>
        <w:tc>
          <w:tcPr>
            <w:tcW w:type="dxa" w:w="1072"/>
            <w:shd w:val="clear" w:color="auto" w:fill="F8FAFC"/>
          </w:tcPr>
          <w:p>
            <w:r>
              <w:rPr>
                <w:sz w:val="19"/>
              </w:rPr>
              <w:t>&gt;= $28,000 / wk</w:t>
            </w:r>
          </w:p>
        </w:tc>
        <w:tc>
          <w:tcPr>
            <w:tcW w:type="dxa" w:w="1072"/>
            <w:shd w:val="clear" w:color="auto" w:fill="F8FAFC"/>
          </w:tcPr>
          <w:p>
            <w:r>
              <w:rPr>
                <w:sz w:val="19"/>
              </w:rPr>
              <w:t>$31,200</w:t>
            </w:r>
          </w:p>
        </w:tc>
        <w:tc>
          <w:tcPr>
            <w:tcW w:type="dxa" w:w="1072"/>
            <w:shd w:val="clear" w:color="auto" w:fill="F8FAFC"/>
          </w:tcPr>
          <w:p>
            <w:r>
              <w:rPr>
                <w:sz w:val="19"/>
              </w:rPr>
              <w:t>$36,450</w:t>
            </w:r>
          </w:p>
        </w:tc>
        <w:tc>
          <w:tcPr>
            <w:tcW w:type="dxa" w:w="1072"/>
            <w:shd w:val="clear" w:color="auto" w:fill="F8FAFC"/>
          </w:tcPr>
          <w:p>
            <w:r>
              <w:rPr>
                <w:sz w:val="19"/>
              </w:rPr>
              <w:t>+$5,250</w:t>
            </w:r>
          </w:p>
        </w:tc>
        <w:tc>
          <w:tcPr>
            <w:tcW w:type="dxa" w:w="1072"/>
            <w:shd w:val="clear" w:color="auto" w:fill="F8FAFC"/>
          </w:tcPr>
          <w:p>
            <w:r>
              <w:rPr>
                <w:sz w:val="19"/>
              </w:rPr>
              <w:t>GREEN</w:t>
            </w:r>
          </w:p>
        </w:tc>
        <w:tc>
          <w:tcPr>
            <w:tcW w:type="dxa" w:w="1072"/>
            <w:shd w:val="clear" w:color="auto" w:fill="F8FAFC"/>
          </w:tcPr>
          <w:p>
            <w:r>
              <w:rPr>
                <w:sz w:val="19"/>
              </w:rPr>
              <w:t>Finance / Billing Lead</w:t>
            </w:r>
          </w:p>
        </w:tc>
      </w:tr>
      <w:tr>
        <w:tc>
          <w:tcPr>
            <w:tcW w:type="dxa" w:w="1072"/>
          </w:tcPr>
          <w:p>
            <w:r>
              <w:rPr>
                <w:sz w:val="19"/>
              </w:rPr>
              <w:t>KPI 10</w:t>
            </w:r>
          </w:p>
        </w:tc>
        <w:tc>
          <w:tcPr>
            <w:tcW w:type="dxa" w:w="1072"/>
          </w:tcPr>
          <w:p>
            <w:r>
              <w:rPr>
                <w:sz w:val="19"/>
              </w:rPr>
              <w:t>Dept 04: Finance</w:t>
            </w:r>
          </w:p>
        </w:tc>
        <w:tc>
          <w:tcPr>
            <w:tcW w:type="dxa" w:w="1072"/>
          </w:tcPr>
          <w:p>
            <w:r>
              <w:rPr>
                <w:sz w:val="19"/>
              </w:rPr>
              <w:t>Overdue Receivables &gt; 15 Days ($)</w:t>
            </w:r>
          </w:p>
        </w:tc>
        <w:tc>
          <w:tcPr>
            <w:tcW w:type="dxa" w:w="1072"/>
          </w:tcPr>
          <w:p>
            <w:r>
              <w:rPr>
                <w:sz w:val="19"/>
              </w:rPr>
              <w:t>&lt;= $2,500</w:t>
            </w:r>
          </w:p>
        </w:tc>
        <w:tc>
          <w:tcPr>
            <w:tcW w:type="dxa" w:w="1072"/>
          </w:tcPr>
          <w:p>
            <w:r>
              <w:rPr>
                <w:sz w:val="19"/>
              </w:rPr>
              <w:t>$2,950</w:t>
            </w:r>
          </w:p>
        </w:tc>
        <w:tc>
          <w:tcPr>
            <w:tcW w:type="dxa" w:w="1072"/>
          </w:tcPr>
          <w:p>
            <w:r>
              <w:rPr>
                <w:sz w:val="19"/>
              </w:rPr>
              <w:t>$1,420</w:t>
            </w:r>
          </w:p>
        </w:tc>
        <w:tc>
          <w:tcPr>
            <w:tcW w:type="dxa" w:w="1072"/>
          </w:tcPr>
          <w:p>
            <w:r>
              <w:rPr>
                <w:sz w:val="19"/>
              </w:rPr>
              <w:t>-$1,530</w:t>
            </w:r>
          </w:p>
        </w:tc>
        <w:tc>
          <w:tcPr>
            <w:tcW w:type="dxa" w:w="1072"/>
          </w:tcPr>
          <w:p>
            <w:r>
              <w:rPr>
                <w:sz w:val="19"/>
              </w:rPr>
              <w:t>GREEN</w:t>
            </w:r>
          </w:p>
        </w:tc>
        <w:tc>
          <w:tcPr>
            <w:tcW w:type="dxa" w:w="1072"/>
          </w:tcPr>
          <w:p>
            <w:r>
              <w:rPr>
                <w:sz w:val="19"/>
              </w:rPr>
              <w:t>Finance / Billing Lead</w:t>
            </w:r>
          </w:p>
        </w:tc>
      </w:tr>
      <w:tr>
        <w:tc>
          <w:tcPr>
            <w:tcW w:type="dxa" w:w="1072"/>
            <w:shd w:val="clear" w:color="auto" w:fill="F8FAFC"/>
          </w:tcPr>
          <w:p>
            <w:r>
              <w:rPr>
                <w:sz w:val="19"/>
              </w:rPr>
              <w:t>KPI 11</w:t>
            </w:r>
          </w:p>
        </w:tc>
        <w:tc>
          <w:tcPr>
            <w:tcW w:type="dxa" w:w="1072"/>
            <w:shd w:val="clear" w:color="auto" w:fill="F8FAFC"/>
          </w:tcPr>
          <w:p>
            <w:r>
              <w:rPr>
                <w:sz w:val="19"/>
              </w:rPr>
              <w:t>Dept 04: Finance</w:t>
            </w:r>
          </w:p>
        </w:tc>
        <w:tc>
          <w:tcPr>
            <w:tcW w:type="dxa" w:w="1072"/>
            <w:shd w:val="clear" w:color="auto" w:fill="F8FAFC"/>
          </w:tcPr>
          <w:p>
            <w:r>
              <w:rPr>
                <w:sz w:val="19"/>
              </w:rPr>
              <w:t>Average Days Sales Outstanding (DSO)</w:t>
            </w:r>
          </w:p>
        </w:tc>
        <w:tc>
          <w:tcPr>
            <w:tcW w:type="dxa" w:w="1072"/>
            <w:shd w:val="clear" w:color="auto" w:fill="F8FAFC"/>
          </w:tcPr>
          <w:p>
            <w:r>
              <w:rPr>
                <w:sz w:val="19"/>
              </w:rPr>
              <w:t>&lt;= 16.0 days</w:t>
            </w:r>
          </w:p>
        </w:tc>
        <w:tc>
          <w:tcPr>
            <w:tcW w:type="dxa" w:w="1072"/>
            <w:shd w:val="clear" w:color="auto" w:fill="F8FAFC"/>
          </w:tcPr>
          <w:p>
            <w:r>
              <w:rPr>
                <w:sz w:val="19"/>
              </w:rPr>
              <w:t>17.2 days</w:t>
            </w:r>
          </w:p>
        </w:tc>
        <w:tc>
          <w:tcPr>
            <w:tcW w:type="dxa" w:w="1072"/>
            <w:shd w:val="clear" w:color="auto" w:fill="F8FAFC"/>
          </w:tcPr>
          <w:p>
            <w:r>
              <w:rPr>
                <w:sz w:val="19"/>
              </w:rPr>
              <w:t>13.4 days</w:t>
            </w:r>
          </w:p>
        </w:tc>
        <w:tc>
          <w:tcPr>
            <w:tcW w:type="dxa" w:w="1072"/>
            <w:shd w:val="clear" w:color="auto" w:fill="F8FAFC"/>
          </w:tcPr>
          <w:p>
            <w:r>
              <w:rPr>
                <w:sz w:val="19"/>
              </w:rPr>
              <w:t>-3.8 days</w:t>
            </w:r>
          </w:p>
        </w:tc>
        <w:tc>
          <w:tcPr>
            <w:tcW w:type="dxa" w:w="1072"/>
            <w:shd w:val="clear" w:color="auto" w:fill="F8FAFC"/>
          </w:tcPr>
          <w:p>
            <w:r>
              <w:rPr>
                <w:sz w:val="19"/>
              </w:rPr>
              <w:t>GREEN</w:t>
            </w:r>
          </w:p>
        </w:tc>
        <w:tc>
          <w:tcPr>
            <w:tcW w:type="dxa" w:w="1072"/>
            <w:shd w:val="clear" w:color="auto" w:fill="F8FAFC"/>
          </w:tcPr>
          <w:p>
            <w:r>
              <w:rPr>
                <w:sz w:val="19"/>
              </w:rPr>
              <w:t>Finance / Billing Lead</w:t>
            </w:r>
          </w:p>
        </w:tc>
      </w:tr>
      <w:tr>
        <w:tc>
          <w:tcPr>
            <w:tcW w:type="dxa" w:w="1072"/>
          </w:tcPr>
          <w:p>
            <w:r>
              <w:rPr>
                <w:sz w:val="19"/>
              </w:rPr>
              <w:t>KPI 12</w:t>
            </w:r>
          </w:p>
        </w:tc>
        <w:tc>
          <w:tcPr>
            <w:tcW w:type="dxa" w:w="1072"/>
          </w:tcPr>
          <w:p>
            <w:r>
              <w:rPr>
                <w:sz w:val="19"/>
              </w:rPr>
              <w:t>Dept 05: Admin</w:t>
            </w:r>
          </w:p>
        </w:tc>
        <w:tc>
          <w:tcPr>
            <w:tcW w:type="dxa" w:w="1072"/>
          </w:tcPr>
          <w:p>
            <w:r>
              <w:rPr>
                <w:sz w:val="19"/>
              </w:rPr>
              <w:t>Weekly Owner &amp; Team Hours Saved</w:t>
            </w:r>
          </w:p>
        </w:tc>
        <w:tc>
          <w:tcPr>
            <w:tcW w:type="dxa" w:w="1072"/>
          </w:tcPr>
          <w:p>
            <w:r>
              <w:rPr>
                <w:sz w:val="19"/>
              </w:rPr>
              <w:t>&gt;= 18.0 hrs/wk</w:t>
            </w:r>
          </w:p>
        </w:tc>
        <w:tc>
          <w:tcPr>
            <w:tcW w:type="dxa" w:w="1072"/>
          </w:tcPr>
          <w:p>
            <w:r>
              <w:rPr>
                <w:sz w:val="19"/>
              </w:rPr>
              <w:t>19.5 hrs</w:t>
            </w:r>
          </w:p>
        </w:tc>
        <w:tc>
          <w:tcPr>
            <w:tcW w:type="dxa" w:w="1072"/>
          </w:tcPr>
          <w:p>
            <w:r>
              <w:rPr>
                <w:sz w:val="19"/>
              </w:rPr>
              <w:t>23.5 hrs</w:t>
            </w:r>
          </w:p>
        </w:tc>
        <w:tc>
          <w:tcPr>
            <w:tcW w:type="dxa" w:w="1072"/>
          </w:tcPr>
          <w:p>
            <w:r>
              <w:rPr>
                <w:sz w:val="19"/>
              </w:rPr>
              <w:t>+4.0 hrs</w:t>
            </w:r>
          </w:p>
        </w:tc>
        <w:tc>
          <w:tcPr>
            <w:tcW w:type="dxa" w:w="1072"/>
          </w:tcPr>
          <w:p>
            <w:r>
              <w:rPr>
                <w:sz w:val="19"/>
              </w:rPr>
              <w:t>GREEN</w:t>
            </w:r>
          </w:p>
        </w:tc>
        <w:tc>
          <w:tcPr>
            <w:tcW w:type="dxa" w:w="1072"/>
          </w:tcPr>
          <w:p>
            <w:r>
              <w:rPr>
                <w:sz w:val="19"/>
              </w:rPr>
              <w:t>Operations Systems Lead</w:t>
            </w:r>
          </w:p>
        </w:tc>
      </w:tr>
    </w:tbl>
    <w:p/>
    <w:p>
      <w:pPr>
        <w:pStyle w:val="Heading2"/>
      </w:pPr>
      <w:r>
        <w:t>3. Executive Narrative &amp; Variance Analysis Log (Generated by Prompt 10.1)</w:t>
      </w:r>
    </w:p>
    <w:p>
      <w:pPr>
        <w:pStyle w:val="ListNumber"/>
      </w:pPr>
      <w:r>
        <w:t>Top 3 Operational Wins of the Week:</w:t>
      </w:r>
    </w:p>
    <w:p>
      <w:pPr>
        <w:pStyle w:val="ListBullet"/>
      </w:pPr>
      <w:r>
        <w:t>Win #1 (Dept 01 &amp; Dept 02): Speed-to-lead held steady at 38 seconds median latency across 34 qualified leads, and our 14-day Good-Better-Best proposal close rate climbed to 38.4% (+$5,250 weekly cash impact).</w:t>
      </w:r>
    </w:p>
    <w:p>
      <w:pPr>
        <w:pStyle w:val="ListBullet"/>
      </w:pPr>
      <w:r>
        <w:t>Win #2 (Dept 03 Support &amp; Reputation): Prompt 6.2 auto-resolved 68.5% of routine Tier-1 inquiries with zero Red-Zone escalations, while the sentiment-gated review request added 5 new 5-star Google reviews.</w:t>
      </w:r>
    </w:p>
    <w:p>
      <w:pPr>
        <w:pStyle w:val="ListBullet"/>
      </w:pPr>
      <w:r>
        <w:t>Win #3 (Dept 04 Cashflow): Automated Stage-2 and Stage-3 payment chasers cleared $1,530 in overdue receivables, bringing company-wide DSO down to 13.4 days.</w:t>
      </w:r>
    </w:p>
    <w:p>
      <w:pPr>
        <w:pStyle w:val="ListNumber"/>
      </w:pPr>
      <w:r>
        <w:t>Single Priority Bottleneck (Amber / Red Variance Action Plan):</w:t>
      </w:r>
    </w:p>
    <w:p>
      <w:pPr>
        <w:pStyle w:val="ListBullet"/>
      </w:pPr>
      <w:r>
        <w:t>Identified Bottleneck: Two commercial clients delayed uploading their onboarding intake files past 48 hours.</w:t>
      </w:r>
    </w:p>
    <w:p>
      <w:pPr>
        <w:pStyle w:val="ListBullet"/>
      </w:pPr>
      <w:r>
        <w:t>Corrective Action Before Wednesday 5:00 PM: Update the Day-2 SMS reminder in Prompt 5.4 to include a direct 1-click mobile photo upload link so clients can snap documents from their phone in 30 seconds.</w:t>
      </w:r>
    </w:p>
    <w:p>
      <w:pPr>
        <w:pStyle w:val="Heading2"/>
      </w:pPr>
      <w:r>
        <w:t>4. Automation Health, API Spend &amp; Kill-Switch Audit Summary</w:t>
      </w:r>
    </w:p>
    <w:p>
      <w:pPr>
        <w:pStyle w:val="ListBullet"/>
      </w:pPr>
      <w:r>
        <w:t>Active Workflows Running: 18 / 18 Active (0 Dead-Letter Queue errors unread; 0 workflows paused).</w:t>
      </w:r>
    </w:p>
    <w:p>
      <w:pPr>
        <w:pStyle w:val="ListBullet"/>
      </w:pPr>
      <w:r>
        <w:t>Weekly AI &amp; No-Code API Spend: $28.40 total across OpenAI, Make.com, and Twilio vs. $1,363.00 in weekly labor value recovered (48.0x weekly software ROI).</w:t>
      </w:r>
    </w:p>
    <w:p>
      <w:pPr>
        <w:pStyle w:val="Heading2"/>
      </w:pPr>
      <w:r>
        <w:t>5. Monday 8:45 AM 15-Minute All-Hands Team Agenda (Generated by Prompt 10.5)</w:t>
      </w:r>
    </w:p>
    <w:p>
      <w:pPr>
        <w:pStyle w:val="ListBullet"/>
      </w:pPr>
      <w:r>
        <w:t>Minutes 00–03 (Celebrate Team Wins): Recognize the front-desk, estimating, and fulfillment crew for hitting 38s lead response, 5 new 5-star reviews, and 13.4-day DSO.</w:t>
      </w:r>
    </w:p>
    <w:p>
      <w:pPr>
        <w:pStyle w:val="ListBullet"/>
      </w:pPr>
      <w:r>
        <w:t>Minutes 03–08 (Scorecard Pulse): Review the 12 KPIs above; highlight how 23.5 hours of manual copy-pasting were eliminated this week.</w:t>
      </w:r>
    </w:p>
    <w:p>
      <w:pPr>
        <w:pStyle w:val="ListBullet"/>
      </w:pPr>
      <w:r>
        <w:t>Minutes 08–12 (One Process Fix of the Week): Walk through the updated mobile onboarding upload link (Prompt 5.4) and review two new Q&amp;A additions to Database 05.</w:t>
      </w:r>
    </w:p>
    <w:p>
      <w:pPr>
        <w:pStyle w:val="ListBullet"/>
      </w:pPr>
      <w:r>
        <w:t>Minutes 12–15 (Q&amp;A &amp; Commitments): Confirm departmental owners for the week and adjourn at 09:00 AM sharp.</w:t>
      </w:r>
    </w:p>
    <w:p>
      <w:pPr>
        <w:pStyle w:val="Heading2"/>
      </w:pPr>
      <w:r>
        <w:t>6. Departmental Implementation Playbook &amp; Worked Small Business Case Study (Doc 07)</w:t>
      </w:r>
    </w:p>
    <w:p>
      <w:pPr>
        <w:pStyle w:val="Heading3"/>
      </w:pPr>
      <w:r>
        <w:t>6.1 Step-by-Step 14-Day Departmental Rollout Sequence</w:t>
      </w:r>
    </w:p>
    <w:p>
      <w:r>
        <w:t>To ensure that Friday 3:00 PM Owner Executive Brief Template transitions from a written document into a living, daily habit across your 1-to-25 person organization without overwhelming your staff, execute the structured 14-day deployment protocol below:</w:t>
      </w:r>
    </w:p>
    <w:p>
      <w:pPr>
        <w:pStyle w:val="ListNumber"/>
      </w:pPr>
      <w:r>
        <w:t>Days 1–2 (Executive Baseline &amp; Truth-Table Alignment): The Operations Systems Lead and Business Owner review every table in this document alongside 06-NOTION-TEMPLATES/02-Automation-Workflows-and-Health-Registry.csv. Confirm that the named metric owner, backup operator, Slack approval channel (#amber-approvals and #red-alerts), and dollar authorization ceilings reflect your exact business model, pricing structure, and operating hours.</w:t>
      </w:r>
    </w:p>
    <w:p>
      <w:pPr>
        <w:pStyle w:val="ListNumber"/>
      </w:pPr>
      <w:r>
        <w:t>Days 3–5 (Pre-AI Deterministic Gate &amp; Webhook Configuration): Before enabling any language model prompt node inside Make.com, n8n, or Zapier, wire the deterministic code filters first:</w:t>
      </w:r>
    </w:p>
    <w:p>
      <w:pPr>
        <w:pStyle w:val="ListBullet"/>
      </w:pPr>
      <w:r>
        <w:t>Verify E.164 phone normalization and RFC-5322 email validation on all inbound webhooks.</w:t>
      </w:r>
    </w:p>
    <w:p>
      <w:pPr>
        <w:pStyle w:val="ListBullet"/>
      </w:pPr>
      <w:r>
        <w:t>Paste the Pre-AI Red-Zone Regex Filter into the initial router filter branch so safety emergencies, legal threats, billing disputes, or clinical/property hazards bypass automated replies and page the human manager immediately.</w:t>
      </w:r>
    </w:p>
    <w:p>
      <w:pPr>
        <w:pStyle w:val="ListBullet"/>
      </w:pPr>
      <w:r>
        <w:t>Connect your locked SKU Pricebook and Single-Source FAQ Knowledge Base (Database 05) so the language model never guesses a price, policy, or turnaround window.</w:t>
      </w:r>
    </w:p>
    <w:p>
      <w:pPr>
        <w:pStyle w:val="ListNumber"/>
      </w:pPr>
      <w:r>
        <w:t>Days 6–9 (10-Payload Shadow-Mode Verification): Run ten real historical customer inquiries, estimates, invoices, or operational events from the prior 30 days through the workflow in Shadow Mode (writing the structured JSON output to Notion Database 02 and #qa-shadow-log without transmitting external SMS or emails to customers). Audit every single output for:</w:t>
      </w:r>
    </w:p>
    <w:p>
      <w:pPr>
        <w:pStyle w:val="ListBullet"/>
      </w:pPr>
      <w:r>
        <w:t>100% valid JSON schema compliance at temperature: 0.0 to 0.1.</w:t>
      </w:r>
    </w:p>
    <w:p>
      <w:pPr>
        <w:pStyle w:val="ListBullet"/>
      </w:pPr>
      <w:r>
        <w:t>Zero ungrounded numbers, zero invented discounts, and zero raw PII/PCI exposure.</w:t>
      </w:r>
    </w:p>
    <w:p>
      <w:pPr>
        <w:pStyle w:val="ListBullet"/>
      </w:pPr>
      <w:r>
        <w:t>Sub-15-second human review ergonomics on all Amber-Gate Slack approval cards.</w:t>
      </w:r>
    </w:p>
    <w:p>
      <w:pPr>
        <w:pStyle w:val="ListNumber"/>
      </w:pPr>
      <w:r>
        <w:t>Days 10–12 (Team 15-Minute Micro-Training &amp; Live Kill-Switch Drill): Conduct a 15-minute live walkthrough with all front-desk, sales, fulfillment, support, and billing personnel using Deck 01 (01-Team-AI-Automation-Onboarding-and-SOP-Deck.pptx). Have each primary and backup owner physically execute a 60-Second Manual Kill-Switch Drill—pausing the workflow in Notion Database 02 and switching to the paired Emergency Operations Script (Scripts 01–12) in under one minute.</w:t>
      </w:r>
    </w:p>
    <w:p>
      <w:pPr>
        <w:pStyle w:val="ListNumber"/>
      </w:pPr>
      <w:r>
        <w:t>Days 13–14 (Production Cutover &amp; First Friday 3:00 PM Scorecard Review): Flip the Green-Gate branch to active 24/7 execution while keeping Amber-Gate exceptions routed to #amber-approvals. On Friday at 3:00 PM, evaluate the first full week of post-cutover telemetry inside 04-Weekly-Owner-KPI-Scorecard.csv (Module 6 of the Web Companion App).</w:t>
      </w:r>
    </w:p>
    <w:p>
      <w:pPr>
        <w:pStyle w:val="Heading3"/>
      </w:pPr>
      <w:r>
        <w:t>6.2 Worked Multi-Industry Verification Scenarios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0F172A"/>
          </w:tcPr>
          <w:p>
            <w:r>
              <w:rPr>
                <w:b/>
                <w:color w:val="FFFFFF"/>
                <w:sz w:val="19"/>
              </w:rPr>
              <w:t>Industry Vertical</w:t>
            </w:r>
          </w:p>
        </w:tc>
        <w:tc>
          <w:tcPr>
            <w:tcW w:type="dxa" w:w="2412"/>
            <w:shd w:val="clear" w:color="auto" w:fill="0F172A"/>
          </w:tcPr>
          <w:p>
            <w:r>
              <w:rPr>
                <w:b/>
                <w:color w:val="FFFFFF"/>
                <w:sz w:val="19"/>
              </w:rPr>
              <w:t>Real-World Operational Trigger</w:t>
            </w:r>
          </w:p>
        </w:tc>
        <w:tc>
          <w:tcPr>
            <w:tcW w:type="dxa" w:w="2412"/>
            <w:shd w:val="clear" w:color="auto" w:fill="0F172A"/>
          </w:tcPr>
          <w:p>
            <w:r>
              <w:rPr>
                <w:b/>
                <w:color w:val="FFFFFF"/>
                <w:sz w:val="19"/>
              </w:rPr>
              <w:t>Deterministic Rule &amp; T.R.A.V. Gate Applied</w:t>
            </w:r>
          </w:p>
        </w:tc>
        <w:tc>
          <w:tcPr>
            <w:tcW w:type="dxa" w:w="2412"/>
            <w:shd w:val="clear" w:color="auto" w:fill="0F172A"/>
          </w:tcPr>
          <w:p>
            <w:r>
              <w:rPr>
                <w:b/>
                <w:color w:val="FFFFFF"/>
                <w:sz w:val="19"/>
              </w:rPr>
              <w:t>Verified Measurable Outcome</w:t>
            </w:r>
          </w:p>
        </w:tc>
      </w:tr>
      <w:tr>
        <w:tc>
          <w:tcPr>
            <w:tcW w:type="dxa" w:w="2412"/>
            <w:shd w:val="clear" w:color="auto" w:fill="F8FAFC"/>
          </w:tcPr>
          <w:p>
            <w:r>
              <w:rPr>
                <w:sz w:val="19"/>
              </w:rPr>
              <w:t>Vertical 1: Medical, Dental &amp; PT Clinics (9 Staff, $1.18M Revenue)</w:t>
            </w:r>
          </w:p>
        </w:tc>
        <w:tc>
          <w:tcPr>
            <w:tcW w:type="dxa" w:w="2412"/>
            <w:shd w:val="clear" w:color="auto" w:fill="F8FAFC"/>
          </w:tcPr>
          <w:p>
            <w:r>
              <w:rPr>
                <w:sz w:val="19"/>
              </w:rPr>
              <w:t>Inbound patient web message at 8:45 PM asking about Invisalign insurance coverage and Thursday availability.</w:t>
            </w:r>
          </w:p>
        </w:tc>
        <w:tc>
          <w:tcPr>
            <w:tcW w:type="dxa" w:w="2412"/>
            <w:shd w:val="clear" w:color="auto" w:fill="F8FAFC"/>
          </w:tcPr>
          <w:p>
            <w:r>
              <w:rPr>
                <w:sz w:val="19"/>
              </w:rPr>
              <w:t>Pre-AI regex confirms zero acute clinical red flags; lookup verifies Delta Dental PPO in-network; Green Gate sends privacy-safe SMS + booking link in 34 seconds.</w:t>
            </w:r>
          </w:p>
        </w:tc>
        <w:tc>
          <w:tcPr>
            <w:tcW w:type="dxa" w:w="2412"/>
            <w:shd w:val="clear" w:color="auto" w:fill="F8FAFC"/>
          </w:tcPr>
          <w:p>
            <w:r>
              <w:rPr>
                <w:sz w:val="19"/>
              </w:rPr>
              <w:t>Booked $4,200 treatment consult overnight; front-desk saved 18 minutes of morning phone tag.</w:t>
            </w:r>
          </w:p>
        </w:tc>
      </w:tr>
      <w:tr>
        <w:tc>
          <w:tcPr>
            <w:tcW w:type="dxa" w:w="2412"/>
          </w:tcPr>
          <w:p>
            <w:r>
              <w:rPr>
                <w:sz w:val="19"/>
              </w:rPr>
              <w:t>Vertical 2: HVAC, Plumbing &amp; Home Services (14 Staff, $2.10M Revenue)</w:t>
            </w:r>
          </w:p>
        </w:tc>
        <w:tc>
          <w:tcPr>
            <w:tcW w:type="dxa" w:w="2412"/>
          </w:tcPr>
          <w:p>
            <w:r>
              <w:rPr>
                <w:sz w:val="19"/>
              </w:rPr>
              <w:t>Field estimator finishes a rooftop heat-pump walkthrough and records a 90-second voice note in the truck.</w:t>
            </w:r>
          </w:p>
        </w:tc>
        <w:tc>
          <w:tcPr>
            <w:tcW w:type="dxa" w:w="2412"/>
          </w:tcPr>
          <w:p>
            <w:r>
              <w:rPr>
                <w:sz w:val="19"/>
              </w:rPr>
              <w:t>Whisper transcribes voice memo; deterministic pricebook calculates Good ($6,400), Better ($8,250), and Best ($10,900); Amber Gate posts Slack card for 1-click estimator approval.</w:t>
            </w:r>
          </w:p>
        </w:tc>
        <w:tc>
          <w:tcPr>
            <w:tcW w:type="dxa" w:w="2412"/>
          </w:tcPr>
          <w:p>
            <w:r>
              <w:rPr>
                <w:sz w:val="19"/>
              </w:rPr>
              <w:t>3-Option PDF proposal delivered in 11 minutes (down from 72 hours); client signed Option B ($8,250) the same afternoon.</w:t>
            </w:r>
          </w:p>
        </w:tc>
      </w:tr>
      <w:tr>
        <w:tc>
          <w:tcPr>
            <w:tcW w:type="dxa" w:w="2412"/>
            <w:shd w:val="clear" w:color="auto" w:fill="F8FAFC"/>
          </w:tcPr>
          <w:p>
            <w:r>
              <w:rPr>
                <w:sz w:val="19"/>
              </w:rPr>
              <w:t>Vertical 3: E-Commerce &amp; Specialty Retail (8 Staff, $1.35M Revenue)</w:t>
            </w:r>
          </w:p>
        </w:tc>
        <w:tc>
          <w:tcPr>
            <w:tcW w:type="dxa" w:w="2412"/>
            <w:shd w:val="clear" w:color="auto" w:fill="F8FAFC"/>
          </w:tcPr>
          <w:p>
            <w:r>
              <w:rPr>
                <w:sz w:val="19"/>
              </w:rPr>
              <w:t>Customer emails support asking where package #ORD-88412 is and whether they can swap sizes.</w:t>
            </w:r>
          </w:p>
        </w:tc>
        <w:tc>
          <w:tcPr>
            <w:tcW w:type="dxa" w:w="2412"/>
            <w:shd w:val="clear" w:color="auto" w:fill="F8FAFC"/>
          </w:tcPr>
          <w:p>
            <w:r>
              <w:rPr>
                <w:sz w:val="19"/>
              </w:rPr>
              <w:t>Live Shopify + ShipStation API lookup confirms delivery scheduled tomorrow and 30-day exchange eligibility; Green Gate replies in 28 seconds with tracking + instant exchange portal link.</w:t>
            </w:r>
          </w:p>
        </w:tc>
        <w:tc>
          <w:tcPr>
            <w:tcW w:type="dxa" w:w="2412"/>
            <w:shd w:val="clear" w:color="auto" w:fill="F8FAFC"/>
          </w:tcPr>
          <w:p>
            <w:r>
              <w:rPr>
                <w:sz w:val="19"/>
              </w:rPr>
              <w:t>68.5% of routine Tier-1 tickets resolved unattended with 4.92 / 5.0 customer satisfaction.</w:t>
            </w:r>
          </w:p>
        </w:tc>
      </w:tr>
      <w:tr>
        <w:tc>
          <w:tcPr>
            <w:tcW w:type="dxa" w:w="2412"/>
          </w:tcPr>
          <w:p>
            <w:r>
              <w:rPr>
                <w:sz w:val="19"/>
              </w:rPr>
              <w:t>Vertical 4: B2B Agencies, CPAs &amp; Consultancies (13 Staff, $1.78M Revenue)</w:t>
            </w:r>
          </w:p>
        </w:tc>
        <w:tc>
          <w:tcPr>
            <w:tcW w:type="dxa" w:w="2412"/>
          </w:tcPr>
          <w:p>
            <w:r>
              <w:rPr>
                <w:sz w:val="19"/>
              </w:rPr>
              <w:t>Commercial client invoice #INV-2026-1094 ($3,850) reaches 7 days past due with zero open support disputes.</w:t>
            </w:r>
          </w:p>
        </w:tc>
        <w:tc>
          <w:tcPr>
            <w:tcW w:type="dxa" w:w="2412"/>
          </w:tcPr>
          <w:p>
            <w:r>
              <w:rPr>
                <w:sz w:val="19"/>
              </w:rPr>
              <w:t>Daily 08:30 AM AR poll verifies open_support_dispute == false; Green Gate dispatches polite Stage-3 reminder with 1-click ACH payment link.</w:t>
            </w:r>
          </w:p>
        </w:tc>
        <w:tc>
          <w:tcPr>
            <w:tcW w:type="dxa" w:w="2412"/>
          </w:tcPr>
          <w:p>
            <w:r>
              <w:rPr>
                <w:sz w:val="19"/>
              </w:rPr>
              <w:t>Client paid $3,850 via ACH within 2 hours; firm-wide average DSO dropped from 44 days to 13.4 days.</w:t>
            </w:r>
          </w:p>
        </w:tc>
      </w:tr>
    </w:tbl>
    <w:p/>
    <w:p>
      <w:pPr>
        <w:pStyle w:val="Heading3"/>
      </w:pPr>
      <w:r>
        <w:t>6.3 Quarterly Governance, Drift &amp; Compliance Audit Log</w:t>
      </w:r>
    </w:p>
    <w:p>
      <w:r>
        <w:t>Use the audit log table below during your Chapter 10 Quarterly Security &amp; Prompt-Drift Review (Prompt 10.4) to certify that this SOP and its paired automation workflows remain 100% compliant across all four quarters of the operating year:</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172A"/>
          </w:tcPr>
          <w:p>
            <w:r>
              <w:rPr>
                <w:b/>
                <w:color w:val="FFFFFF"/>
                <w:sz w:val="19"/>
              </w:rPr>
              <w:t>Quarter &amp; Audit Date</w:t>
            </w:r>
          </w:p>
        </w:tc>
        <w:tc>
          <w:tcPr>
            <w:tcW w:type="dxa" w:w="1608"/>
            <w:shd w:val="clear" w:color="auto" w:fill="0F172A"/>
          </w:tcPr>
          <w:p>
            <w:r>
              <w:rPr>
                <w:b/>
                <w:color w:val="FFFFFF"/>
                <w:sz w:val="19"/>
              </w:rPr>
              <w:t>Reviewer Name &amp; Role</w:t>
            </w:r>
          </w:p>
        </w:tc>
        <w:tc>
          <w:tcPr>
            <w:tcW w:type="dxa" w:w="1608"/>
            <w:shd w:val="clear" w:color="auto" w:fill="0F172A"/>
          </w:tcPr>
          <w:p>
            <w:r>
              <w:rPr>
                <w:b/>
                <w:color w:val="FFFFFF"/>
                <w:sz w:val="19"/>
              </w:rPr>
              <w:t>50-Sample JSON Drift Rate (Target: 0%)</w:t>
            </w:r>
          </w:p>
        </w:tc>
        <w:tc>
          <w:tcPr>
            <w:tcW w:type="dxa" w:w="1608"/>
            <w:shd w:val="clear" w:color="auto" w:fill="0F172A"/>
          </w:tcPr>
          <w:p>
            <w:r>
              <w:rPr>
                <w:b/>
                <w:color w:val="FFFFFF"/>
                <w:sz w:val="19"/>
              </w:rPr>
              <w:t>API Key &amp; Webhook Secret Rotated?</w:t>
            </w:r>
          </w:p>
        </w:tc>
        <w:tc>
          <w:tcPr>
            <w:tcW w:type="dxa" w:w="1608"/>
            <w:shd w:val="clear" w:color="auto" w:fill="0F172A"/>
          </w:tcPr>
          <w:p>
            <w:r>
              <w:rPr>
                <w:b/>
                <w:color w:val="FFFFFF"/>
                <w:sz w:val="19"/>
              </w:rPr>
              <w:t>60-Second Kill-Switch Drill Verified?</w:t>
            </w:r>
          </w:p>
        </w:tc>
        <w:tc>
          <w:tcPr>
            <w:tcW w:type="dxa" w:w="1608"/>
            <w:shd w:val="clear" w:color="auto" w:fill="0F172A"/>
          </w:tcPr>
          <w:p>
            <w:r>
              <w:rPr>
                <w:b/>
                <w:color w:val="FFFFFF"/>
                <w:sz w:val="19"/>
              </w:rPr>
              <w:t>Corrective Updates Logged in Notion DB 02</w:t>
            </w:r>
          </w:p>
        </w:tc>
      </w:tr>
      <w:tr>
        <w:tc>
          <w:tcPr>
            <w:tcW w:type="dxa" w:w="1608"/>
            <w:shd w:val="clear" w:color="auto" w:fill="F8FAFC"/>
          </w:tcPr>
          <w:p>
            <w:r>
              <w:rPr>
                <w:sz w:val="19"/>
              </w:rPr>
              <w:t>Q1 Audit (Day 30)</w:t>
            </w:r>
          </w:p>
        </w:tc>
        <w:tc>
          <w:tcPr>
            <w:tcW w:type="dxa" w:w="1608"/>
            <w:shd w:val="clear" w:color="auto" w:fill="F8FAFC"/>
          </w:tcPr>
          <w:p>
            <w:r>
              <w:rPr>
                <w:sz w:val="19"/>
              </w:rPr>
              <w:t>Operations Lead / Owner</w:t>
            </w:r>
          </w:p>
        </w:tc>
        <w:tc>
          <w:tcPr>
            <w:tcW w:type="dxa" w:w="1608"/>
            <w:shd w:val="clear" w:color="auto" w:fill="F8FAFC"/>
          </w:tcPr>
          <w:p>
            <w:r>
              <w:rPr>
                <w:sz w:val="19"/>
              </w:rPr>
              <w:t>0.0% (50/50 Valid)</w:t>
            </w:r>
          </w:p>
        </w:tc>
        <w:tc>
          <w:tcPr>
            <w:tcW w:type="dxa" w:w="1608"/>
            <w:shd w:val="clear" w:color="auto" w:fill="F8FAFC"/>
          </w:tcPr>
          <w:p>
            <w:r>
              <w:rPr>
                <w:sz w:val="19"/>
              </w:rPr>
              <w:t>[x] Verified</w:t>
            </w:r>
          </w:p>
        </w:tc>
        <w:tc>
          <w:tcPr>
            <w:tcW w:type="dxa" w:w="1608"/>
            <w:shd w:val="clear" w:color="auto" w:fill="F8FAFC"/>
          </w:tcPr>
          <w:p>
            <w:r>
              <w:rPr>
                <w:sz w:val="19"/>
              </w:rPr>
              <w:t>[x] Passed (&lt; 45s)</w:t>
            </w:r>
          </w:p>
        </w:tc>
        <w:tc>
          <w:tcPr>
            <w:tcW w:type="dxa" w:w="1608"/>
            <w:shd w:val="clear" w:color="auto" w:fill="F8FAFC"/>
          </w:tcPr>
          <w:p>
            <w:r>
              <w:rPr>
                <w:sz w:val="19"/>
              </w:rPr>
              <w:t>Added 4 new postal codes and 3 FAQ rows to Database 05.</w:t>
            </w:r>
          </w:p>
        </w:tc>
      </w:tr>
      <w:tr>
        <w:tc>
          <w:tcPr>
            <w:tcW w:type="dxa" w:w="1608"/>
          </w:tcPr>
          <w:p>
            <w:r>
              <w:rPr>
                <w:sz w:val="19"/>
              </w:rPr>
              <w:t>Q2 Audit (Day 90)</w:t>
            </w:r>
          </w:p>
        </w:tc>
        <w:tc>
          <w:tcPr>
            <w:tcW w:type="dxa" w:w="1608"/>
          </w:tcPr>
          <w:p>
            <w:r>
              <w:rPr>
                <w:sz w:val="19"/>
              </w:rPr>
              <w:t>Operations Lead / Owner</w:t>
            </w:r>
          </w:p>
        </w:tc>
        <w:tc>
          <w:tcPr>
            <w:tcW w:type="dxa" w:w="1608"/>
          </w:tcPr>
          <w:p>
            <w:r>
              <w:rPr>
                <w:sz w:val="19"/>
              </w:rPr>
              <w:t>0.0% (50/50 Valid)</w:t>
            </w:r>
          </w:p>
        </w:tc>
        <w:tc>
          <w:tcPr>
            <w:tcW w:type="dxa" w:w="1608"/>
          </w:tcPr>
          <w:p>
            <w:r>
              <w:rPr>
                <w:sz w:val="19"/>
              </w:rPr>
              <w:t>[x] Rotated</w:t>
            </w:r>
          </w:p>
        </w:tc>
        <w:tc>
          <w:tcPr>
            <w:tcW w:type="dxa" w:w="1608"/>
          </w:tcPr>
          <w:p>
            <w:r>
              <w:rPr>
                <w:sz w:val="19"/>
              </w:rPr>
              <w:t>[x] Passed (&lt; 40s)</w:t>
            </w:r>
          </w:p>
        </w:tc>
        <w:tc>
          <w:tcPr>
            <w:tcW w:type="dxa" w:w="1608"/>
          </w:tcPr>
          <w:p>
            <w:r>
              <w:rPr>
                <w:sz w:val="19"/>
              </w:rPr>
              <w:t>Adjusted Amber quote approval threshold from $1,250 to $1,500.</w:t>
            </w:r>
          </w:p>
        </w:tc>
      </w:tr>
      <w:tr>
        <w:tc>
          <w:tcPr>
            <w:tcW w:type="dxa" w:w="1608"/>
            <w:shd w:val="clear" w:color="auto" w:fill="F8FAFC"/>
          </w:tcPr>
          <w:p>
            <w:r>
              <w:rPr>
                <w:sz w:val="19"/>
              </w:rPr>
              <w:t>Q3 Audit (Day 180)</w:t>
            </w:r>
          </w:p>
        </w:tc>
        <w:tc>
          <w:tcPr>
            <w:tcW w:type="dxa" w:w="1608"/>
            <w:shd w:val="clear" w:color="auto" w:fill="F8FAFC"/>
          </w:tcPr>
          <w:p>
            <w:r>
              <w:rPr>
                <w:sz w:val="19"/>
              </w:rPr>
              <w:t>Operations Lead / Owner</w:t>
            </w:r>
          </w:p>
        </w:tc>
        <w:tc>
          <w:tcPr>
            <w:tcW w:type="dxa" w:w="1608"/>
            <w:shd w:val="clear" w:color="auto" w:fill="F8FAFC"/>
          </w:tcPr>
          <w:p>
            <w:r>
              <w:rPr>
                <w:sz w:val="19"/>
              </w:rPr>
              <w:t>0.0% (50/50 Valid)</w:t>
            </w:r>
          </w:p>
        </w:tc>
        <w:tc>
          <w:tcPr>
            <w:tcW w:type="dxa" w:w="1608"/>
            <w:shd w:val="clear" w:color="auto" w:fill="F8FAFC"/>
          </w:tcPr>
          <w:p>
            <w:r>
              <w:rPr>
                <w:sz w:val="19"/>
              </w:rPr>
              <w:t>[x] Rotated</w:t>
            </w:r>
          </w:p>
        </w:tc>
        <w:tc>
          <w:tcPr>
            <w:tcW w:type="dxa" w:w="1608"/>
            <w:shd w:val="clear" w:color="auto" w:fill="F8FAFC"/>
          </w:tcPr>
          <w:p>
            <w:r>
              <w:rPr>
                <w:sz w:val="19"/>
              </w:rPr>
              <w:t>[x] Passed (&lt; 38s)</w:t>
            </w:r>
          </w:p>
        </w:tc>
        <w:tc>
          <w:tcPr>
            <w:tcW w:type="dxa" w:w="1608"/>
            <w:shd w:val="clear" w:color="auto" w:fill="F8FAFC"/>
          </w:tcPr>
          <w:p>
            <w:r>
              <w:rPr>
                <w:sz w:val="19"/>
              </w:rPr>
              <w:t>Onboarded backup support coordinator to #amber-approvals.</w:t>
            </w:r>
          </w:p>
        </w:tc>
      </w:tr>
      <w:tr>
        <w:tc>
          <w:tcPr>
            <w:tcW w:type="dxa" w:w="1608"/>
          </w:tcPr>
          <w:p>
            <w:r>
              <w:rPr>
                <w:sz w:val="19"/>
              </w:rPr>
              <w:t>Q4 Audit (Day 270)</w:t>
            </w:r>
          </w:p>
        </w:tc>
        <w:tc>
          <w:tcPr>
            <w:tcW w:type="dxa" w:w="1608"/>
          </w:tcPr>
          <w:p>
            <w:r>
              <w:rPr>
                <w:sz w:val="19"/>
              </w:rPr>
              <w:t>Operations Lead / Owner</w:t>
            </w:r>
          </w:p>
        </w:tc>
        <w:tc>
          <w:tcPr>
            <w:tcW w:type="dxa" w:w="1608"/>
          </w:tcPr>
          <w:p>
            <w:r>
              <w:rPr>
                <w:sz w:val="19"/>
              </w:rPr>
              <w:t>0.0% (50/50 Valid)</w:t>
            </w:r>
          </w:p>
        </w:tc>
        <w:tc>
          <w:tcPr>
            <w:tcW w:type="dxa" w:w="1608"/>
          </w:tcPr>
          <w:p>
            <w:r>
              <w:rPr>
                <w:sz w:val="19"/>
              </w:rPr>
              <w:t>[x] Rotated</w:t>
            </w:r>
          </w:p>
        </w:tc>
        <w:tc>
          <w:tcPr>
            <w:tcW w:type="dxa" w:w="1608"/>
          </w:tcPr>
          <w:p>
            <w:r>
              <w:rPr>
                <w:sz w:val="19"/>
              </w:rPr>
              <w:t>[x] Passed (&lt; 35s)</w:t>
            </w:r>
          </w:p>
        </w:tc>
        <w:tc>
          <w:tcPr>
            <w:tcW w:type="dxa" w:w="1608"/>
          </w:tcPr>
          <w:p>
            <w:r>
              <w:rPr>
                <w:sz w:val="19"/>
              </w:rPr>
              <w:t>Locked annual tax &amp; encashment archive (Prompt 8.5).</w:t>
            </w:r>
          </w:p>
        </w:tc>
      </w:tr>
    </w:tbl>
    <w:p/>
    <w:p>
      <w:pPr>
        <w:pStyle w:val="Heading3"/>
      </w:pPr>
      <w:r>
        <w:t>6.4 Mandatory Operational Quality Checklist Before Filing</w:t>
      </w:r>
    </w:p>
    <w:p>
      <w:pPr>
        <w:pStyle w:val="ListBullet"/>
      </w:pPr>
      <w:r>
        <w:t>Rule 01 — Single Source of Truth: Always store the master copy of this document inside 12-EDITABLE-OFFICE-SUITE/Word-Docs/ and link its active version inside 06-NOTION-TEMPLATES/03-AI-Prompt-and-SOP-Vault-62.csv.</w:t>
      </w:r>
    </w:p>
    <w:p>
      <w:pPr>
        <w:pStyle w:val="ListBullet"/>
      </w:pPr>
      <w:r>
        <w:t>Rule 02 — Binary Definition of Done: No task governed by this SOP is marked complete until the required verification artifact (timestamped webhook log, signed proposal PDF, paid invoice receipt, or green Friday scorecard row) is recorded in the corresponding Notion database.</w:t>
      </w:r>
    </w:p>
    <w:p>
      <w:pPr>
        <w:pStyle w:val="ListBullet"/>
      </w:pPr>
      <w:r>
        <w:t>Rule 03 — Human Empathy First: Whenever a customer or team member expresses frustration, confusion, or an unusual edge-case requirement, human judgment and personal phone outreach immediately supersede automated sequences.</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2026 Enterprise Edition — Confidential Internal Operations Manual &amp; Editable SOP Suite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The Small Business AI Automation Operating System  |  Friday 3:00 PM Owner Executive Brief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5966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284C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F172A"/>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