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24BE8699"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p>
    <w:p w14:paraId="59489450" w14:textId="77777777" w:rsidR="00BA73C4" w:rsidRPr="00F43E00" w:rsidRDefault="00C77424">
      <w:pPr>
        <w:pStyle w:val="Heading"/>
        <w:rPr>
          <w:sz w:val="32"/>
          <w:szCs w:val="32"/>
        </w:rPr>
      </w:pPr>
      <w:r w:rsidRPr="00F43E00">
        <w:rPr>
          <w:sz w:val="32"/>
          <w:szCs w:val="32"/>
        </w:rP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8EBA60B"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Pr="00F43E00" w:rsidRDefault="00C77424">
      <w:pPr>
        <w:pStyle w:val="Heading"/>
        <w:rPr>
          <w:sz w:val="32"/>
          <w:szCs w:val="32"/>
        </w:rPr>
      </w:pPr>
      <w:r w:rsidRPr="00F43E00">
        <w:rPr>
          <w:sz w:val="32"/>
          <w:szCs w:val="32"/>
        </w:rP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8"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Pr="00F43E00" w:rsidRDefault="00C77424">
      <w:pPr>
        <w:pStyle w:val="Heading"/>
        <w:rPr>
          <w:rStyle w:val="Italic"/>
          <w:i w:val="0"/>
          <w:iCs w:val="0"/>
          <w:sz w:val="32"/>
          <w:szCs w:val="32"/>
        </w:rPr>
      </w:pPr>
      <w:r w:rsidRPr="00F43E00">
        <w:rPr>
          <w:rStyle w:val="Italic"/>
          <w:i w:val="0"/>
          <w:iCs w:val="0"/>
          <w:sz w:val="32"/>
          <w:szCs w:val="32"/>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9"/>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10"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1"/>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2"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Pr="00F43E00" w:rsidRDefault="00C77424" w:rsidP="000F7347">
      <w:pPr>
        <w:pStyle w:val="Heading"/>
        <w:ind w:right="-52"/>
        <w:rPr>
          <w:rStyle w:val="Italic"/>
          <w:i w:val="0"/>
          <w:iCs w:val="0"/>
          <w:sz w:val="32"/>
          <w:szCs w:val="32"/>
        </w:rPr>
      </w:pPr>
      <w:r w:rsidRPr="00F43E00">
        <w:rPr>
          <w:rStyle w:val="Italic"/>
          <w:i w:val="0"/>
          <w:iCs w:val="0"/>
          <w:sz w:val="32"/>
          <w:szCs w:val="32"/>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0F7347">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auto"/>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77777777" w:rsidR="000F7347" w:rsidRDefault="00C77424">
      <w:pPr>
        <w:pStyle w:val="Body"/>
      </w:pPr>
      <w:r>
        <w:t>It is clear from the following histogram that maximum number of students had a salary between 2,00,000 to 3,00,000. The other peak at the start is due to the unplaced students for which we have assigned the salary as 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0EE68F9F" w14:textId="2EF2CEA7" w:rsidR="00BA73C4" w:rsidRDefault="000F7347">
      <w:pPr>
        <w:pStyle w:val="Body"/>
      </w:pPr>
      <w:r>
        <w:rPr>
          <w:noProof/>
        </w:rPr>
        <w:lastRenderedPageBreak/>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3"/>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4"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70F00350" w:rsidR="000F7347" w:rsidRDefault="000F7347" w:rsidP="000F7347">
      <w:pPr>
        <w:pStyle w:val="Body"/>
        <w:ind w:right="-52"/>
      </w:pPr>
      <w:r>
        <w:rPr>
          <w:noProof/>
          <w14:textOutline w14:w="0" w14:cap="rnd" w14:cmpd="sng" w14:algn="ctr">
            <w14:noFill/>
            <w14:prstDash w14:val="solid"/>
            <w14:bevel/>
          </w14:textOutline>
        </w:rPr>
        <w:lastRenderedPageBreak/>
        <w:drawing>
          <wp:inline distT="0" distB="0" distL="0" distR="0" wp14:anchorId="596FDA9A" wp14:editId="044A2079">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6">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Pr="00F43E00" w:rsidRDefault="00C77424">
      <w:pPr>
        <w:pStyle w:val="Heading"/>
        <w:rPr>
          <w:sz w:val="32"/>
          <w:szCs w:val="32"/>
        </w:rPr>
      </w:pPr>
      <w:r w:rsidRPr="00F43E00">
        <w:rPr>
          <w:sz w:val="32"/>
          <w:szCs w:val="32"/>
        </w:rPr>
        <w:t xml:space="preserve">Data </w:t>
      </w:r>
      <w:r w:rsidR="000F7347" w:rsidRPr="00F43E00">
        <w:rPr>
          <w:sz w:val="32"/>
          <w:szCs w:val="32"/>
        </w:rPr>
        <w:t>Visualization</w:t>
      </w:r>
      <w:r w:rsidRPr="00F43E00">
        <w:rPr>
          <w:sz w:val="32"/>
          <w:szCs w:val="32"/>
        </w:rP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F43E00" w:rsidRDefault="00C77424">
      <w:pPr>
        <w:pStyle w:val="Body"/>
        <w:rPr>
          <w:sz w:val="28"/>
          <w:szCs w:val="28"/>
        </w:rPr>
      </w:pPr>
      <w:r w:rsidRPr="00F43E00">
        <w:rPr>
          <w:b/>
          <w:bCs/>
          <w:sz w:val="28"/>
          <w:szCs w:val="28"/>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31E13D7B" w:rsidR="00BA73C4" w:rsidRDefault="00CC70A9">
            <w:pPr>
              <w:pStyle w:val="TableStyle1"/>
              <w:jc w:val="center"/>
            </w:pPr>
            <w:r>
              <w:t>mean salary</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11662F7A" w:rsidR="00BA73C4" w:rsidRDefault="00CC70A9">
            <w:pPr>
              <w:pStyle w:val="TableStyle1"/>
              <w:jc w:val="center"/>
            </w:pPr>
            <w:r>
              <w:t>percentage placed</w:t>
            </w:r>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lastRenderedPageBreak/>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11DFB8E7" w14:textId="35B70522" w:rsidR="000F7347"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7E0667E3" w14:textId="77777777" w:rsidR="00752FA3" w:rsidRDefault="00752FA3">
      <w:pPr>
        <w:pStyle w:val="Body"/>
        <w:jc w:val="left"/>
      </w:pPr>
    </w:p>
    <w:p w14:paraId="7AC83198" w14:textId="77777777" w:rsidR="00752FA3" w:rsidRDefault="00752FA3">
      <w:pPr>
        <w:pStyle w:val="Body"/>
        <w:jc w:val="left"/>
      </w:pPr>
    </w:p>
    <w:p w14:paraId="06D6FDDF" w14:textId="77777777" w:rsidR="00752FA3" w:rsidRDefault="00752FA3">
      <w:pPr>
        <w:pStyle w:val="Body"/>
        <w:jc w:val="left"/>
      </w:pPr>
    </w:p>
    <w:p w14:paraId="2C51EA73" w14:textId="77777777" w:rsidR="00752FA3" w:rsidRDefault="00752FA3">
      <w:pPr>
        <w:pStyle w:val="Body"/>
        <w:jc w:val="left"/>
      </w:pPr>
    </w:p>
    <w:p w14:paraId="43E797C0" w14:textId="77777777" w:rsidR="00752FA3" w:rsidRDefault="00752FA3">
      <w:pPr>
        <w:pStyle w:val="Body"/>
        <w:jc w:val="left"/>
      </w:pPr>
    </w:p>
    <w:p w14:paraId="45EBD672" w14:textId="69B6ADCA" w:rsidR="00BA73C4" w:rsidRPr="00F43E00" w:rsidRDefault="00C77424">
      <w:pPr>
        <w:pStyle w:val="Body"/>
        <w:jc w:val="left"/>
        <w:rPr>
          <w:b/>
          <w:bCs/>
          <w:sz w:val="28"/>
          <w:szCs w:val="28"/>
        </w:rPr>
      </w:pPr>
      <w:r w:rsidRPr="00F43E00">
        <w:rPr>
          <w:b/>
          <w:bCs/>
          <w:sz w:val="28"/>
          <w:szCs w:val="28"/>
        </w:rPr>
        <w:lastRenderedPageBreak/>
        <w:t>Relation between ssc_</w:t>
      </w:r>
      <w:r w:rsidR="00230623" w:rsidRPr="00F43E00">
        <w:rPr>
          <w:b/>
          <w:bCs/>
          <w:sz w:val="28"/>
          <w:szCs w:val="28"/>
        </w:rPr>
        <w:t>p, hsc</w:t>
      </w:r>
      <w:r w:rsidRPr="00F43E00">
        <w:rPr>
          <w:b/>
          <w:bCs/>
          <w:sz w:val="28"/>
          <w:szCs w:val="28"/>
        </w:rPr>
        <w:t>_p and salary</w:t>
      </w:r>
    </w:p>
    <w:p w14:paraId="1B77812B" w14:textId="50E8E044" w:rsidR="00752FA3" w:rsidRDefault="00654EBA" w:rsidP="00654EBA">
      <w:pPr>
        <w:pStyle w:val="Body"/>
        <w:ind w:right="-52"/>
      </w:pPr>
      <w:r>
        <w:rPr>
          <w:noProof/>
          <w14:textOutline w14:w="0" w14:cap="rnd" w14:cmpd="sng" w14:algn="ctr">
            <w14:noFill/>
            <w14:prstDash w14:val="solid"/>
            <w14:bevel/>
          </w14:textOutline>
        </w:rPr>
        <w:drawing>
          <wp:inline distT="0" distB="0" distL="0" distR="0" wp14:anchorId="10F07F30" wp14:editId="4F7F4261">
            <wp:extent cx="5727643" cy="8309987"/>
            <wp:effectExtent l="0" t="0" r="635" b="0"/>
            <wp:docPr id="328861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818"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3680" cy="8318745"/>
                    </a:xfrm>
                    <a:prstGeom prst="rect">
                      <a:avLst/>
                    </a:prstGeom>
                  </pic:spPr>
                </pic:pic>
              </a:graphicData>
            </a:graphic>
          </wp:inline>
        </w:drawing>
      </w:r>
    </w:p>
    <w:p w14:paraId="3979930D" w14:textId="2874A77D" w:rsidR="00B92797" w:rsidRPr="00B92797" w:rsidRDefault="00B92797" w:rsidP="00B92797">
      <w:pPr>
        <w:pStyle w:val="Body"/>
      </w:pPr>
      <w:r w:rsidRPr="00B92797">
        <w:lastRenderedPageBreak/>
        <w:t>Stacked bar graphs reflect a positive trend between test/academic and placement performance. For all the five measures—SSC% (Secondary School Certificate), HSC% (Higher Secondary Certificate), Degree%, E-test%, and MBA%—students who obtain higher marks are far more likely to get placed. The trend is similar, with lower score ranges (30–50%) having a larger number of unplaced students, and upper score ranges (70–100%) with placed candidates being in majority. Companies are screening on academic performance as a parameter, seeking students with a good academic background. Students with good academic performance consistently at different levels of studies may also have skills such as discipline, good study habits, and command over the subject, and thus be more employable.</w:t>
      </w:r>
    </w:p>
    <w:p w14:paraId="2CE359BC" w14:textId="1E4A2846" w:rsidR="00B92797" w:rsidRPr="00B92797" w:rsidRDefault="00B92797" w:rsidP="00B92797">
      <w:pPr>
        <w:pStyle w:val="Body"/>
      </w:pPr>
      <w:r w:rsidRPr="00B92797">
        <w:t>While the trend is uniform for all the parameters, that of growth in the percentages of placements is marginally different. Some of the parameters may be directly influencing placement opportunities in a different way than others, and that may imply that recruiters are assigning more importance to some academic phases (such as degree performance) compared to others. But let's not forget, correlation is not causation. Communication skills, internships, and co-curricular activities may be contributing significantly to placements too.</w:t>
      </w:r>
    </w:p>
    <w:p w14:paraId="4471B593" w14:textId="063488E7" w:rsidR="00B92797" w:rsidRPr="00B92797" w:rsidRDefault="000B70D2" w:rsidP="00B92797">
      <w:pPr>
        <w:pStyle w:val="Body"/>
      </w:pPr>
      <w:r w:rsidRPr="00B92797">
        <w:t>Despite</w:t>
      </w:r>
      <w:r w:rsidR="00B92797" w:rsidRPr="00B92797">
        <w:t xml:space="preserve"> these subtleties, the implication becomes clear: higher grades have a direct correlation with better placement. Another incentive to keep high grades throughout one's academic life </w:t>
      </w:r>
      <w:r w:rsidRPr="00B92797">
        <w:t>to</w:t>
      </w:r>
      <w:r w:rsidR="00B92797" w:rsidRPr="00B92797">
        <w:t xml:space="preserve"> gain the rewards of one's professional prowess.</w:t>
      </w:r>
    </w:p>
    <w:p w14:paraId="742EE065" w14:textId="5414FE6E" w:rsidR="00E7178A" w:rsidRPr="00F43E00" w:rsidRDefault="00FD65C3" w:rsidP="0048331F">
      <w:pPr>
        <w:pStyle w:val="Body"/>
        <w:rPr>
          <w:b/>
          <w:bCs/>
          <w:sz w:val="28"/>
          <w:szCs w:val="28"/>
        </w:rPr>
      </w:pPr>
      <w:r w:rsidRPr="00F43E00">
        <w:rPr>
          <w:b/>
          <w:bCs/>
          <w:sz w:val="28"/>
          <w:szCs w:val="28"/>
        </w:rPr>
        <w:t>Undergr</w:t>
      </w:r>
      <w:r w:rsidR="002A3274" w:rsidRPr="00F43E00">
        <w:rPr>
          <w:b/>
          <w:bCs/>
          <w:sz w:val="28"/>
          <w:szCs w:val="28"/>
        </w:rPr>
        <w:t>a</w:t>
      </w:r>
      <w:r w:rsidRPr="00F43E00">
        <w:rPr>
          <w:b/>
          <w:bCs/>
          <w:sz w:val="28"/>
          <w:szCs w:val="28"/>
        </w:rPr>
        <w:t>duate Degree Relation with Salary</w:t>
      </w:r>
    </w:p>
    <w:tbl>
      <w:tblPr>
        <w:tblW w:w="87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376"/>
        <w:gridCol w:w="4378"/>
      </w:tblGrid>
      <w:tr w:rsidR="00FD65C3" w14:paraId="7BF5FFCC" w14:textId="77777777" w:rsidTr="00FD65C3">
        <w:trPr>
          <w:trHeight w:val="167"/>
          <w:tblHeader/>
        </w:trPr>
        <w:tc>
          <w:tcPr>
            <w:tcW w:w="43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5743BF4A" w14:textId="43EFECF5" w:rsidR="00FD65C3" w:rsidRDefault="00FD65C3" w:rsidP="00125A10">
            <w:pPr>
              <w:pStyle w:val="TableStyle1"/>
              <w:jc w:val="center"/>
            </w:pPr>
            <w:r>
              <w:t>degree_t</w:t>
            </w:r>
          </w:p>
        </w:tc>
        <w:tc>
          <w:tcPr>
            <w:tcW w:w="4378"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294605AA" w14:textId="152B7B78" w:rsidR="00FD65C3" w:rsidRDefault="00FD65C3" w:rsidP="00125A10">
            <w:pPr>
              <w:pStyle w:val="TableStyle1"/>
              <w:jc w:val="center"/>
            </w:pPr>
            <w:r>
              <w:t>mean salary</w:t>
            </w:r>
          </w:p>
        </w:tc>
      </w:tr>
      <w:tr w:rsidR="00FD65C3" w14:paraId="59B8F9B1" w14:textId="77777777" w:rsidTr="00CD70DC">
        <w:tblPrEx>
          <w:shd w:val="clear" w:color="auto" w:fill="auto"/>
        </w:tblPrEx>
        <w:trPr>
          <w:trHeight w:val="84"/>
        </w:trPr>
        <w:tc>
          <w:tcPr>
            <w:tcW w:w="437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631EAF" w14:textId="5C9076FD" w:rsidR="00FD65C3" w:rsidRPr="00FD65C3" w:rsidRDefault="00FD65C3" w:rsidP="00FD65C3">
            <w:pPr>
              <w:pStyle w:val="TableStyle2"/>
              <w:jc w:val="center"/>
            </w:pPr>
            <w:r w:rsidRPr="00FD65C3">
              <w:rPr>
                <w:rFonts w:ascii="Segoe UI" w:hAnsi="Segoe UI" w:cs="Segoe UI"/>
              </w:rPr>
              <w:t>Comm&amp;Mgmt</w:t>
            </w:r>
          </w:p>
        </w:tc>
        <w:tc>
          <w:tcPr>
            <w:tcW w:w="4378"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7F392D1" w14:textId="021AF2EB" w:rsidR="00FD65C3" w:rsidRDefault="00FD65C3" w:rsidP="00CC70A9">
            <w:pPr>
              <w:pStyle w:val="TableStyle2"/>
              <w:jc w:val="center"/>
            </w:pPr>
            <w:r w:rsidRPr="00FD65C3">
              <w:rPr>
                <w:rFonts w:ascii="Segoe UI" w:hAnsi="Segoe UI" w:cs="Segoe UI"/>
              </w:rPr>
              <w:t>1</w:t>
            </w:r>
            <w:r w:rsidR="00CC70A9">
              <w:rPr>
                <w:rFonts w:ascii="Segoe UI" w:hAnsi="Segoe UI" w:cs="Segoe UI"/>
              </w:rPr>
              <w:t>,</w:t>
            </w:r>
            <w:r w:rsidRPr="00FD65C3">
              <w:rPr>
                <w:rFonts w:ascii="Segoe UI" w:hAnsi="Segoe UI" w:cs="Segoe UI"/>
              </w:rPr>
              <w:t>90</w:t>
            </w:r>
            <w:r w:rsidR="00CC70A9">
              <w:rPr>
                <w:rFonts w:ascii="Segoe UI" w:hAnsi="Segoe UI" w:cs="Segoe UI"/>
              </w:rPr>
              <w:t>,</w:t>
            </w:r>
            <w:r w:rsidRPr="00FD65C3">
              <w:rPr>
                <w:rFonts w:ascii="Segoe UI" w:hAnsi="Segoe UI" w:cs="Segoe UI"/>
              </w:rPr>
              <w:t>833</w:t>
            </w:r>
          </w:p>
        </w:tc>
      </w:tr>
      <w:tr w:rsidR="00FD65C3" w14:paraId="65E3631A"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4FD152" w14:textId="41267B0F" w:rsidR="00FD65C3" w:rsidRPr="00FD65C3" w:rsidRDefault="00FD65C3" w:rsidP="00FD65C3">
            <w:pPr>
              <w:pStyle w:val="TableStyle2"/>
              <w:jc w:val="center"/>
            </w:pPr>
            <w:r w:rsidRPr="00FD65C3">
              <w:rPr>
                <w:rFonts w:ascii="Segoe UI" w:hAnsi="Segoe UI" w:cs="Segoe UI"/>
              </w:rPr>
              <w:t>Others</w:t>
            </w:r>
          </w:p>
        </w:tc>
        <w:tc>
          <w:tcPr>
            <w:tcW w:w="4378"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2B88AF7" w14:textId="51334D40" w:rsidR="00FD65C3" w:rsidRDefault="00FD65C3" w:rsidP="00FD65C3">
            <w:pPr>
              <w:pStyle w:val="TableStyle2"/>
              <w:jc w:val="center"/>
            </w:pPr>
            <w:r>
              <w:rPr>
                <w:rFonts w:ascii="Segoe UI" w:hAnsi="Segoe UI" w:cs="Segoe UI"/>
              </w:rPr>
              <w:t>1</w:t>
            </w:r>
            <w:r w:rsidR="00CC70A9">
              <w:rPr>
                <w:rFonts w:ascii="Segoe UI" w:hAnsi="Segoe UI" w:cs="Segoe UI"/>
              </w:rPr>
              <w:t>,</w:t>
            </w:r>
            <w:r>
              <w:rPr>
                <w:rFonts w:ascii="Segoe UI" w:hAnsi="Segoe UI" w:cs="Segoe UI"/>
              </w:rPr>
              <w:t>27</w:t>
            </w:r>
            <w:r w:rsidR="00CC70A9">
              <w:rPr>
                <w:rFonts w:ascii="Segoe UI" w:hAnsi="Segoe UI" w:cs="Segoe UI"/>
              </w:rPr>
              <w:t>,</w:t>
            </w:r>
            <w:r>
              <w:rPr>
                <w:rFonts w:ascii="Segoe UI" w:hAnsi="Segoe UI" w:cs="Segoe UI"/>
              </w:rPr>
              <w:t>454</w:t>
            </w:r>
          </w:p>
        </w:tc>
      </w:tr>
      <w:tr w:rsidR="00FD65C3" w14:paraId="15CE5D48"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F5DD0F5" w14:textId="56C8598B" w:rsidR="00FD65C3" w:rsidRPr="00FD65C3" w:rsidRDefault="00FD65C3" w:rsidP="00FD65C3">
            <w:pPr>
              <w:pStyle w:val="TableStyle2"/>
              <w:jc w:val="center"/>
            </w:pPr>
            <w:r w:rsidRPr="00FD65C3">
              <w:rPr>
                <w:rFonts w:ascii="Segoe UI" w:hAnsi="Segoe UI" w:cs="Segoe UI"/>
              </w:rPr>
              <w:t>Sci&amp;Tech</w:t>
            </w:r>
          </w:p>
        </w:tc>
        <w:tc>
          <w:tcPr>
            <w:tcW w:w="4378"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9B55B36" w14:textId="05C1495F" w:rsidR="00FD65C3" w:rsidRDefault="00FD65C3" w:rsidP="00FD65C3">
            <w:pPr>
              <w:pStyle w:val="TableStyle2"/>
              <w:jc w:val="center"/>
            </w:pPr>
            <w:r>
              <w:rPr>
                <w:rFonts w:ascii="Segoe UI" w:hAnsi="Segoe UI" w:cs="Segoe UI"/>
              </w:rPr>
              <w:t>2</w:t>
            </w:r>
            <w:r w:rsidR="00CC70A9">
              <w:rPr>
                <w:rFonts w:ascii="Segoe UI" w:hAnsi="Segoe UI" w:cs="Segoe UI"/>
              </w:rPr>
              <w:t>,</w:t>
            </w:r>
            <w:r>
              <w:rPr>
                <w:rFonts w:ascii="Segoe UI" w:hAnsi="Segoe UI" w:cs="Segoe UI"/>
              </w:rPr>
              <w:t>18</w:t>
            </w:r>
            <w:r w:rsidR="00CC70A9">
              <w:rPr>
                <w:rFonts w:ascii="Segoe UI" w:hAnsi="Segoe UI" w:cs="Segoe UI"/>
              </w:rPr>
              <w:t>,</w:t>
            </w:r>
            <w:r>
              <w:rPr>
                <w:rFonts w:ascii="Segoe UI" w:hAnsi="Segoe UI" w:cs="Segoe UI"/>
              </w:rPr>
              <w:t>627</w:t>
            </w:r>
          </w:p>
        </w:tc>
      </w:tr>
    </w:tbl>
    <w:p w14:paraId="677D93C7" w14:textId="77777777" w:rsidR="00FD65C3" w:rsidRDefault="00FD65C3" w:rsidP="0048331F">
      <w:pPr>
        <w:pStyle w:val="Body"/>
        <w:rPr>
          <w:b/>
          <w:bCs/>
        </w:rPr>
      </w:pPr>
    </w:p>
    <w:p w14:paraId="240670A8" w14:textId="2128562F" w:rsidR="002A3274" w:rsidRDefault="002A3274" w:rsidP="002A3274">
      <w:pPr>
        <w:pStyle w:val="Body"/>
        <w:numPr>
          <w:ilvl w:val="0"/>
          <w:numId w:val="8"/>
        </w:numPr>
      </w:pPr>
      <w:r>
        <w:t xml:space="preserve">Students with </w:t>
      </w:r>
      <w:r w:rsidRPr="00F43E00">
        <w:rPr>
          <w:b/>
          <w:bCs/>
        </w:rPr>
        <w:t>Science and Tech</w:t>
      </w:r>
      <w:r>
        <w:t xml:space="preserve"> background have higher salaries because they have large skill set. They have pretty good knowledge about technical stuff and their specialization in marketing and finance/HR</w:t>
      </w:r>
      <w:r w:rsidR="00654EBA">
        <w:t xml:space="preserve"> gives them a better edge</w:t>
      </w:r>
      <w:r>
        <w:t xml:space="preserve">. This makes them an ideal candidate for companies. </w:t>
      </w:r>
    </w:p>
    <w:p w14:paraId="596F2C07" w14:textId="7B3B10F5" w:rsidR="00CC70A9" w:rsidRPr="002A3274" w:rsidRDefault="002A3274" w:rsidP="002A3274">
      <w:pPr>
        <w:pStyle w:val="Body"/>
        <w:numPr>
          <w:ilvl w:val="0"/>
          <w:numId w:val="8"/>
        </w:numPr>
      </w:pPr>
      <w:r w:rsidRPr="002A3274">
        <w:rPr>
          <w:rFonts w:asciiTheme="minorHAnsi" w:eastAsia="Times New Roman" w:hAnsiTheme="minorHAnsi"/>
          <w:bdr w:val="none" w:sz="0" w:space="0" w:color="auto"/>
          <w:lang w:val="en-IN"/>
        </w:rPr>
        <w:lastRenderedPageBreak/>
        <w:t xml:space="preserve">Those from a </w:t>
      </w:r>
      <w:r w:rsidRPr="00F43E00">
        <w:rPr>
          <w:rFonts w:asciiTheme="minorHAnsi" w:eastAsia="Times New Roman" w:hAnsiTheme="minorHAnsi"/>
          <w:b/>
          <w:bCs/>
          <w:bdr w:val="none" w:sz="0" w:space="0" w:color="auto"/>
          <w:lang w:val="en-IN"/>
        </w:rPr>
        <w:t>Commerce &amp; Management</w:t>
      </w:r>
      <w:r w:rsidRPr="002A3274">
        <w:rPr>
          <w:rFonts w:asciiTheme="minorHAnsi" w:eastAsia="Times New Roman" w:hAnsiTheme="minorHAnsi"/>
          <w:bdr w:val="none" w:sz="0" w:space="0" w:color="auto"/>
          <w:lang w:val="en-IN"/>
        </w:rPr>
        <w:t xml:space="preserve"> background already have business exposure, making their master's degree less of a specialization leap. They likely get placed in general business roles (marketing, sales, or finance) with moderate starting salaries. These roles may not require advanced analytical or technical skills, leading to slightly lower pay than Sci&amp;Tech graduates.</w:t>
      </w:r>
    </w:p>
    <w:p w14:paraId="00A08094" w14:textId="4CBFAF9E" w:rsidR="002A3274" w:rsidRPr="002A3274" w:rsidRDefault="00F43E00" w:rsidP="00F43E00">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57" w:hanging="357"/>
        <w:jc w:val="both"/>
        <w:rPr>
          <w:rFonts w:asciiTheme="minorHAnsi" w:eastAsia="Times New Roman" w:hAnsiTheme="minorHAnsi"/>
          <w:bdr w:val="none" w:sz="0" w:space="0" w:color="auto"/>
          <w:lang w:val="en-IN" w:eastAsia="en-GB"/>
        </w:rPr>
      </w:pPr>
      <w:r w:rsidRPr="00F43E00">
        <w:rPr>
          <w:rFonts w:asciiTheme="minorHAnsi" w:eastAsia="Times New Roman" w:hAnsiTheme="minorHAnsi"/>
          <w:bdr w:val="none" w:sz="0" w:space="0" w:color="auto"/>
          <w:lang w:eastAsia="en-GB"/>
        </w:rPr>
        <w:t xml:space="preserve">The </w:t>
      </w:r>
      <w:r w:rsidRPr="00F43E00">
        <w:rPr>
          <w:rFonts w:asciiTheme="minorHAnsi" w:eastAsia="Times New Roman" w:hAnsiTheme="minorHAnsi"/>
          <w:b/>
          <w:bCs/>
          <w:bdr w:val="none" w:sz="0" w:space="0" w:color="auto"/>
          <w:lang w:eastAsia="en-GB"/>
        </w:rPr>
        <w:t>"Others"</w:t>
      </w:r>
      <w:r w:rsidRPr="00F43E00">
        <w:rPr>
          <w:rFonts w:asciiTheme="minorHAnsi" w:eastAsia="Times New Roman" w:hAnsiTheme="minorHAnsi"/>
          <w:bdr w:val="none" w:sz="0" w:space="0" w:color="auto"/>
          <w:lang w:eastAsia="en-GB"/>
        </w:rPr>
        <w:t xml:space="preserve"> category likely includes students from arts, humanities, or other general disciplines, who may not have had strong exposure to either business or technical skills. Even with a master's in business, they might struggle to compete with Science &amp; Tech or Commerce &amp; Management graduates in the job market. They may get placed in supportive, non-specialized roles with relatively lower pay.</w:t>
      </w:r>
    </w:p>
    <w:sectPr w:rsidR="002A3274" w:rsidRPr="002A3274" w:rsidSect="000F7347">
      <w:footerReference w:type="default" r:id="rId19"/>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D905E" w14:textId="77777777" w:rsidR="00B10B14" w:rsidRDefault="00B10B14">
      <w:r>
        <w:separator/>
      </w:r>
    </w:p>
  </w:endnote>
  <w:endnote w:type="continuationSeparator" w:id="0">
    <w:p w14:paraId="32D930B0" w14:textId="77777777" w:rsidR="00B10B14" w:rsidRDefault="00B10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BCD91" w14:textId="77777777" w:rsidR="00B10B14" w:rsidRDefault="00B10B14">
      <w:r>
        <w:separator/>
      </w:r>
    </w:p>
  </w:footnote>
  <w:footnote w:type="continuationSeparator" w:id="0">
    <w:p w14:paraId="32576540" w14:textId="77777777" w:rsidR="00B10B14" w:rsidRDefault="00B10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16F616F5"/>
    <w:multiLevelType w:val="hybridMultilevel"/>
    <w:tmpl w:val="DAAA2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376"/>
    <w:multiLevelType w:val="hybridMultilevel"/>
    <w:tmpl w:val="CC545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011449"/>
    <w:multiLevelType w:val="multilevel"/>
    <w:tmpl w:val="B9D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8" w15:restartNumberingAfterBreak="0">
    <w:nsid w:val="5D177D6A"/>
    <w:multiLevelType w:val="hybridMultilevel"/>
    <w:tmpl w:val="541295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0546718">
    <w:abstractNumId w:val="7"/>
  </w:num>
  <w:num w:numId="2" w16cid:durableId="180511408">
    <w:abstractNumId w:val="2"/>
  </w:num>
  <w:num w:numId="3" w16cid:durableId="79835249">
    <w:abstractNumId w:val="1"/>
  </w:num>
  <w:num w:numId="4" w16cid:durableId="1714378628">
    <w:abstractNumId w:val="6"/>
  </w:num>
  <w:num w:numId="5" w16cid:durableId="1908954384">
    <w:abstractNumId w:val="0"/>
  </w:num>
  <w:num w:numId="6" w16cid:durableId="1292859750">
    <w:abstractNumId w:val="3"/>
  </w:num>
  <w:num w:numId="7" w16cid:durableId="1659571035">
    <w:abstractNumId w:val="8"/>
  </w:num>
  <w:num w:numId="8" w16cid:durableId="1809517198">
    <w:abstractNumId w:val="4"/>
  </w:num>
  <w:num w:numId="9" w16cid:durableId="4471658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B70D2"/>
    <w:rsid w:val="000E7413"/>
    <w:rsid w:val="000F7347"/>
    <w:rsid w:val="00230623"/>
    <w:rsid w:val="00272621"/>
    <w:rsid w:val="002911B5"/>
    <w:rsid w:val="002A3274"/>
    <w:rsid w:val="002F607B"/>
    <w:rsid w:val="003C7939"/>
    <w:rsid w:val="004409BA"/>
    <w:rsid w:val="0048331F"/>
    <w:rsid w:val="004A7624"/>
    <w:rsid w:val="00654EBA"/>
    <w:rsid w:val="006A314C"/>
    <w:rsid w:val="00752FA3"/>
    <w:rsid w:val="00883958"/>
    <w:rsid w:val="009019A1"/>
    <w:rsid w:val="00B00CAC"/>
    <w:rsid w:val="00B10B14"/>
    <w:rsid w:val="00B25BCD"/>
    <w:rsid w:val="00B92797"/>
    <w:rsid w:val="00BA73C4"/>
    <w:rsid w:val="00C77424"/>
    <w:rsid w:val="00CC70A9"/>
    <w:rsid w:val="00E7178A"/>
    <w:rsid w:val="00F43E00"/>
    <w:rsid w:val="00F62E84"/>
    <w:rsid w:val="00FD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 w:type="table" w:styleId="TableGrid">
    <w:name w:val="Table Grid"/>
    <w:basedOn w:val="TableNormal"/>
    <w:uiPriority w:val="39"/>
    <w:rsid w:val="00FD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nroshan/factors-affecting-campus-plac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DD4B-882C-2D4C-BB0F-E5B43E2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9</cp:revision>
  <cp:lastPrinted>2025-02-11T04:58:00Z</cp:lastPrinted>
  <dcterms:created xsi:type="dcterms:W3CDTF">2025-02-11T04:55:00Z</dcterms:created>
  <dcterms:modified xsi:type="dcterms:W3CDTF">2025-02-19T13:35:00Z</dcterms:modified>
</cp:coreProperties>
</file>