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61514" w14:textId="78D3571C" w:rsidR="00AA7D71" w:rsidRDefault="004834B6" w:rsidP="00AA7D71">
      <w:pPr>
        <w:spacing w:after="120" w:line="360" w:lineRule="auto"/>
        <w:jc w:val="center"/>
        <w:rPr>
          <w:rFonts w:ascii="Times New Roman" w:hAnsi="Times New Roman" w:cs="Times New Roman"/>
          <w:b/>
          <w:bCs/>
          <w:sz w:val="24"/>
          <w:szCs w:val="24"/>
        </w:rPr>
      </w:pPr>
      <w:r w:rsidRPr="004834B6">
        <w:rPr>
          <w:rFonts w:ascii="Times New Roman" w:hAnsi="Times New Roman" w:cs="Times New Roman"/>
          <w:b/>
          <w:bCs/>
          <w:sz w:val="24"/>
          <w:szCs w:val="24"/>
        </w:rPr>
        <w:t>Cryptocurrency Regulation in the EU AML Regime: the path towards effective harmonization?</w:t>
      </w:r>
    </w:p>
    <w:p w14:paraId="7BE6D209" w14:textId="7AABB7D4" w:rsidR="004834B6" w:rsidRDefault="004834B6" w:rsidP="004834B6">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Eduardo Silva de Freitas</w:t>
      </w:r>
      <w:r w:rsidRPr="003412DB">
        <w:rPr>
          <w:rStyle w:val="FootnoteReference"/>
          <w:rFonts w:ascii="Times New Roman" w:hAnsi="Times New Roman" w:cs="Times New Roman"/>
          <w:sz w:val="24"/>
          <w:szCs w:val="24"/>
          <w:lang w:val="en-US"/>
        </w:rPr>
        <w:footnoteReference w:id="1"/>
      </w:r>
    </w:p>
    <w:p w14:paraId="77E56ADB" w14:textId="77777777" w:rsidR="004216DF" w:rsidRPr="004834B6" w:rsidRDefault="004216DF" w:rsidP="004216DF">
      <w:pPr>
        <w:spacing w:after="120" w:line="360" w:lineRule="auto"/>
        <w:rPr>
          <w:rFonts w:ascii="Times New Roman" w:hAnsi="Times New Roman" w:cs="Times New Roman"/>
          <w:sz w:val="24"/>
          <w:szCs w:val="24"/>
        </w:rPr>
      </w:pPr>
    </w:p>
    <w:p w14:paraId="70F2BABD" w14:textId="78A8C71F" w:rsidR="005020FE" w:rsidRPr="00AC357D" w:rsidRDefault="005020FE" w:rsidP="005020FE">
      <w:pPr>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4ED13CD9" w14:textId="2FA85159" w:rsidR="005020FE" w:rsidRDefault="005020FE" w:rsidP="005020FE">
      <w:pPr>
        <w:spacing w:after="120" w:line="360" w:lineRule="auto"/>
        <w:jc w:val="both"/>
        <w:rPr>
          <w:rFonts w:ascii="Times New Roman" w:hAnsi="Times New Roman" w:cs="Times New Roman"/>
          <w:sz w:val="24"/>
          <w:szCs w:val="24"/>
        </w:rPr>
      </w:pPr>
      <w:r w:rsidRPr="005020FE">
        <w:rPr>
          <w:rFonts w:ascii="Times New Roman" w:hAnsi="Times New Roman" w:cs="Times New Roman"/>
          <w:sz w:val="24"/>
          <w:szCs w:val="24"/>
        </w:rPr>
        <w:t>The harmonisation of Anti-Money Laundering (AML) law, at EU level, has been motivated by the need to disrupt transnational organised crime. Cryptocurrencies present a complex challenge to AML policies, given the networked and cross-border nature of the transactions through which they are exchanged. Since the creation of Bitcoin in 2008, scholarly discussions contended the applicability of both the Third and the Fourth AML Directives to Cryptocurrency transactions. In 2018, an attempt was made by the EU to harmonise AML law targeting Cryptocurrencies through the enactment of the Fifth AML Directive. However, as it becomes evident from the current legal scholarship on this matter, the Fifth AML Directive has several shortcomings which undermine its potential to effectively harmonise AML measures targeting Cryptocurrencies, thereby creating a gap between the national implementing legislations that causes asymmetrical harmonisation. Thus, this paper argues that a revision of the Fifth AML Directive is necessary to prevent further asymmetrical harmonisation of AML legislation targeting Cryptocurrencies. I untangle the constructions undertaken as attempts towards the legal characterisation of Cryptocurrencies under both the Third and the Fourth AML Directives, in an attempt to outline the context of the legal environment in which the enactment of Fifth AML Directive took place. Then, I outline the shortcomings in the Fifth AML Directive’s effort to provide for the harmonisation of AML policies targeting Cryptocurrencies in the EU. The main issues raised are its ability to cover Initial Token Offerings, Initial Coin Offerings, crypto-to-crypto exchange services and Tumbler services. Afterwards, I analyse, from the perspective of Cryptocurrencies, the EU AML Regime’s limitations when it comes to enforcement and jurisdictional matters between EU Member States</w:t>
      </w:r>
      <w:r>
        <w:rPr>
          <w:rFonts w:ascii="Times New Roman" w:hAnsi="Times New Roman" w:cs="Times New Roman"/>
          <w:sz w:val="24"/>
          <w:szCs w:val="24"/>
        </w:rPr>
        <w:t>.</w:t>
      </w:r>
      <w:r w:rsidRPr="005020FE">
        <w:rPr>
          <w:rFonts w:ascii="Times New Roman" w:hAnsi="Times New Roman" w:cs="Times New Roman"/>
          <w:sz w:val="24"/>
          <w:szCs w:val="24"/>
        </w:rPr>
        <w:t xml:space="preserve"> Finally, I compare specific implementing measures of five EU Member States to verify whether there is, in fact, asymmetrical harmonisation of AML measures targeting Cryptocurrencies: Bulgaria, France, Germany, Italy and the UK. I conclude that delegating to Member States the responsibility for </w:t>
      </w:r>
      <w:r w:rsidRPr="005020FE">
        <w:rPr>
          <w:rFonts w:ascii="Times New Roman" w:hAnsi="Times New Roman" w:cs="Times New Roman"/>
          <w:sz w:val="24"/>
          <w:szCs w:val="24"/>
        </w:rPr>
        <w:lastRenderedPageBreak/>
        <w:t>distributing AML compliance obligations among the relevant actors within the Cryptocurrency ecosystem reverses the goal of Directives to facilitate the law through harmonisation</w:t>
      </w:r>
      <w:r w:rsidR="006C2257">
        <w:rPr>
          <w:rFonts w:ascii="Times New Roman" w:hAnsi="Times New Roman" w:cs="Times New Roman"/>
          <w:sz w:val="24"/>
          <w:szCs w:val="24"/>
        </w:rPr>
        <w:t>.</w:t>
      </w:r>
    </w:p>
    <w:p w14:paraId="67459B85" w14:textId="746C3580" w:rsidR="00391177" w:rsidRDefault="00391177" w:rsidP="005020FE">
      <w:pPr>
        <w:spacing w:after="120" w:line="360" w:lineRule="auto"/>
        <w:jc w:val="both"/>
        <w:rPr>
          <w:rFonts w:ascii="Times New Roman" w:hAnsi="Times New Roman" w:cs="Times New Roman"/>
          <w:sz w:val="24"/>
          <w:szCs w:val="24"/>
        </w:rPr>
      </w:pPr>
    </w:p>
    <w:p w14:paraId="764D56D3" w14:textId="316BEAC2" w:rsidR="00391177" w:rsidRPr="005020FE" w:rsidRDefault="00391177" w:rsidP="005020FE">
      <w:pPr>
        <w:spacing w:after="120" w:line="360" w:lineRule="auto"/>
        <w:jc w:val="both"/>
        <w:rPr>
          <w:rFonts w:ascii="Times New Roman" w:hAnsi="Times New Roman" w:cs="Times New Roman"/>
          <w:sz w:val="24"/>
          <w:szCs w:val="24"/>
        </w:rPr>
      </w:pPr>
      <w:r w:rsidRPr="00391177">
        <w:rPr>
          <w:rFonts w:ascii="Times New Roman" w:hAnsi="Times New Roman" w:cs="Times New Roman"/>
          <w:b/>
          <w:bCs/>
          <w:sz w:val="24"/>
          <w:szCs w:val="24"/>
        </w:rPr>
        <w:t>Topics</w:t>
      </w:r>
      <w:r w:rsidRPr="00391177">
        <w:rPr>
          <w:rFonts w:ascii="Times New Roman" w:hAnsi="Times New Roman" w:cs="Times New Roman"/>
          <w:sz w:val="24"/>
          <w:szCs w:val="24"/>
        </w:rPr>
        <w:t>: Cryptocurrencies; Legal and regulatory issues; Security and utility tokens; Forensics and monitoring</w:t>
      </w:r>
    </w:p>
    <w:p w14:paraId="588B3EBD" w14:textId="77777777" w:rsidR="005020FE" w:rsidRDefault="005020FE" w:rsidP="00AC357D">
      <w:pPr>
        <w:spacing w:after="120" w:line="360" w:lineRule="auto"/>
        <w:jc w:val="both"/>
        <w:rPr>
          <w:rFonts w:ascii="Times New Roman" w:hAnsi="Times New Roman" w:cs="Times New Roman"/>
          <w:b/>
          <w:bCs/>
          <w:sz w:val="24"/>
          <w:szCs w:val="24"/>
        </w:rPr>
      </w:pPr>
    </w:p>
    <w:p w14:paraId="7E2D70F5" w14:textId="4C183A8E" w:rsidR="00AC357D" w:rsidRPr="00AC357D" w:rsidRDefault="00AC357D" w:rsidP="00AC357D">
      <w:pPr>
        <w:spacing w:after="120" w:line="360" w:lineRule="auto"/>
        <w:jc w:val="both"/>
        <w:rPr>
          <w:rFonts w:ascii="Times New Roman" w:hAnsi="Times New Roman" w:cs="Times New Roman"/>
          <w:b/>
          <w:bCs/>
          <w:sz w:val="24"/>
          <w:szCs w:val="24"/>
        </w:rPr>
      </w:pPr>
      <w:r w:rsidRPr="00AC357D">
        <w:rPr>
          <w:rFonts w:ascii="Times New Roman" w:hAnsi="Times New Roman" w:cs="Times New Roman"/>
          <w:b/>
          <w:bCs/>
          <w:sz w:val="24"/>
          <w:szCs w:val="24"/>
        </w:rPr>
        <w:t>Introduction</w:t>
      </w:r>
    </w:p>
    <w:p w14:paraId="1B1144B7" w14:textId="395C712A" w:rsidR="008C458A" w:rsidRDefault="00AC357D" w:rsidP="008C458A">
      <w:pPr>
        <w:spacing w:after="120" w:line="360" w:lineRule="auto"/>
        <w:ind w:firstLine="709"/>
        <w:jc w:val="both"/>
        <w:rPr>
          <w:rFonts w:ascii="Times New Roman" w:hAnsi="Times New Roman" w:cs="Times New Roman"/>
          <w:sz w:val="24"/>
          <w:szCs w:val="24"/>
        </w:rPr>
      </w:pPr>
      <w:r w:rsidRPr="00AC357D">
        <w:rPr>
          <w:rFonts w:ascii="Times New Roman" w:hAnsi="Times New Roman" w:cs="Times New Roman"/>
          <w:sz w:val="24"/>
          <w:szCs w:val="24"/>
        </w:rPr>
        <w:t>At least since the Silk Road scanda</w:t>
      </w:r>
      <w:r w:rsidR="00D83374">
        <w:rPr>
          <w:rFonts w:ascii="Times New Roman" w:hAnsi="Times New Roman" w:cs="Times New Roman"/>
          <w:sz w:val="24"/>
          <w:szCs w:val="24"/>
        </w:rPr>
        <w:t>l</w:t>
      </w:r>
      <w:r w:rsidRPr="00AC357D">
        <w:rPr>
          <w:rFonts w:ascii="Times New Roman" w:hAnsi="Times New Roman" w:cs="Times New Roman"/>
          <w:sz w:val="24"/>
          <w:szCs w:val="24"/>
        </w:rPr>
        <w:t xml:space="preserve">, Cryptocurrencies </w:t>
      </w:r>
      <w:r>
        <w:rPr>
          <w:rFonts w:ascii="Times New Roman" w:hAnsi="Times New Roman" w:cs="Times New Roman"/>
          <w:sz w:val="24"/>
          <w:szCs w:val="24"/>
        </w:rPr>
        <w:t>(</w:t>
      </w:r>
      <w:r w:rsidRPr="00AC357D">
        <w:rPr>
          <w:rFonts w:ascii="Times New Roman" w:hAnsi="Times New Roman" w:cs="Times New Roman"/>
          <w:sz w:val="24"/>
          <w:szCs w:val="24"/>
        </w:rPr>
        <w:t>CCs</w:t>
      </w:r>
      <w:r>
        <w:rPr>
          <w:rFonts w:ascii="Times New Roman" w:hAnsi="Times New Roman" w:cs="Times New Roman"/>
          <w:sz w:val="24"/>
          <w:szCs w:val="24"/>
        </w:rPr>
        <w:t>)</w:t>
      </w:r>
      <w:r w:rsidRPr="00AC357D">
        <w:rPr>
          <w:rFonts w:ascii="Times New Roman" w:hAnsi="Times New Roman" w:cs="Times New Roman"/>
          <w:sz w:val="24"/>
          <w:szCs w:val="24"/>
        </w:rPr>
        <w:t xml:space="preserve"> are known to pose a major threat to public goods (e.g., financial stability) so as to demand a counteraction by public authorities in order to mitigate the potential risks arising from transactions involving them</w:t>
      </w:r>
      <w:r w:rsidRPr="003412DB">
        <w:rPr>
          <w:rStyle w:val="FootnoteReference"/>
          <w:rFonts w:ascii="Times New Roman" w:hAnsi="Times New Roman" w:cs="Times New Roman"/>
          <w:sz w:val="24"/>
          <w:szCs w:val="24"/>
          <w:lang w:val="en-US"/>
        </w:rPr>
        <w:footnoteReference w:id="2"/>
      </w:r>
      <w:r w:rsidRPr="00AC357D">
        <w:rPr>
          <w:rFonts w:ascii="Times New Roman" w:hAnsi="Times New Roman" w:cs="Times New Roman"/>
          <w:sz w:val="24"/>
          <w:szCs w:val="24"/>
        </w:rPr>
        <w:t>. In this context, a prominent source of concern is the potential of CCs to circumvent Anti-Money Laundering (AML) regulations</w:t>
      </w:r>
      <w:r w:rsidRPr="003412DB">
        <w:rPr>
          <w:rStyle w:val="FootnoteReference"/>
          <w:rFonts w:ascii="Times New Roman" w:hAnsi="Times New Roman" w:cs="Times New Roman"/>
          <w:sz w:val="24"/>
          <w:szCs w:val="24"/>
          <w:lang w:val="en-US"/>
        </w:rPr>
        <w:footnoteReference w:id="3"/>
      </w:r>
      <w:r w:rsidRPr="00AC357D">
        <w:rPr>
          <w:rFonts w:ascii="Times New Roman" w:hAnsi="Times New Roman" w:cs="Times New Roman"/>
          <w:sz w:val="24"/>
          <w:szCs w:val="24"/>
        </w:rPr>
        <w:t xml:space="preserve"> given their anonymity/pseudonymity feature, their decentralized essence and the limited data available in</w:t>
      </w:r>
      <w:r w:rsidR="00D424FE">
        <w:rPr>
          <w:rFonts w:ascii="Times New Roman" w:hAnsi="Times New Roman" w:cs="Times New Roman"/>
          <w:sz w:val="24"/>
          <w:szCs w:val="24"/>
        </w:rPr>
        <w:t xml:space="preserve"> the</w:t>
      </w:r>
      <w:r w:rsidRPr="00AC357D">
        <w:rPr>
          <w:rFonts w:ascii="Times New Roman" w:hAnsi="Times New Roman" w:cs="Times New Roman"/>
          <w:sz w:val="24"/>
          <w:szCs w:val="24"/>
        </w:rPr>
        <w:t xml:space="preserve"> underlying system for transactions’ recording in the form of blockchains</w:t>
      </w:r>
      <w:r w:rsidRPr="003412DB">
        <w:rPr>
          <w:rStyle w:val="FootnoteReference"/>
          <w:rFonts w:ascii="Times New Roman" w:hAnsi="Times New Roman" w:cs="Times New Roman"/>
          <w:sz w:val="24"/>
          <w:szCs w:val="24"/>
          <w:lang w:val="en-US"/>
        </w:rPr>
        <w:footnoteReference w:id="4"/>
      </w:r>
      <w:r w:rsidR="00C745A9">
        <w:rPr>
          <w:rFonts w:ascii="Times New Roman" w:hAnsi="Times New Roman" w:cs="Times New Roman"/>
          <w:sz w:val="24"/>
          <w:szCs w:val="24"/>
        </w:rPr>
        <w:t>.</w:t>
      </w:r>
    </w:p>
    <w:p w14:paraId="0410DC9E" w14:textId="08EA38A9" w:rsidR="00AC357D" w:rsidRDefault="00D83374" w:rsidP="00AC357D">
      <w:pPr>
        <w:spacing w:after="120" w:line="360" w:lineRule="auto"/>
        <w:ind w:firstLine="709"/>
        <w:jc w:val="both"/>
        <w:rPr>
          <w:rFonts w:ascii="Times New Roman" w:hAnsi="Times New Roman" w:cs="Times New Roman"/>
          <w:sz w:val="24"/>
          <w:szCs w:val="24"/>
        </w:rPr>
      </w:pPr>
      <w:r w:rsidRPr="00D83374">
        <w:rPr>
          <w:rFonts w:ascii="Times New Roman" w:hAnsi="Times New Roman" w:cs="Times New Roman"/>
          <w:sz w:val="24"/>
          <w:szCs w:val="24"/>
        </w:rPr>
        <w:t>Given the complex and networked structure that crosses national borders in which CC transactions take place, attention to this issue has been brought by the Financial Action Task Force (FATF), which updated its Recommendations accordingly on grounds that clarification was necessary on how its Recommendation 15 on “new technologies” should be applied to CCs</w:t>
      </w:r>
      <w:r w:rsidRPr="003412DB">
        <w:rPr>
          <w:rStyle w:val="FootnoteReference"/>
          <w:rFonts w:ascii="Times New Roman" w:hAnsi="Times New Roman" w:cs="Times New Roman"/>
          <w:sz w:val="24"/>
          <w:szCs w:val="24"/>
          <w:lang w:val="en-US"/>
        </w:rPr>
        <w:footnoteReference w:id="5"/>
      </w:r>
      <w:r w:rsidRPr="00D83374">
        <w:rPr>
          <w:rFonts w:ascii="Times New Roman" w:hAnsi="Times New Roman" w:cs="Times New Roman"/>
          <w:sz w:val="24"/>
          <w:szCs w:val="24"/>
        </w:rPr>
        <w:t>. Thus, in addition to jurisdictions which already had put in place CC-related legal provisions pertaining to AML, like Canada</w:t>
      </w:r>
      <w:r w:rsidRPr="003412DB">
        <w:rPr>
          <w:rStyle w:val="FootnoteReference"/>
          <w:rFonts w:ascii="Times New Roman" w:hAnsi="Times New Roman" w:cs="Times New Roman"/>
          <w:sz w:val="24"/>
          <w:szCs w:val="24"/>
          <w:lang w:val="en-US"/>
        </w:rPr>
        <w:footnoteReference w:id="6"/>
      </w:r>
      <w:r w:rsidRPr="00D83374">
        <w:rPr>
          <w:rFonts w:ascii="Times New Roman" w:hAnsi="Times New Roman" w:cs="Times New Roman"/>
          <w:sz w:val="24"/>
          <w:szCs w:val="24"/>
        </w:rPr>
        <w:t>, several jurisdictions around the world began enacting AML legislations targeting CC-related Money Laundering (ML), such as Australia</w:t>
      </w:r>
      <w:r w:rsidRPr="003412DB">
        <w:rPr>
          <w:rStyle w:val="FootnoteReference"/>
          <w:rFonts w:ascii="Times New Roman" w:hAnsi="Times New Roman" w:cs="Times New Roman"/>
          <w:sz w:val="24"/>
          <w:szCs w:val="24"/>
          <w:lang w:val="en-US"/>
        </w:rPr>
        <w:footnoteReference w:id="7"/>
      </w:r>
      <w:r w:rsidRPr="00D83374">
        <w:rPr>
          <w:rFonts w:ascii="Times New Roman" w:hAnsi="Times New Roman" w:cs="Times New Roman"/>
          <w:sz w:val="24"/>
          <w:szCs w:val="24"/>
        </w:rPr>
        <w:t xml:space="preserve">, </w:t>
      </w:r>
      <w:r w:rsidRPr="00D83374">
        <w:rPr>
          <w:rFonts w:ascii="Times New Roman" w:hAnsi="Times New Roman" w:cs="Times New Roman"/>
          <w:sz w:val="24"/>
          <w:szCs w:val="24"/>
        </w:rPr>
        <w:lastRenderedPageBreak/>
        <w:t>Brazil</w:t>
      </w:r>
      <w:r w:rsidRPr="003412DB">
        <w:rPr>
          <w:rStyle w:val="FootnoteReference"/>
          <w:rFonts w:ascii="Times New Roman" w:hAnsi="Times New Roman" w:cs="Times New Roman"/>
          <w:sz w:val="24"/>
          <w:szCs w:val="24"/>
          <w:lang w:val="en-US"/>
        </w:rPr>
        <w:footnoteReference w:id="8"/>
      </w:r>
      <w:r w:rsidRPr="00D83374">
        <w:rPr>
          <w:rFonts w:ascii="Times New Roman" w:hAnsi="Times New Roman" w:cs="Times New Roman"/>
          <w:sz w:val="24"/>
          <w:szCs w:val="24"/>
        </w:rPr>
        <w:t xml:space="preserve"> and the European Union (EU), to name just a few. This </w:t>
      </w:r>
      <w:r>
        <w:rPr>
          <w:rFonts w:ascii="Times New Roman" w:hAnsi="Times New Roman" w:cs="Times New Roman"/>
          <w:sz w:val="24"/>
          <w:szCs w:val="24"/>
        </w:rPr>
        <w:t xml:space="preserve">paper </w:t>
      </w:r>
      <w:r w:rsidRPr="00D83374">
        <w:rPr>
          <w:rFonts w:ascii="Times New Roman" w:hAnsi="Times New Roman" w:cs="Times New Roman"/>
          <w:sz w:val="24"/>
          <w:szCs w:val="24"/>
        </w:rPr>
        <w:t>will focus on the EU AML regulatory regime targeting CC-related ML</w:t>
      </w:r>
      <w:r w:rsidR="004C774B">
        <w:rPr>
          <w:rFonts w:ascii="Times New Roman" w:hAnsi="Times New Roman" w:cs="Times New Roman"/>
          <w:sz w:val="24"/>
          <w:szCs w:val="24"/>
        </w:rPr>
        <w:t>.</w:t>
      </w:r>
    </w:p>
    <w:p w14:paraId="265048B0" w14:textId="47254CCF" w:rsidR="00D83374" w:rsidRDefault="00D83374" w:rsidP="00AC357D">
      <w:pPr>
        <w:spacing w:after="120" w:line="360" w:lineRule="auto"/>
        <w:ind w:firstLine="709"/>
        <w:jc w:val="both"/>
        <w:rPr>
          <w:rFonts w:ascii="Times New Roman" w:hAnsi="Times New Roman" w:cs="Times New Roman"/>
          <w:sz w:val="24"/>
          <w:szCs w:val="24"/>
        </w:rPr>
      </w:pPr>
      <w:r w:rsidRPr="00D83374">
        <w:rPr>
          <w:rFonts w:ascii="Times New Roman" w:hAnsi="Times New Roman" w:cs="Times New Roman"/>
          <w:sz w:val="24"/>
          <w:szCs w:val="24"/>
        </w:rPr>
        <w:t xml:space="preserve">The EU AML regulatory regime targeting CCs was enacted via a Directive, namely Directive (EU) 2018/843 – the Fifth </w:t>
      </w:r>
      <w:r w:rsidR="00292919">
        <w:rPr>
          <w:rFonts w:ascii="Times New Roman" w:hAnsi="Times New Roman" w:cs="Times New Roman"/>
          <w:sz w:val="24"/>
          <w:szCs w:val="24"/>
        </w:rPr>
        <w:t>AML</w:t>
      </w:r>
      <w:r w:rsidRPr="00D83374">
        <w:rPr>
          <w:rFonts w:ascii="Times New Roman" w:hAnsi="Times New Roman" w:cs="Times New Roman"/>
          <w:sz w:val="24"/>
          <w:szCs w:val="24"/>
        </w:rPr>
        <w:t xml:space="preserve"> Directive (AMLD5)</w:t>
      </w:r>
      <w:r w:rsidRPr="003412DB">
        <w:rPr>
          <w:rStyle w:val="FootnoteReference"/>
          <w:rFonts w:ascii="Times New Roman" w:hAnsi="Times New Roman" w:cs="Times New Roman"/>
          <w:sz w:val="24"/>
          <w:szCs w:val="24"/>
          <w:lang w:val="en-US"/>
        </w:rPr>
        <w:footnoteReference w:id="9"/>
      </w:r>
      <w:r w:rsidRPr="00D83374">
        <w:rPr>
          <w:rFonts w:ascii="Times New Roman" w:hAnsi="Times New Roman" w:cs="Times New Roman"/>
          <w:sz w:val="24"/>
          <w:szCs w:val="24"/>
        </w:rPr>
        <w:t>. Directives establish goals for Member States to pursue, allowing for a margin of discretion</w:t>
      </w:r>
      <w:r w:rsidR="00F5673B" w:rsidRPr="003412DB">
        <w:rPr>
          <w:rStyle w:val="FootnoteReference"/>
          <w:rFonts w:ascii="Times New Roman" w:hAnsi="Times New Roman" w:cs="Times New Roman"/>
          <w:sz w:val="24"/>
          <w:szCs w:val="24"/>
          <w:lang w:val="en-US"/>
        </w:rPr>
        <w:footnoteReference w:id="10"/>
      </w:r>
      <w:r w:rsidRPr="00D83374">
        <w:rPr>
          <w:rFonts w:ascii="Times New Roman" w:hAnsi="Times New Roman" w:cs="Times New Roman"/>
          <w:sz w:val="24"/>
          <w:szCs w:val="24"/>
        </w:rPr>
        <w:t>. AMLD5, like the AML directives that came before it, was enacted on the basis of what, post</w:t>
      </w:r>
      <w:r>
        <w:rPr>
          <w:rFonts w:ascii="Times New Roman" w:hAnsi="Times New Roman" w:cs="Times New Roman"/>
          <w:sz w:val="24"/>
          <w:szCs w:val="24"/>
        </w:rPr>
        <w:t>-</w:t>
      </w:r>
      <w:r w:rsidRPr="00D83374">
        <w:rPr>
          <w:rFonts w:ascii="Times New Roman" w:hAnsi="Times New Roman" w:cs="Times New Roman"/>
          <w:sz w:val="24"/>
          <w:szCs w:val="24"/>
        </w:rPr>
        <w:t>Lisbon, is Article 114 of the Treaty on the Functioning of the EU (TFEU), as part of the overall EU project to harmonize measures regarding the establishment of the internal market</w:t>
      </w:r>
      <w:r w:rsidR="00F5673B" w:rsidRPr="003412DB">
        <w:rPr>
          <w:rStyle w:val="FootnoteReference"/>
          <w:rFonts w:ascii="Times New Roman" w:hAnsi="Times New Roman" w:cs="Times New Roman"/>
          <w:sz w:val="24"/>
          <w:szCs w:val="24"/>
          <w:lang w:val="en-US"/>
        </w:rPr>
        <w:footnoteReference w:id="11"/>
      </w:r>
      <w:r w:rsidRPr="00D83374">
        <w:rPr>
          <w:rFonts w:ascii="Times New Roman" w:hAnsi="Times New Roman" w:cs="Times New Roman"/>
          <w:sz w:val="24"/>
          <w:szCs w:val="24"/>
        </w:rPr>
        <w:t>. The two-fold goal of such harmonization was well outlined by Advocate General (AG</w:t>
      </w:r>
      <w:r>
        <w:rPr>
          <w:rFonts w:ascii="Times New Roman" w:hAnsi="Times New Roman" w:cs="Times New Roman"/>
          <w:sz w:val="24"/>
          <w:szCs w:val="24"/>
        </w:rPr>
        <w:t xml:space="preserve">) </w:t>
      </w:r>
      <w:proofErr w:type="spellStart"/>
      <w:r w:rsidRPr="00D83374">
        <w:rPr>
          <w:rFonts w:ascii="Times New Roman" w:hAnsi="Times New Roman" w:cs="Times New Roman"/>
          <w:sz w:val="24"/>
          <w:szCs w:val="24"/>
        </w:rPr>
        <w:t>Saggio</w:t>
      </w:r>
      <w:proofErr w:type="spellEnd"/>
      <w:r w:rsidRPr="00D83374">
        <w:rPr>
          <w:rFonts w:ascii="Times New Roman" w:hAnsi="Times New Roman" w:cs="Times New Roman"/>
          <w:sz w:val="24"/>
          <w:szCs w:val="24"/>
        </w:rPr>
        <w:t xml:space="preserve"> in the Opinion issued for Case C-290/98 </w:t>
      </w:r>
      <w:r w:rsidRPr="00D83374">
        <w:rPr>
          <w:rFonts w:ascii="Times New Roman" w:hAnsi="Times New Roman" w:cs="Times New Roman"/>
          <w:i/>
          <w:iCs/>
          <w:sz w:val="24"/>
          <w:szCs w:val="24"/>
        </w:rPr>
        <w:t>Commission v Austria</w:t>
      </w:r>
      <w:r w:rsidRPr="00D83374">
        <w:rPr>
          <w:rFonts w:ascii="Times New Roman" w:hAnsi="Times New Roman" w:cs="Times New Roman"/>
          <w:sz w:val="24"/>
          <w:szCs w:val="24"/>
        </w:rPr>
        <w:t xml:space="preserve"> – in which the improper implementation of provisions of the First AML Directive (Council Directive 91/308 –</w:t>
      </w:r>
      <w:r>
        <w:rPr>
          <w:rFonts w:ascii="Times New Roman" w:hAnsi="Times New Roman" w:cs="Times New Roman"/>
          <w:sz w:val="24"/>
          <w:szCs w:val="24"/>
        </w:rPr>
        <w:t xml:space="preserve"> </w:t>
      </w:r>
      <w:r w:rsidRPr="00D83374">
        <w:rPr>
          <w:rFonts w:ascii="Times New Roman" w:hAnsi="Times New Roman" w:cs="Times New Roman"/>
          <w:sz w:val="24"/>
          <w:szCs w:val="24"/>
        </w:rPr>
        <w:t xml:space="preserve">AMLD1) by Austria was discussed: both to avoid the (then) European Community from becoming “a field of activity for organised crime” and to establish “a privileged arena for the economic activity of those operators who, by exercising their right of establishment in a manner compatible with Community interests, enjoy the advantages of an internal market </w:t>
      </w:r>
      <w:r w:rsidRPr="00F5673B">
        <w:rPr>
          <w:rFonts w:ascii="Times New Roman" w:hAnsi="Times New Roman" w:cs="Times New Roman"/>
          <w:i/>
          <w:iCs/>
          <w:sz w:val="24"/>
          <w:szCs w:val="24"/>
        </w:rPr>
        <w:t>founded on clear-cut and transparent rules</w:t>
      </w:r>
      <w:r w:rsidRPr="00D83374">
        <w:rPr>
          <w:rFonts w:ascii="Times New Roman" w:hAnsi="Times New Roman" w:cs="Times New Roman"/>
          <w:sz w:val="24"/>
          <w:szCs w:val="24"/>
        </w:rPr>
        <w:t>”</w:t>
      </w:r>
      <w:r w:rsidR="00F5673B" w:rsidRPr="003412DB">
        <w:rPr>
          <w:rStyle w:val="FootnoteReference"/>
          <w:rFonts w:ascii="Times New Roman" w:hAnsi="Times New Roman" w:cs="Times New Roman"/>
          <w:sz w:val="24"/>
          <w:szCs w:val="24"/>
          <w:lang w:val="en-US"/>
        </w:rPr>
        <w:footnoteReference w:id="12"/>
      </w:r>
      <w:r w:rsidR="005620D2">
        <w:rPr>
          <w:rFonts w:ascii="Times New Roman" w:hAnsi="Times New Roman" w:cs="Times New Roman"/>
          <w:sz w:val="24"/>
          <w:szCs w:val="24"/>
        </w:rPr>
        <w:t>.</w:t>
      </w:r>
    </w:p>
    <w:p w14:paraId="383AB517" w14:textId="5EC39A1A" w:rsidR="00F5673B" w:rsidRDefault="00F5673B" w:rsidP="00AC357D">
      <w:pPr>
        <w:spacing w:after="120" w:line="360" w:lineRule="auto"/>
        <w:ind w:firstLine="709"/>
        <w:jc w:val="both"/>
        <w:rPr>
          <w:rFonts w:ascii="Times New Roman" w:hAnsi="Times New Roman" w:cs="Times New Roman"/>
          <w:sz w:val="24"/>
          <w:szCs w:val="24"/>
        </w:rPr>
      </w:pPr>
      <w:r w:rsidRPr="00F5673B">
        <w:rPr>
          <w:rFonts w:ascii="Times New Roman" w:hAnsi="Times New Roman" w:cs="Times New Roman"/>
          <w:sz w:val="24"/>
          <w:szCs w:val="24"/>
        </w:rPr>
        <w:t>Therefore, the possibility of reliance on clear and predictable rules is a cornerstone of the EU harmonisation efforts in AML matters. Nevertheless, as reported by the media, EU Member States are adopting “tougher crypto rules than [AMLD5] requires”</w:t>
      </w:r>
      <w:r w:rsidRPr="003412DB">
        <w:rPr>
          <w:rStyle w:val="FootnoteReference"/>
          <w:rFonts w:ascii="Times New Roman" w:hAnsi="Times New Roman" w:cs="Times New Roman"/>
          <w:sz w:val="24"/>
          <w:szCs w:val="24"/>
          <w:lang w:val="en-US"/>
        </w:rPr>
        <w:footnoteReference w:id="13"/>
      </w:r>
      <w:r w:rsidRPr="00F5673B">
        <w:rPr>
          <w:rFonts w:ascii="Times New Roman" w:hAnsi="Times New Roman" w:cs="Times New Roman"/>
          <w:sz w:val="24"/>
          <w:szCs w:val="24"/>
        </w:rPr>
        <w:t xml:space="preserve">. Thus, this </w:t>
      </w:r>
      <w:r>
        <w:rPr>
          <w:rFonts w:ascii="Times New Roman" w:hAnsi="Times New Roman" w:cs="Times New Roman"/>
          <w:sz w:val="24"/>
          <w:szCs w:val="24"/>
        </w:rPr>
        <w:t xml:space="preserve">paper </w:t>
      </w:r>
      <w:r w:rsidRPr="00F5673B">
        <w:rPr>
          <w:rFonts w:ascii="Times New Roman" w:hAnsi="Times New Roman" w:cs="Times New Roman"/>
          <w:sz w:val="24"/>
          <w:szCs w:val="24"/>
        </w:rPr>
        <w:t>will, in two main steps, attempt to verify this assertion by exploring the degree to which AMLD5 contributes to the attaining the goal of establishing clear and predictable rules regarding the prevention of CC</w:t>
      </w:r>
      <w:r>
        <w:rPr>
          <w:rFonts w:ascii="Times New Roman" w:hAnsi="Times New Roman" w:cs="Times New Roman"/>
          <w:sz w:val="24"/>
          <w:szCs w:val="24"/>
        </w:rPr>
        <w:t>-</w:t>
      </w:r>
      <w:r w:rsidRPr="00F5673B">
        <w:rPr>
          <w:rFonts w:ascii="Times New Roman" w:hAnsi="Times New Roman" w:cs="Times New Roman"/>
          <w:sz w:val="24"/>
          <w:szCs w:val="24"/>
        </w:rPr>
        <w:t xml:space="preserve">related ML. For that purpose, I will first explore the way the </w:t>
      </w:r>
      <w:r w:rsidRPr="00F5673B">
        <w:rPr>
          <w:rFonts w:ascii="Times New Roman" w:hAnsi="Times New Roman" w:cs="Times New Roman"/>
          <w:sz w:val="24"/>
          <w:szCs w:val="24"/>
        </w:rPr>
        <w:lastRenderedPageBreak/>
        <w:t>EU attempted to do so by outlining the scope of AMLD5’s provisions regarding CCs. Here, it is important to highlight that AMLD5 focuses on the intermediaries involved in the process of CC transactions</w:t>
      </w:r>
      <w:r w:rsidRPr="003412DB">
        <w:rPr>
          <w:rStyle w:val="FootnoteReference"/>
          <w:rFonts w:ascii="Times New Roman" w:hAnsi="Times New Roman" w:cs="Times New Roman"/>
          <w:sz w:val="24"/>
          <w:szCs w:val="24"/>
          <w:lang w:val="en-US"/>
        </w:rPr>
        <w:footnoteReference w:id="14"/>
      </w:r>
      <w:r w:rsidRPr="00F5673B">
        <w:rPr>
          <w:rFonts w:ascii="Times New Roman" w:hAnsi="Times New Roman" w:cs="Times New Roman"/>
          <w:sz w:val="24"/>
          <w:szCs w:val="24"/>
        </w:rPr>
        <w:t>. Then, I will explore</w:t>
      </w:r>
      <w:r>
        <w:rPr>
          <w:rFonts w:ascii="Times New Roman" w:hAnsi="Times New Roman" w:cs="Times New Roman"/>
          <w:sz w:val="24"/>
          <w:szCs w:val="24"/>
        </w:rPr>
        <w:t xml:space="preserve"> </w:t>
      </w:r>
      <w:r w:rsidRPr="00F5673B">
        <w:rPr>
          <w:rFonts w:ascii="Times New Roman" w:hAnsi="Times New Roman" w:cs="Times New Roman"/>
          <w:sz w:val="24"/>
          <w:szCs w:val="24"/>
        </w:rPr>
        <w:t>what ML issues posed by CCs, involving such intermediaries</w:t>
      </w:r>
      <w:r w:rsidR="002E4300">
        <w:rPr>
          <w:rFonts w:ascii="Times New Roman" w:hAnsi="Times New Roman" w:cs="Times New Roman"/>
          <w:sz w:val="24"/>
          <w:szCs w:val="24"/>
        </w:rPr>
        <w:t xml:space="preserve"> as well as those which</w:t>
      </w:r>
      <w:r w:rsidRPr="00F5673B">
        <w:rPr>
          <w:rFonts w:ascii="Times New Roman" w:hAnsi="Times New Roman" w:cs="Times New Roman"/>
          <w:sz w:val="24"/>
          <w:szCs w:val="24"/>
        </w:rPr>
        <w:t xml:space="preserve"> were not addressed by AMLD5, are being targeted by Member States’ national implementing legislations, thereby causing asymmetrical harmonisation</w:t>
      </w:r>
      <w:r w:rsidR="00B627D8">
        <w:rPr>
          <w:rFonts w:ascii="Times New Roman" w:hAnsi="Times New Roman" w:cs="Times New Roman"/>
          <w:sz w:val="24"/>
          <w:szCs w:val="24"/>
        </w:rPr>
        <w:t>.</w:t>
      </w:r>
      <w:r w:rsidRPr="00F5673B">
        <w:rPr>
          <w:rFonts w:ascii="Times New Roman" w:hAnsi="Times New Roman" w:cs="Times New Roman"/>
          <w:sz w:val="24"/>
          <w:szCs w:val="24"/>
        </w:rPr>
        <w:t xml:space="preserve"> I will also analyse how the jurisdiction rules established in the EU AML regulatory regime affect its potential to tackle CC-related ML. In this sense, the goal of this </w:t>
      </w:r>
      <w:r>
        <w:rPr>
          <w:rFonts w:ascii="Times New Roman" w:hAnsi="Times New Roman" w:cs="Times New Roman"/>
          <w:sz w:val="24"/>
          <w:szCs w:val="24"/>
        </w:rPr>
        <w:t>paper</w:t>
      </w:r>
      <w:r w:rsidRPr="00F5673B">
        <w:rPr>
          <w:rFonts w:ascii="Times New Roman" w:hAnsi="Times New Roman" w:cs="Times New Roman"/>
          <w:sz w:val="24"/>
          <w:szCs w:val="24"/>
        </w:rPr>
        <w:t xml:space="preserve"> is to address the following question:</w:t>
      </w:r>
      <w:r>
        <w:rPr>
          <w:rFonts w:ascii="Times New Roman" w:hAnsi="Times New Roman" w:cs="Times New Roman"/>
          <w:sz w:val="24"/>
          <w:szCs w:val="24"/>
        </w:rPr>
        <w:t xml:space="preserve"> </w:t>
      </w:r>
      <w:r w:rsidRPr="00F5673B">
        <w:rPr>
          <w:rFonts w:ascii="Times New Roman" w:hAnsi="Times New Roman" w:cs="Times New Roman"/>
          <w:sz w:val="24"/>
          <w:szCs w:val="24"/>
        </w:rPr>
        <w:t>What are the shortcomings of AMLD5 in promoting effective harmonization of AML policies targeting CC transactions across the EU?</w:t>
      </w:r>
    </w:p>
    <w:p w14:paraId="63105B9C" w14:textId="2582C599" w:rsidR="00F5673B" w:rsidRDefault="00F5673B" w:rsidP="00F5673B">
      <w:pPr>
        <w:spacing w:after="120" w:line="360" w:lineRule="auto"/>
        <w:ind w:firstLine="709"/>
        <w:jc w:val="both"/>
        <w:rPr>
          <w:rFonts w:ascii="Times New Roman" w:hAnsi="Times New Roman" w:cs="Times New Roman"/>
          <w:sz w:val="24"/>
          <w:szCs w:val="24"/>
        </w:rPr>
      </w:pPr>
      <w:r w:rsidRPr="00F5673B">
        <w:rPr>
          <w:rFonts w:ascii="Times New Roman" w:hAnsi="Times New Roman" w:cs="Times New Roman"/>
          <w:sz w:val="24"/>
          <w:szCs w:val="24"/>
        </w:rPr>
        <w:t xml:space="preserve">Effective harmonisation is understood here as one which contributes towards the goals of the EU AML regulatory regime. Accordingly, the hypothesis formulated for this </w:t>
      </w:r>
      <w:r w:rsidR="00B13CF6">
        <w:rPr>
          <w:rFonts w:ascii="Times New Roman" w:hAnsi="Times New Roman" w:cs="Times New Roman"/>
          <w:sz w:val="24"/>
          <w:szCs w:val="24"/>
        </w:rPr>
        <w:t>paper</w:t>
      </w:r>
      <w:r w:rsidRPr="00F5673B">
        <w:rPr>
          <w:rFonts w:ascii="Times New Roman" w:hAnsi="Times New Roman" w:cs="Times New Roman"/>
          <w:sz w:val="24"/>
          <w:szCs w:val="24"/>
        </w:rPr>
        <w:t xml:space="preserve"> is that, leaving it to Member States to distribute the responsibility for AML compliance among the relevant actors within the CC ecosystem is reversing the goal of Directives within the EU AML regulatory regime to facilitate the law through harmonization</w:t>
      </w:r>
      <w:r w:rsidR="00907EBF">
        <w:rPr>
          <w:rFonts w:ascii="Times New Roman" w:hAnsi="Times New Roman" w:cs="Times New Roman"/>
          <w:sz w:val="24"/>
          <w:szCs w:val="24"/>
        </w:rPr>
        <w:t>.</w:t>
      </w:r>
    </w:p>
    <w:p w14:paraId="70E7CEBE" w14:textId="01EBBB2F" w:rsidR="00AC357D" w:rsidRDefault="00F5673B" w:rsidP="00F5673B">
      <w:pPr>
        <w:spacing w:after="120" w:line="360" w:lineRule="auto"/>
        <w:ind w:firstLine="709"/>
        <w:jc w:val="both"/>
        <w:rPr>
          <w:rFonts w:ascii="Times New Roman" w:hAnsi="Times New Roman" w:cs="Times New Roman"/>
          <w:sz w:val="24"/>
          <w:szCs w:val="24"/>
        </w:rPr>
      </w:pPr>
      <w:r w:rsidRPr="00F5673B">
        <w:rPr>
          <w:rFonts w:ascii="Times New Roman" w:hAnsi="Times New Roman" w:cs="Times New Roman"/>
          <w:sz w:val="24"/>
          <w:szCs w:val="24"/>
        </w:rPr>
        <w:t xml:space="preserve">As for the methodology, this </w:t>
      </w:r>
      <w:r w:rsidR="00907EBF">
        <w:rPr>
          <w:rFonts w:ascii="Times New Roman" w:hAnsi="Times New Roman" w:cs="Times New Roman"/>
          <w:sz w:val="24"/>
          <w:szCs w:val="24"/>
        </w:rPr>
        <w:t>paper</w:t>
      </w:r>
      <w:r w:rsidRPr="00F5673B">
        <w:rPr>
          <w:rFonts w:ascii="Times New Roman" w:hAnsi="Times New Roman" w:cs="Times New Roman"/>
          <w:sz w:val="24"/>
          <w:szCs w:val="24"/>
        </w:rPr>
        <w:t xml:space="preserve"> will take a doctrinal approach to legal research, whereby I will indicate, through inductive reasoning, the incoherencies in law with reference to the abovementioned overall goals</w:t>
      </w:r>
      <w:r w:rsidRPr="003412DB">
        <w:rPr>
          <w:rStyle w:val="FootnoteReference"/>
          <w:rFonts w:ascii="Times New Roman" w:hAnsi="Times New Roman" w:cs="Times New Roman"/>
          <w:sz w:val="24"/>
          <w:szCs w:val="24"/>
          <w:lang w:val="en-US"/>
        </w:rPr>
        <w:footnoteReference w:id="15"/>
      </w:r>
      <w:r w:rsidRPr="00F5673B">
        <w:rPr>
          <w:rFonts w:ascii="Times New Roman" w:hAnsi="Times New Roman" w:cs="Times New Roman"/>
          <w:sz w:val="24"/>
          <w:szCs w:val="24"/>
        </w:rPr>
        <w:t xml:space="preserve"> of the EU AML regulatory regime stated by AG </w:t>
      </w:r>
      <w:proofErr w:type="spellStart"/>
      <w:r w:rsidRPr="00F5673B">
        <w:rPr>
          <w:rFonts w:ascii="Times New Roman" w:hAnsi="Times New Roman" w:cs="Times New Roman"/>
          <w:sz w:val="24"/>
          <w:szCs w:val="24"/>
        </w:rPr>
        <w:t>Saggio</w:t>
      </w:r>
      <w:proofErr w:type="spellEnd"/>
      <w:r w:rsidRPr="00F5673B">
        <w:rPr>
          <w:rFonts w:ascii="Times New Roman" w:hAnsi="Times New Roman" w:cs="Times New Roman"/>
          <w:sz w:val="24"/>
          <w:szCs w:val="24"/>
        </w:rPr>
        <w:t xml:space="preserve"> in </w:t>
      </w:r>
      <w:r w:rsidRPr="00F5673B">
        <w:rPr>
          <w:rFonts w:ascii="Times New Roman" w:hAnsi="Times New Roman" w:cs="Times New Roman"/>
          <w:i/>
          <w:iCs/>
          <w:sz w:val="24"/>
          <w:szCs w:val="24"/>
        </w:rPr>
        <w:t>Commission v Austria</w:t>
      </w:r>
      <w:r w:rsidRPr="00F5673B">
        <w:rPr>
          <w:rFonts w:ascii="Times New Roman" w:hAnsi="Times New Roman" w:cs="Times New Roman"/>
          <w:sz w:val="24"/>
          <w:szCs w:val="24"/>
        </w:rPr>
        <w:t>. I will also perform comparative analysis, based on a functional approach, again considering those same goals and objectives</w:t>
      </w:r>
      <w:r w:rsidRPr="003412DB">
        <w:rPr>
          <w:rStyle w:val="FootnoteReference"/>
          <w:rFonts w:ascii="Times New Roman" w:hAnsi="Times New Roman" w:cs="Times New Roman"/>
          <w:sz w:val="24"/>
          <w:szCs w:val="24"/>
          <w:lang w:val="en-US"/>
        </w:rPr>
        <w:footnoteReference w:id="16"/>
      </w:r>
      <w:r w:rsidRPr="00F5673B">
        <w:rPr>
          <w:rFonts w:ascii="Times New Roman" w:hAnsi="Times New Roman" w:cs="Times New Roman"/>
          <w:sz w:val="24"/>
          <w:szCs w:val="24"/>
        </w:rPr>
        <w:t>. I compare the French, Italian, Bulgarian, German and United Kingdom (UK</w:t>
      </w:r>
      <w:r>
        <w:rPr>
          <w:rFonts w:ascii="Times New Roman" w:hAnsi="Times New Roman" w:cs="Times New Roman"/>
          <w:sz w:val="24"/>
          <w:szCs w:val="24"/>
        </w:rPr>
        <w:t xml:space="preserve">) </w:t>
      </w:r>
      <w:r w:rsidRPr="00F5673B">
        <w:rPr>
          <w:rFonts w:ascii="Times New Roman" w:hAnsi="Times New Roman" w:cs="Times New Roman"/>
          <w:sz w:val="24"/>
          <w:szCs w:val="24"/>
        </w:rPr>
        <w:t>national legislations implementing AMLD5. This comparative analysis will attempt to ascertain which issues regarding CC-related ML are being targeted by asymmetrical harmonisation</w:t>
      </w:r>
      <w:r w:rsidR="00A9303B">
        <w:rPr>
          <w:rFonts w:ascii="Times New Roman" w:hAnsi="Times New Roman" w:cs="Times New Roman"/>
          <w:sz w:val="24"/>
          <w:szCs w:val="24"/>
        </w:rPr>
        <w:t>.</w:t>
      </w:r>
    </w:p>
    <w:p w14:paraId="27E5C714" w14:textId="2CBB4C6D" w:rsidR="00F5673B" w:rsidRDefault="00F5673B" w:rsidP="00F5673B">
      <w:pPr>
        <w:spacing w:after="120" w:line="360" w:lineRule="auto"/>
        <w:ind w:firstLine="709"/>
        <w:jc w:val="both"/>
        <w:rPr>
          <w:rFonts w:ascii="Times New Roman" w:hAnsi="Times New Roman" w:cs="Times New Roman"/>
          <w:sz w:val="24"/>
          <w:szCs w:val="24"/>
        </w:rPr>
      </w:pPr>
      <w:r w:rsidRPr="00F5673B">
        <w:rPr>
          <w:rFonts w:ascii="Times New Roman" w:hAnsi="Times New Roman" w:cs="Times New Roman"/>
          <w:sz w:val="24"/>
          <w:szCs w:val="24"/>
        </w:rPr>
        <w:t>This study has two limitations. The first is that it will not discuss</w:t>
      </w:r>
      <w:r w:rsidR="00B7062F">
        <w:rPr>
          <w:rFonts w:ascii="Times New Roman" w:hAnsi="Times New Roman" w:cs="Times New Roman"/>
          <w:sz w:val="24"/>
          <w:szCs w:val="24"/>
        </w:rPr>
        <w:t xml:space="preserve"> </w:t>
      </w:r>
      <w:r w:rsidRPr="00F5673B">
        <w:rPr>
          <w:rFonts w:ascii="Times New Roman" w:hAnsi="Times New Roman" w:cs="Times New Roman"/>
          <w:sz w:val="24"/>
          <w:szCs w:val="24"/>
        </w:rPr>
        <w:t xml:space="preserve">how the EU AML criminal framework targets CCs, since this would involve a highly complex dogmatic analysis of legal concepts pertaining to EU criminal law, which is out of the scope of this </w:t>
      </w:r>
      <w:r w:rsidR="00907EBF">
        <w:rPr>
          <w:rFonts w:ascii="Times New Roman" w:hAnsi="Times New Roman" w:cs="Times New Roman"/>
          <w:sz w:val="24"/>
          <w:szCs w:val="24"/>
        </w:rPr>
        <w:t>paper</w:t>
      </w:r>
      <w:r w:rsidRPr="00F5673B">
        <w:rPr>
          <w:rFonts w:ascii="Times New Roman" w:hAnsi="Times New Roman" w:cs="Times New Roman"/>
          <w:sz w:val="24"/>
          <w:szCs w:val="24"/>
        </w:rPr>
        <w:t>.</w:t>
      </w:r>
      <w:r>
        <w:rPr>
          <w:rFonts w:ascii="Times New Roman" w:hAnsi="Times New Roman" w:cs="Times New Roman"/>
          <w:sz w:val="24"/>
          <w:szCs w:val="24"/>
        </w:rPr>
        <w:t xml:space="preserve"> </w:t>
      </w:r>
      <w:r w:rsidRPr="00F5673B">
        <w:rPr>
          <w:rFonts w:ascii="Times New Roman" w:hAnsi="Times New Roman" w:cs="Times New Roman"/>
          <w:sz w:val="24"/>
          <w:szCs w:val="24"/>
        </w:rPr>
        <w:t xml:space="preserve">The second is that it will not discuss how the new technology called “atomic swap” – which allows users to directly engage in crypto-to-crypto transactions between them, without the need of an </w:t>
      </w:r>
      <w:r w:rsidRPr="00F5673B">
        <w:rPr>
          <w:rFonts w:ascii="Times New Roman" w:hAnsi="Times New Roman" w:cs="Times New Roman"/>
          <w:sz w:val="24"/>
          <w:szCs w:val="24"/>
        </w:rPr>
        <w:lastRenderedPageBreak/>
        <w:t>exchange service acting as intermediary</w:t>
      </w:r>
      <w:r w:rsidR="00E16425" w:rsidRPr="003412DB">
        <w:rPr>
          <w:rStyle w:val="FootnoteReference"/>
          <w:rFonts w:ascii="Times New Roman" w:hAnsi="Times New Roman" w:cs="Times New Roman"/>
          <w:sz w:val="24"/>
          <w:szCs w:val="24"/>
          <w:lang w:val="en-US"/>
        </w:rPr>
        <w:footnoteReference w:id="17"/>
      </w:r>
      <w:r w:rsidR="00E16425">
        <w:rPr>
          <w:rFonts w:ascii="Times New Roman" w:hAnsi="Times New Roman" w:cs="Times New Roman"/>
          <w:sz w:val="24"/>
          <w:szCs w:val="24"/>
        </w:rPr>
        <w:t xml:space="preserve"> </w:t>
      </w:r>
      <w:r w:rsidRPr="00F5673B">
        <w:rPr>
          <w:rFonts w:ascii="Times New Roman" w:hAnsi="Times New Roman" w:cs="Times New Roman"/>
          <w:sz w:val="24"/>
          <w:szCs w:val="24"/>
        </w:rPr>
        <w:t>– should be brought under the EU AML regulatory regime, given the lack of evidence of concrete policy propositions for AML regulations targeting such mechanism in the EU</w:t>
      </w:r>
      <w:r w:rsidR="00F12807">
        <w:rPr>
          <w:rFonts w:ascii="Times New Roman" w:hAnsi="Times New Roman" w:cs="Times New Roman"/>
          <w:sz w:val="24"/>
          <w:szCs w:val="24"/>
        </w:rPr>
        <w:t>.</w:t>
      </w:r>
    </w:p>
    <w:p w14:paraId="60B8624C" w14:textId="7F30B9ED" w:rsidR="00F5673B" w:rsidRPr="00F5673B" w:rsidRDefault="00F5673B" w:rsidP="00F5673B">
      <w:pPr>
        <w:spacing w:after="120" w:line="360" w:lineRule="auto"/>
        <w:ind w:firstLine="709"/>
        <w:jc w:val="both"/>
        <w:rPr>
          <w:rFonts w:ascii="Times New Roman" w:hAnsi="Times New Roman" w:cs="Times New Roman"/>
          <w:sz w:val="24"/>
          <w:szCs w:val="24"/>
        </w:rPr>
      </w:pPr>
      <w:r w:rsidRPr="00F5673B">
        <w:rPr>
          <w:rFonts w:ascii="Times New Roman" w:hAnsi="Times New Roman" w:cs="Times New Roman"/>
          <w:sz w:val="24"/>
          <w:szCs w:val="24"/>
        </w:rPr>
        <w:t xml:space="preserve">This paper is structured as follows. </w:t>
      </w:r>
      <w:r>
        <w:rPr>
          <w:rFonts w:ascii="Times New Roman" w:hAnsi="Times New Roman" w:cs="Times New Roman"/>
          <w:sz w:val="24"/>
          <w:szCs w:val="24"/>
        </w:rPr>
        <w:t>Firstly, I</w:t>
      </w:r>
      <w:r w:rsidRPr="00F5673B">
        <w:rPr>
          <w:rFonts w:ascii="Times New Roman" w:hAnsi="Times New Roman" w:cs="Times New Roman"/>
          <w:sz w:val="24"/>
          <w:szCs w:val="24"/>
        </w:rPr>
        <w:t xml:space="preserve"> describe what CCs are, how they work, and what are the ML risks posed by them. </w:t>
      </w:r>
      <w:r w:rsidR="007E5589">
        <w:rPr>
          <w:rFonts w:ascii="Times New Roman" w:hAnsi="Times New Roman" w:cs="Times New Roman"/>
          <w:sz w:val="24"/>
          <w:szCs w:val="24"/>
        </w:rPr>
        <w:t>Secondly,</w:t>
      </w:r>
      <w:r w:rsidRPr="00F5673B">
        <w:rPr>
          <w:rFonts w:ascii="Times New Roman" w:hAnsi="Times New Roman" w:cs="Times New Roman"/>
          <w:sz w:val="24"/>
          <w:szCs w:val="24"/>
        </w:rPr>
        <w:t xml:space="preserve"> I describe how the coverage of CCs under the EU AML regulatory regime evolved until the enactment of AMLD5. </w:t>
      </w:r>
      <w:r w:rsidR="007E5589">
        <w:rPr>
          <w:rFonts w:ascii="Times New Roman" w:hAnsi="Times New Roman" w:cs="Times New Roman"/>
          <w:sz w:val="24"/>
          <w:szCs w:val="24"/>
        </w:rPr>
        <w:t>Thirdly</w:t>
      </w:r>
      <w:r w:rsidRPr="00F5673B">
        <w:rPr>
          <w:rFonts w:ascii="Times New Roman" w:hAnsi="Times New Roman" w:cs="Times New Roman"/>
          <w:sz w:val="24"/>
          <w:szCs w:val="24"/>
        </w:rPr>
        <w:t xml:space="preserve">, I outline the shortcomings in AMLD5’s effort to provide the harmonization of AML policies targeting CCs in the EU. The main issues raised are its ability to cover Initial Token Offerings (ITOs), Initial Coin Offerings (ICOs), crypto-to-crypto exchange services and Tumbler services. Afterwards, I analyse, from the perspective of CCs, the EU AML regulatory regime’s limitations when it comes to enforcement and jurisdictional matters between EU Member States. Finally, there will be a conclusion where I express my final remarks on the subject and give my opinion on some of the issues explored </w:t>
      </w:r>
      <w:r w:rsidR="007E5589" w:rsidRPr="00F5673B">
        <w:rPr>
          <w:rFonts w:ascii="Times New Roman" w:hAnsi="Times New Roman" w:cs="Times New Roman"/>
          <w:sz w:val="24"/>
          <w:szCs w:val="24"/>
        </w:rPr>
        <w:t>during</w:t>
      </w:r>
      <w:r w:rsidRPr="00F5673B">
        <w:rPr>
          <w:rFonts w:ascii="Times New Roman" w:hAnsi="Times New Roman" w:cs="Times New Roman"/>
          <w:sz w:val="24"/>
          <w:szCs w:val="24"/>
        </w:rPr>
        <w:t xml:space="preserve"> this </w:t>
      </w:r>
      <w:r w:rsidR="007E5589">
        <w:rPr>
          <w:rFonts w:ascii="Times New Roman" w:hAnsi="Times New Roman" w:cs="Times New Roman"/>
          <w:sz w:val="24"/>
          <w:szCs w:val="24"/>
        </w:rPr>
        <w:t>paper</w:t>
      </w:r>
      <w:r w:rsidR="006C1A77">
        <w:rPr>
          <w:rFonts w:ascii="Times New Roman" w:hAnsi="Times New Roman" w:cs="Times New Roman"/>
          <w:sz w:val="24"/>
          <w:szCs w:val="24"/>
        </w:rPr>
        <w:t>.</w:t>
      </w:r>
    </w:p>
    <w:p w14:paraId="7FD5AFEA" w14:textId="77777777" w:rsidR="00AC357D" w:rsidRDefault="00AC357D" w:rsidP="00521FDF">
      <w:pPr>
        <w:spacing w:after="120" w:line="360" w:lineRule="auto"/>
        <w:jc w:val="both"/>
        <w:rPr>
          <w:rFonts w:ascii="Times New Roman" w:hAnsi="Times New Roman" w:cs="Times New Roman"/>
          <w:b/>
          <w:bCs/>
          <w:sz w:val="24"/>
          <w:szCs w:val="24"/>
        </w:rPr>
      </w:pPr>
    </w:p>
    <w:p w14:paraId="29DA7B42" w14:textId="45B3050D" w:rsidR="00521FDF" w:rsidRPr="00521FDF" w:rsidRDefault="00521FDF" w:rsidP="00521FDF">
      <w:pPr>
        <w:spacing w:after="120" w:line="360" w:lineRule="auto"/>
        <w:jc w:val="both"/>
        <w:rPr>
          <w:rFonts w:ascii="Times New Roman" w:hAnsi="Times New Roman" w:cs="Times New Roman"/>
          <w:b/>
          <w:bCs/>
          <w:sz w:val="24"/>
          <w:szCs w:val="24"/>
        </w:rPr>
      </w:pPr>
      <w:r w:rsidRPr="00521FDF">
        <w:rPr>
          <w:rFonts w:ascii="Times New Roman" w:hAnsi="Times New Roman" w:cs="Times New Roman"/>
          <w:b/>
          <w:bCs/>
          <w:sz w:val="24"/>
          <w:szCs w:val="24"/>
        </w:rPr>
        <w:t>Cryptocurrencies, Virtual Currencies and Tokens</w:t>
      </w:r>
    </w:p>
    <w:p w14:paraId="520A73D4" w14:textId="36B9DD92" w:rsidR="004771E8" w:rsidRPr="003412DB" w:rsidRDefault="00521FDF" w:rsidP="00C06D0C">
      <w:pPr>
        <w:spacing w:after="120" w:line="360" w:lineRule="auto"/>
        <w:ind w:firstLine="709"/>
        <w:jc w:val="both"/>
        <w:rPr>
          <w:rFonts w:ascii="Times New Roman" w:hAnsi="Times New Roman" w:cs="Times New Roman"/>
          <w:iCs/>
          <w:sz w:val="18"/>
          <w:szCs w:val="18"/>
          <w:lang w:val="en-US"/>
        </w:rPr>
      </w:pPr>
      <w:r w:rsidRPr="00521FDF">
        <w:rPr>
          <w:rFonts w:ascii="Times New Roman" w:hAnsi="Times New Roman" w:cs="Times New Roman"/>
          <w:sz w:val="24"/>
          <w:szCs w:val="24"/>
        </w:rPr>
        <w:t xml:space="preserve">The European Central Bank’s (ECB) report on </w:t>
      </w:r>
      <w:r w:rsidR="00ED710D">
        <w:rPr>
          <w:rFonts w:ascii="Times New Roman" w:hAnsi="Times New Roman" w:cs="Times New Roman"/>
          <w:sz w:val="24"/>
          <w:szCs w:val="24"/>
        </w:rPr>
        <w:t>Virtual Currency (</w:t>
      </w:r>
      <w:r w:rsidRPr="00521FDF">
        <w:rPr>
          <w:rFonts w:ascii="Times New Roman" w:hAnsi="Times New Roman" w:cs="Times New Roman"/>
          <w:sz w:val="24"/>
          <w:szCs w:val="24"/>
        </w:rPr>
        <w:t>VC</w:t>
      </w:r>
      <w:r w:rsidR="00ED710D">
        <w:rPr>
          <w:rFonts w:ascii="Times New Roman" w:hAnsi="Times New Roman" w:cs="Times New Roman"/>
          <w:sz w:val="24"/>
          <w:szCs w:val="24"/>
        </w:rPr>
        <w:t>)</w:t>
      </w:r>
      <w:r w:rsidRPr="00521FDF">
        <w:rPr>
          <w:rFonts w:ascii="Times New Roman" w:hAnsi="Times New Roman" w:cs="Times New Roman"/>
          <w:sz w:val="24"/>
          <w:szCs w:val="24"/>
        </w:rPr>
        <w:t xml:space="preserve"> Schemes (ECB report) classifies VCs in three categories: “[c]</w:t>
      </w:r>
      <w:proofErr w:type="spellStart"/>
      <w:r w:rsidRPr="00521FDF">
        <w:rPr>
          <w:rFonts w:ascii="Times New Roman" w:hAnsi="Times New Roman" w:cs="Times New Roman"/>
          <w:sz w:val="24"/>
          <w:szCs w:val="24"/>
        </w:rPr>
        <w:t>losed</w:t>
      </w:r>
      <w:proofErr w:type="spellEnd"/>
      <w:r w:rsidRPr="00521FDF">
        <w:rPr>
          <w:rFonts w:ascii="Times New Roman" w:hAnsi="Times New Roman" w:cs="Times New Roman"/>
          <w:sz w:val="24"/>
          <w:szCs w:val="24"/>
        </w:rPr>
        <w:t xml:space="preserve"> [VC] schemes”, “[VC] schemes with unidirectional flow” and “[VC] schemes with bidirectional flow”. Closed VC schemes are usually linked to online games. The amount of virtual money earned is correspondent to the players’ performance in the game. One example is World of Warcraft gold, which is then used to buy in</w:t>
      </w:r>
      <w:r>
        <w:rPr>
          <w:rFonts w:ascii="Times New Roman" w:hAnsi="Times New Roman" w:cs="Times New Roman"/>
          <w:sz w:val="24"/>
          <w:szCs w:val="24"/>
        </w:rPr>
        <w:t>-</w:t>
      </w:r>
      <w:r w:rsidRPr="00521FDF">
        <w:rPr>
          <w:rFonts w:ascii="Times New Roman" w:hAnsi="Times New Roman" w:cs="Times New Roman"/>
          <w:sz w:val="24"/>
          <w:szCs w:val="24"/>
        </w:rPr>
        <w:t xml:space="preserve">game goods and services (e.g., </w:t>
      </w:r>
      <w:proofErr w:type="spellStart"/>
      <w:r w:rsidRPr="00521FDF">
        <w:rPr>
          <w:rFonts w:ascii="Times New Roman" w:hAnsi="Times New Roman" w:cs="Times New Roman"/>
          <w:sz w:val="24"/>
          <w:szCs w:val="24"/>
        </w:rPr>
        <w:t>armor</w:t>
      </w:r>
      <w:proofErr w:type="spellEnd"/>
      <w:r w:rsidRPr="00521FDF">
        <w:rPr>
          <w:rFonts w:ascii="Times New Roman" w:hAnsi="Times New Roman" w:cs="Times New Roman"/>
          <w:sz w:val="24"/>
          <w:szCs w:val="24"/>
        </w:rPr>
        <w:t xml:space="preserve"> and transport). Players are not allowed to sell this type of virtual money for real-life cash. VC schemes with unidirectional flow are those which are bought using fiat currency for a pre-established purpose, but which cannot be switched back into fiat currency later. One example is the, now extinct, Facebook Credit, which was used to buy virtual goods on the Facebook platform. VC schemes with bidirectional flow are the focus of this </w:t>
      </w:r>
      <w:r w:rsidR="004771E8">
        <w:rPr>
          <w:rFonts w:ascii="Times New Roman" w:hAnsi="Times New Roman" w:cs="Times New Roman"/>
          <w:sz w:val="24"/>
          <w:szCs w:val="24"/>
        </w:rPr>
        <w:t>paper</w:t>
      </w:r>
      <w:r w:rsidRPr="00521FDF">
        <w:rPr>
          <w:rFonts w:ascii="Times New Roman" w:hAnsi="Times New Roman" w:cs="Times New Roman"/>
          <w:sz w:val="24"/>
          <w:szCs w:val="24"/>
        </w:rPr>
        <w:t>. This type of VC can be exchanged back and forth from and to fiat currency at the exchange rate value and be used to buy any type of virtual of real-life assets</w:t>
      </w:r>
      <w:r w:rsidR="004771E8" w:rsidRPr="003412DB">
        <w:rPr>
          <w:rStyle w:val="FootnoteReference"/>
          <w:rFonts w:ascii="Times New Roman" w:hAnsi="Times New Roman" w:cs="Times New Roman"/>
          <w:sz w:val="24"/>
          <w:szCs w:val="24"/>
          <w:lang w:val="en-US"/>
        </w:rPr>
        <w:footnoteReference w:id="18"/>
      </w:r>
      <w:r w:rsidR="004771E8">
        <w:rPr>
          <w:rFonts w:ascii="Times New Roman" w:hAnsi="Times New Roman" w:cs="Times New Roman"/>
          <w:sz w:val="24"/>
          <w:szCs w:val="24"/>
        </w:rPr>
        <w:t>.</w:t>
      </w:r>
      <w:r w:rsidRPr="00521FDF">
        <w:rPr>
          <w:rFonts w:ascii="Times New Roman" w:hAnsi="Times New Roman" w:cs="Times New Roman"/>
          <w:sz w:val="24"/>
          <w:szCs w:val="24"/>
        </w:rPr>
        <w:t xml:space="preserve"> The most popularly famous VC scheme with bidirectional flow is Bitcoin (BTC), the first known </w:t>
      </w:r>
      <w:r w:rsidR="00E26EF7">
        <w:rPr>
          <w:rFonts w:ascii="Times New Roman" w:hAnsi="Times New Roman" w:cs="Times New Roman"/>
          <w:sz w:val="24"/>
          <w:szCs w:val="24"/>
        </w:rPr>
        <w:t>CC</w:t>
      </w:r>
      <w:r w:rsidR="009636BE">
        <w:rPr>
          <w:rFonts w:ascii="Times New Roman" w:hAnsi="Times New Roman" w:cs="Times New Roman"/>
          <w:sz w:val="24"/>
          <w:szCs w:val="24"/>
        </w:rPr>
        <w:t>.</w:t>
      </w:r>
    </w:p>
    <w:p w14:paraId="6AE9D735" w14:textId="5BEDF53A" w:rsidR="00387645" w:rsidRDefault="00387645" w:rsidP="00387645">
      <w:pPr>
        <w:spacing w:after="120" w:line="360" w:lineRule="auto"/>
        <w:ind w:firstLine="709"/>
        <w:jc w:val="both"/>
        <w:rPr>
          <w:rFonts w:ascii="Times New Roman" w:hAnsi="Times New Roman" w:cs="Times New Roman"/>
          <w:sz w:val="24"/>
          <w:szCs w:val="24"/>
        </w:rPr>
      </w:pPr>
      <w:r w:rsidRPr="00387645">
        <w:rPr>
          <w:rFonts w:ascii="Times New Roman" w:hAnsi="Times New Roman" w:cs="Times New Roman"/>
          <w:sz w:val="24"/>
          <w:szCs w:val="24"/>
        </w:rPr>
        <w:lastRenderedPageBreak/>
        <w:t>CCs are bought mainly from exchange service providers. There are two main types</w:t>
      </w:r>
      <w:r>
        <w:rPr>
          <w:rFonts w:ascii="Times New Roman" w:hAnsi="Times New Roman" w:cs="Times New Roman"/>
          <w:sz w:val="24"/>
          <w:szCs w:val="24"/>
        </w:rPr>
        <w:t xml:space="preserve"> </w:t>
      </w:r>
      <w:r w:rsidRPr="00387645">
        <w:rPr>
          <w:rFonts w:ascii="Times New Roman" w:hAnsi="Times New Roman" w:cs="Times New Roman"/>
          <w:sz w:val="24"/>
          <w:szCs w:val="24"/>
        </w:rPr>
        <w:t>of exchange service providers: centralized and decentralized. Centralized exchange service providers are the most common</w:t>
      </w:r>
      <w:r>
        <w:rPr>
          <w:rFonts w:ascii="Times New Roman" w:hAnsi="Times New Roman" w:cs="Times New Roman"/>
          <w:sz w:val="24"/>
          <w:szCs w:val="24"/>
        </w:rPr>
        <w:t xml:space="preserve"> </w:t>
      </w:r>
      <w:r w:rsidRPr="00387645">
        <w:rPr>
          <w:rFonts w:ascii="Times New Roman" w:hAnsi="Times New Roman" w:cs="Times New Roman"/>
          <w:sz w:val="24"/>
          <w:szCs w:val="24"/>
        </w:rPr>
        <w:t>form to acquire CCs: the prospective buyer simply needs to access them and perform the purchase.</w:t>
      </w:r>
      <w:r>
        <w:rPr>
          <w:rFonts w:ascii="Times New Roman" w:hAnsi="Times New Roman" w:cs="Times New Roman"/>
          <w:sz w:val="24"/>
          <w:szCs w:val="24"/>
        </w:rPr>
        <w:t xml:space="preserve"> </w:t>
      </w:r>
      <w:r w:rsidRPr="00387645">
        <w:rPr>
          <w:rFonts w:ascii="Times New Roman" w:hAnsi="Times New Roman" w:cs="Times New Roman"/>
          <w:sz w:val="24"/>
          <w:szCs w:val="24"/>
        </w:rPr>
        <w:t>Decentralized exchange service providers are platforms in which users that communicate through</w:t>
      </w:r>
      <w:r>
        <w:rPr>
          <w:rFonts w:ascii="Times New Roman" w:hAnsi="Times New Roman" w:cs="Times New Roman"/>
          <w:sz w:val="24"/>
          <w:szCs w:val="24"/>
        </w:rPr>
        <w:t xml:space="preserve"> </w:t>
      </w:r>
      <w:r w:rsidRPr="00387645">
        <w:rPr>
          <w:rFonts w:ascii="Times New Roman" w:hAnsi="Times New Roman" w:cs="Times New Roman"/>
          <w:sz w:val="24"/>
          <w:szCs w:val="24"/>
        </w:rPr>
        <w:t>the interface provided seek to match their needs with that of the other users, so as they can then</w:t>
      </w:r>
      <w:r>
        <w:rPr>
          <w:rFonts w:ascii="Times New Roman" w:hAnsi="Times New Roman" w:cs="Times New Roman"/>
          <w:sz w:val="24"/>
          <w:szCs w:val="24"/>
        </w:rPr>
        <w:t xml:space="preserve"> </w:t>
      </w:r>
      <w:r w:rsidRPr="00387645">
        <w:rPr>
          <w:rFonts w:ascii="Times New Roman" w:hAnsi="Times New Roman" w:cs="Times New Roman"/>
          <w:sz w:val="24"/>
          <w:szCs w:val="24"/>
        </w:rPr>
        <w:t>trade</w:t>
      </w:r>
      <w:r w:rsidRPr="003412DB">
        <w:rPr>
          <w:rStyle w:val="FootnoteReference"/>
          <w:rFonts w:ascii="Times New Roman" w:hAnsi="Times New Roman" w:cs="Times New Roman"/>
          <w:sz w:val="24"/>
          <w:szCs w:val="24"/>
          <w:lang w:val="en-US"/>
        </w:rPr>
        <w:footnoteReference w:id="19"/>
      </w:r>
      <w:r w:rsidRPr="00387645">
        <w:rPr>
          <w:rFonts w:ascii="Times New Roman" w:hAnsi="Times New Roman" w:cs="Times New Roman"/>
          <w:sz w:val="24"/>
          <w:szCs w:val="24"/>
        </w:rPr>
        <w:t>.</w:t>
      </w:r>
    </w:p>
    <w:p w14:paraId="6A88CEF8" w14:textId="6C146680" w:rsidR="00387645" w:rsidRDefault="00387645" w:rsidP="00387645">
      <w:pPr>
        <w:spacing w:after="120" w:line="360" w:lineRule="auto"/>
        <w:ind w:firstLine="709"/>
        <w:jc w:val="both"/>
        <w:rPr>
          <w:rFonts w:ascii="Times New Roman" w:hAnsi="Times New Roman" w:cs="Times New Roman"/>
          <w:sz w:val="24"/>
          <w:szCs w:val="24"/>
        </w:rPr>
      </w:pPr>
      <w:r w:rsidRPr="00387645">
        <w:rPr>
          <w:rFonts w:ascii="Times New Roman" w:hAnsi="Times New Roman" w:cs="Times New Roman"/>
          <w:sz w:val="24"/>
          <w:szCs w:val="24"/>
        </w:rPr>
        <w:t>CCs are exchanged on a peer-to-peer basis, meaning the users do not depend on any financial institution or clearing facilities to complete the necessary steps for performing CC-related transactions</w:t>
      </w:r>
      <w:r w:rsidRPr="003412DB">
        <w:rPr>
          <w:rStyle w:val="FootnoteReference"/>
          <w:rFonts w:ascii="Times New Roman" w:hAnsi="Times New Roman" w:cs="Times New Roman"/>
          <w:sz w:val="24"/>
          <w:szCs w:val="24"/>
          <w:lang w:val="en-US"/>
        </w:rPr>
        <w:footnoteReference w:id="20"/>
      </w:r>
      <w:r w:rsidRPr="00387645">
        <w:rPr>
          <w:rFonts w:ascii="Times New Roman" w:hAnsi="Times New Roman" w:cs="Times New Roman"/>
          <w:sz w:val="24"/>
          <w:szCs w:val="24"/>
        </w:rPr>
        <w:t>. CCs’ owners have two keys, a private and a public key. The public key is the one used to receive CCs from other owners, resembling a bank account number. The private key is</w:t>
      </w:r>
      <w:r>
        <w:rPr>
          <w:rFonts w:ascii="Times New Roman" w:hAnsi="Times New Roman" w:cs="Times New Roman"/>
          <w:sz w:val="24"/>
          <w:szCs w:val="24"/>
        </w:rPr>
        <w:t xml:space="preserve"> </w:t>
      </w:r>
      <w:r w:rsidRPr="00387645">
        <w:rPr>
          <w:rFonts w:ascii="Times New Roman" w:hAnsi="Times New Roman" w:cs="Times New Roman"/>
          <w:sz w:val="24"/>
          <w:szCs w:val="24"/>
        </w:rPr>
        <w:t>used by the owners themselves to perform transactions, transferring CCs to other users, resembling a bank account password</w:t>
      </w:r>
      <w:r w:rsidRPr="003412DB">
        <w:rPr>
          <w:rStyle w:val="FootnoteReference"/>
          <w:rFonts w:ascii="Times New Roman" w:hAnsi="Times New Roman" w:cs="Times New Roman"/>
          <w:sz w:val="24"/>
          <w:szCs w:val="24"/>
          <w:lang w:val="en-US"/>
        </w:rPr>
        <w:footnoteReference w:id="21"/>
      </w:r>
      <w:r w:rsidRPr="00387645">
        <w:rPr>
          <w:rFonts w:ascii="Times New Roman" w:hAnsi="Times New Roman" w:cs="Times New Roman"/>
          <w:sz w:val="24"/>
          <w:szCs w:val="24"/>
        </w:rPr>
        <w:t>.</w:t>
      </w:r>
    </w:p>
    <w:p w14:paraId="36E23218" w14:textId="1382D37B" w:rsidR="00CB089A" w:rsidRDefault="00387645" w:rsidP="00CB089A">
      <w:pPr>
        <w:spacing w:after="120" w:line="360" w:lineRule="auto"/>
        <w:ind w:firstLine="709"/>
        <w:jc w:val="both"/>
        <w:rPr>
          <w:rFonts w:ascii="Times New Roman" w:hAnsi="Times New Roman" w:cs="Times New Roman"/>
          <w:sz w:val="24"/>
          <w:szCs w:val="24"/>
        </w:rPr>
      </w:pPr>
      <w:r w:rsidRPr="003A256A">
        <w:rPr>
          <w:rFonts w:ascii="Times New Roman" w:hAnsi="Times New Roman" w:cs="Times New Roman"/>
          <w:sz w:val="24"/>
          <w:szCs w:val="24"/>
        </w:rPr>
        <w:t>The private keys of CC users are stored in digital wallets. These digital wallets, when offered via software, provide the user with an interface to both perform transactions with and receive CCs from other users</w:t>
      </w:r>
      <w:r w:rsidR="003A256A" w:rsidRPr="003A256A">
        <w:rPr>
          <w:rStyle w:val="FootnoteReference"/>
          <w:rFonts w:ascii="Times New Roman" w:hAnsi="Times New Roman" w:cs="Times New Roman"/>
          <w:sz w:val="24"/>
          <w:szCs w:val="24"/>
          <w:lang w:val="en-US"/>
        </w:rPr>
        <w:footnoteReference w:id="22"/>
      </w:r>
      <w:r w:rsidRPr="003A256A">
        <w:rPr>
          <w:rFonts w:ascii="Times New Roman" w:hAnsi="Times New Roman" w:cs="Times New Roman"/>
          <w:sz w:val="24"/>
          <w:szCs w:val="24"/>
        </w:rPr>
        <w:t>. There are two types of wallet providers: custodian and non-custodian. Custodian wallet providers not only store the user’s private key but also control it. Non-custodian wallet providers let the users themselves control their private keys. This latter service can be provided by offering a hardware which stores the key or a software where the user manually enters the key</w:t>
      </w:r>
      <w:r w:rsidR="003A256A" w:rsidRPr="003A256A">
        <w:rPr>
          <w:rStyle w:val="FootnoteReference"/>
          <w:rFonts w:ascii="Times New Roman" w:hAnsi="Times New Roman" w:cs="Times New Roman"/>
          <w:sz w:val="24"/>
          <w:szCs w:val="24"/>
          <w:lang w:val="en-US"/>
        </w:rPr>
        <w:footnoteReference w:id="23"/>
      </w:r>
      <w:r w:rsidR="00D644C7">
        <w:rPr>
          <w:rFonts w:ascii="Times New Roman" w:hAnsi="Times New Roman" w:cs="Times New Roman"/>
          <w:sz w:val="24"/>
          <w:szCs w:val="24"/>
        </w:rPr>
        <w:t>.</w:t>
      </w:r>
    </w:p>
    <w:p w14:paraId="523C7FC5" w14:textId="75FE9908" w:rsidR="00B256A4" w:rsidRDefault="000E4ACA" w:rsidP="00B256A4">
      <w:pPr>
        <w:spacing w:after="120" w:line="360" w:lineRule="auto"/>
        <w:ind w:firstLine="709"/>
        <w:jc w:val="both"/>
        <w:rPr>
          <w:rFonts w:ascii="Times New Roman" w:hAnsi="Times New Roman" w:cs="Times New Roman"/>
          <w:sz w:val="24"/>
          <w:szCs w:val="24"/>
        </w:rPr>
      </w:pPr>
      <w:r w:rsidRPr="000E4ACA">
        <w:rPr>
          <w:rFonts w:ascii="Times New Roman" w:hAnsi="Times New Roman" w:cs="Times New Roman"/>
          <w:sz w:val="24"/>
          <w:szCs w:val="24"/>
        </w:rPr>
        <w:t>These transactions are recorded on a blockchain “that allows verification and recording of each transaction within the system in a publicly-distributed ledger”</w:t>
      </w:r>
      <w:r w:rsidR="00CB089A" w:rsidRPr="003412DB">
        <w:rPr>
          <w:rStyle w:val="FootnoteReference"/>
          <w:rFonts w:ascii="Times New Roman" w:hAnsi="Times New Roman" w:cs="Times New Roman"/>
          <w:sz w:val="24"/>
          <w:szCs w:val="24"/>
          <w:lang w:val="en-US"/>
        </w:rPr>
        <w:footnoteReference w:id="24"/>
      </w:r>
      <w:r w:rsidRPr="000E4ACA">
        <w:rPr>
          <w:rFonts w:ascii="Times New Roman" w:hAnsi="Times New Roman" w:cs="Times New Roman"/>
          <w:sz w:val="24"/>
          <w:szCs w:val="24"/>
        </w:rPr>
        <w:t xml:space="preserve"> – the Distributed Ledger Technology. However, the identity of the parties to the transaction is kept secret. Thus, CCs such as Bitcoin provide their users with “pseudonymity”</w:t>
      </w:r>
      <w:r w:rsidRPr="003412DB">
        <w:rPr>
          <w:rStyle w:val="FootnoteReference"/>
          <w:rFonts w:ascii="Times New Roman" w:hAnsi="Times New Roman" w:cs="Times New Roman"/>
          <w:sz w:val="24"/>
          <w:szCs w:val="24"/>
          <w:lang w:val="en-US"/>
        </w:rPr>
        <w:footnoteReference w:id="25"/>
      </w:r>
      <w:r w:rsidRPr="000E4ACA">
        <w:rPr>
          <w:rFonts w:ascii="Times New Roman" w:hAnsi="Times New Roman" w:cs="Times New Roman"/>
          <w:sz w:val="24"/>
          <w:szCs w:val="24"/>
        </w:rPr>
        <w:t xml:space="preserve">. On the other hand, another type of CCs, the so-called “privacy coins” – such as </w:t>
      </w:r>
      <w:proofErr w:type="spellStart"/>
      <w:r w:rsidRPr="000E4ACA">
        <w:rPr>
          <w:rFonts w:ascii="Times New Roman" w:hAnsi="Times New Roman" w:cs="Times New Roman"/>
          <w:sz w:val="24"/>
          <w:szCs w:val="24"/>
        </w:rPr>
        <w:t>Monero</w:t>
      </w:r>
      <w:proofErr w:type="spellEnd"/>
      <w:r w:rsidRPr="000E4ACA">
        <w:rPr>
          <w:rFonts w:ascii="Times New Roman" w:hAnsi="Times New Roman" w:cs="Times New Roman"/>
          <w:sz w:val="24"/>
          <w:szCs w:val="24"/>
        </w:rPr>
        <w:t xml:space="preserve"> (XMR) – are completely </w:t>
      </w:r>
      <w:r w:rsidRPr="000E4ACA">
        <w:rPr>
          <w:rFonts w:ascii="Times New Roman" w:hAnsi="Times New Roman" w:cs="Times New Roman"/>
          <w:sz w:val="24"/>
          <w:szCs w:val="24"/>
        </w:rPr>
        <w:lastRenderedPageBreak/>
        <w:t>anonymous</w:t>
      </w:r>
      <w:r w:rsidR="00B256A4">
        <w:rPr>
          <w:rFonts w:ascii="Times New Roman" w:hAnsi="Times New Roman" w:cs="Times New Roman"/>
          <w:sz w:val="24"/>
          <w:szCs w:val="24"/>
        </w:rPr>
        <w:t xml:space="preserve">. </w:t>
      </w:r>
      <w:r w:rsidR="00B256A4" w:rsidRPr="00B256A4">
        <w:rPr>
          <w:rFonts w:ascii="Times New Roman" w:hAnsi="Times New Roman" w:cs="Times New Roman"/>
          <w:sz w:val="24"/>
          <w:szCs w:val="24"/>
        </w:rPr>
        <w:t>The respective transactions recorded on the blockchain use a different public key for each transaction</w:t>
      </w:r>
      <w:r w:rsidRPr="003412DB">
        <w:rPr>
          <w:rStyle w:val="FootnoteReference"/>
          <w:rFonts w:ascii="Times New Roman" w:hAnsi="Times New Roman" w:cs="Times New Roman"/>
          <w:sz w:val="24"/>
          <w:szCs w:val="24"/>
          <w:lang w:val="en-US"/>
        </w:rPr>
        <w:footnoteReference w:id="26"/>
      </w:r>
      <w:r w:rsidRPr="000E4ACA">
        <w:rPr>
          <w:rFonts w:ascii="Times New Roman" w:hAnsi="Times New Roman" w:cs="Times New Roman"/>
          <w:sz w:val="24"/>
          <w:szCs w:val="24"/>
        </w:rPr>
        <w:t>.</w:t>
      </w:r>
    </w:p>
    <w:p w14:paraId="147EFD5B" w14:textId="65189D1F" w:rsidR="00742694" w:rsidRPr="003412DB" w:rsidRDefault="00742694" w:rsidP="00742694">
      <w:pPr>
        <w:spacing w:after="120" w:line="360" w:lineRule="auto"/>
        <w:ind w:firstLine="709"/>
        <w:jc w:val="both"/>
        <w:rPr>
          <w:rFonts w:ascii="Times New Roman" w:hAnsi="Times New Roman" w:cs="Times New Roman"/>
          <w:iCs/>
          <w:sz w:val="24"/>
          <w:szCs w:val="24"/>
        </w:rPr>
      </w:pPr>
      <w:r w:rsidRPr="00742694">
        <w:rPr>
          <w:rFonts w:ascii="Times New Roman" w:hAnsi="Times New Roman" w:cs="Times New Roman"/>
          <w:sz w:val="24"/>
          <w:szCs w:val="24"/>
        </w:rPr>
        <w:t>The blockchain technology also gave rise to the process of “tokenization”. “</w:t>
      </w:r>
      <w:r w:rsidR="00B256A4">
        <w:rPr>
          <w:rFonts w:ascii="Times New Roman" w:hAnsi="Times New Roman" w:cs="Times New Roman"/>
          <w:sz w:val="24"/>
          <w:szCs w:val="24"/>
        </w:rPr>
        <w:t>T</w:t>
      </w:r>
      <w:r w:rsidRPr="00742694">
        <w:rPr>
          <w:rFonts w:ascii="Times New Roman" w:hAnsi="Times New Roman" w:cs="Times New Roman"/>
          <w:sz w:val="24"/>
          <w:szCs w:val="24"/>
        </w:rPr>
        <w:t>okens” are units of value. There are three types of tokens: currency tokens, utility tokens and investment tokens. Utility tokens are purpose-specific, their respective value is claimed upon the fulfilment, by the issuer, of the obligation to which they are attached. Investment tokens play the role of a fundraising facility. The issuer publicly offers such tokens and, in exchange, the acquirer of receives a return on this investment, such as dividends, resembling the function of securities in the stock markets. Currency tokens (CCs) are tokens which are used as means of payment for “anyone who is willing to accept them”. As CCs do not have the support of a central authority, their value comes from the design of the hack-proof underlying technology</w:t>
      </w:r>
      <w:r w:rsidRPr="003412DB">
        <w:rPr>
          <w:rStyle w:val="FootnoteReference"/>
          <w:rFonts w:ascii="Times New Roman" w:hAnsi="Times New Roman" w:cs="Times New Roman"/>
          <w:sz w:val="24"/>
          <w:szCs w:val="24"/>
          <w:lang w:val="en-US"/>
        </w:rPr>
        <w:footnoteReference w:id="27"/>
      </w:r>
      <w:r w:rsidRPr="00742694">
        <w:rPr>
          <w:rFonts w:ascii="Times New Roman" w:hAnsi="Times New Roman" w:cs="Times New Roman"/>
          <w:sz w:val="24"/>
          <w:szCs w:val="24"/>
        </w:rPr>
        <w:t>. Fitting it in the classification of VCs outlined by the ECB report, currency tokens (CCs) would</w:t>
      </w:r>
      <w:r w:rsidR="00734DA3">
        <w:rPr>
          <w:rFonts w:ascii="Times New Roman" w:hAnsi="Times New Roman" w:cs="Times New Roman"/>
          <w:sz w:val="24"/>
          <w:szCs w:val="24"/>
        </w:rPr>
        <w:t xml:space="preserve"> </w:t>
      </w:r>
      <w:r w:rsidRPr="00742694">
        <w:rPr>
          <w:rFonts w:ascii="Times New Roman" w:hAnsi="Times New Roman" w:cs="Times New Roman"/>
          <w:sz w:val="24"/>
          <w:szCs w:val="24"/>
        </w:rPr>
        <w:t xml:space="preserve">fall under the category of VC schemes with bidirectional flow. Since the focus of this </w:t>
      </w:r>
      <w:r w:rsidR="00BD387C">
        <w:rPr>
          <w:rFonts w:ascii="Times New Roman" w:hAnsi="Times New Roman" w:cs="Times New Roman"/>
          <w:sz w:val="24"/>
          <w:szCs w:val="24"/>
        </w:rPr>
        <w:t>paper</w:t>
      </w:r>
      <w:r w:rsidRPr="00742694">
        <w:rPr>
          <w:rFonts w:ascii="Times New Roman" w:hAnsi="Times New Roman" w:cs="Times New Roman"/>
          <w:sz w:val="24"/>
          <w:szCs w:val="24"/>
        </w:rPr>
        <w:t xml:space="preserve"> is on CCs, from here onwards I will refer to mostly to CCs, but I will still use the term “VCs” when it is not possible circumscribe the idea or source referred to CCs. I will use the term “tokens” when I want to refer to more than one of the purposes which these units of value can have</w:t>
      </w:r>
      <w:r w:rsidR="00734DA3">
        <w:rPr>
          <w:rFonts w:ascii="Times New Roman" w:hAnsi="Times New Roman" w:cs="Times New Roman"/>
          <w:sz w:val="24"/>
          <w:szCs w:val="24"/>
        </w:rPr>
        <w:t>.</w:t>
      </w:r>
    </w:p>
    <w:p w14:paraId="61C443D3" w14:textId="0E701519" w:rsidR="00742694" w:rsidRDefault="00742694" w:rsidP="000E4ACA">
      <w:pPr>
        <w:spacing w:after="120" w:line="360" w:lineRule="auto"/>
        <w:ind w:firstLine="709"/>
        <w:jc w:val="both"/>
        <w:rPr>
          <w:rFonts w:ascii="Times New Roman" w:hAnsi="Times New Roman" w:cs="Times New Roman"/>
          <w:sz w:val="24"/>
          <w:szCs w:val="24"/>
        </w:rPr>
      </w:pPr>
      <w:r w:rsidRPr="00742694">
        <w:rPr>
          <w:rFonts w:ascii="Times New Roman" w:hAnsi="Times New Roman" w:cs="Times New Roman"/>
          <w:sz w:val="24"/>
          <w:szCs w:val="24"/>
        </w:rPr>
        <w:t xml:space="preserve">Legally, CCs can be characterized from diverse perspectives. To give a few examples, the </w:t>
      </w:r>
      <w:r>
        <w:rPr>
          <w:rFonts w:ascii="Times New Roman" w:hAnsi="Times New Roman" w:cs="Times New Roman"/>
          <w:sz w:val="24"/>
          <w:szCs w:val="24"/>
        </w:rPr>
        <w:t>Court of Justice of the European Union (</w:t>
      </w:r>
      <w:r w:rsidRPr="00742694">
        <w:rPr>
          <w:rFonts w:ascii="Times New Roman" w:hAnsi="Times New Roman" w:cs="Times New Roman"/>
          <w:sz w:val="24"/>
          <w:szCs w:val="24"/>
        </w:rPr>
        <w:t>CJEU</w:t>
      </w:r>
      <w:r>
        <w:rPr>
          <w:rFonts w:ascii="Times New Roman" w:hAnsi="Times New Roman" w:cs="Times New Roman"/>
          <w:sz w:val="24"/>
          <w:szCs w:val="24"/>
        </w:rPr>
        <w:t>)</w:t>
      </w:r>
      <w:r w:rsidRPr="00742694">
        <w:rPr>
          <w:rFonts w:ascii="Times New Roman" w:hAnsi="Times New Roman" w:cs="Times New Roman"/>
          <w:sz w:val="24"/>
          <w:szCs w:val="24"/>
        </w:rPr>
        <w:t>, for tax purposes, decided in Case C</w:t>
      </w:r>
      <w:r w:rsidRPr="00742694">
        <w:rPr>
          <w:rFonts w:ascii="Times New Roman" w:hAnsi="Times New Roman" w:cs="Times New Roman"/>
          <w:sz w:val="24"/>
          <w:szCs w:val="24"/>
        </w:rPr>
        <w:noBreakHyphen/>
        <w:t xml:space="preserve">264/14 </w:t>
      </w:r>
      <w:proofErr w:type="spellStart"/>
      <w:r w:rsidRPr="00742694">
        <w:rPr>
          <w:rFonts w:ascii="Times New Roman" w:hAnsi="Times New Roman" w:cs="Times New Roman"/>
          <w:i/>
          <w:iCs/>
          <w:sz w:val="24"/>
          <w:szCs w:val="24"/>
        </w:rPr>
        <w:t>Skatteverket</w:t>
      </w:r>
      <w:proofErr w:type="spellEnd"/>
      <w:r w:rsidRPr="00742694">
        <w:rPr>
          <w:rFonts w:ascii="Times New Roman" w:hAnsi="Times New Roman" w:cs="Times New Roman"/>
          <w:i/>
          <w:iCs/>
          <w:sz w:val="24"/>
          <w:szCs w:val="24"/>
        </w:rPr>
        <w:t xml:space="preserve"> v David </w:t>
      </w:r>
      <w:proofErr w:type="spellStart"/>
      <w:r w:rsidRPr="00742694">
        <w:rPr>
          <w:rFonts w:ascii="Times New Roman" w:hAnsi="Times New Roman" w:cs="Times New Roman"/>
          <w:i/>
          <w:iCs/>
          <w:sz w:val="24"/>
          <w:szCs w:val="24"/>
        </w:rPr>
        <w:t>Hedqvist</w:t>
      </w:r>
      <w:proofErr w:type="spellEnd"/>
      <w:r w:rsidRPr="00742694">
        <w:rPr>
          <w:rFonts w:ascii="Times New Roman" w:hAnsi="Times New Roman" w:cs="Times New Roman"/>
          <w:sz w:val="24"/>
          <w:szCs w:val="24"/>
        </w:rPr>
        <w:t xml:space="preserve"> that CCs are equal to legal tender and, therefore, its respective exchanges were exempt from the corresponding value-added tax</w:t>
      </w:r>
      <w:r w:rsidRPr="003412DB">
        <w:rPr>
          <w:rStyle w:val="FootnoteReference"/>
          <w:rFonts w:ascii="Times New Roman" w:hAnsi="Times New Roman" w:cs="Times New Roman"/>
          <w:sz w:val="24"/>
          <w:szCs w:val="24"/>
          <w:lang w:val="en-US"/>
        </w:rPr>
        <w:footnoteReference w:id="28"/>
      </w:r>
      <w:r w:rsidRPr="00742694">
        <w:rPr>
          <w:rFonts w:ascii="Times New Roman" w:hAnsi="Times New Roman" w:cs="Times New Roman"/>
          <w:sz w:val="24"/>
          <w:szCs w:val="24"/>
        </w:rPr>
        <w:t>. In doing so, the CJEU stated that “it is common ground that the ‘bitcoin’ virtual currency has no other purpose than to be a means of payment and that it is accepted for that purpose by certain operators”</w:t>
      </w:r>
      <w:r w:rsidRPr="003412DB">
        <w:rPr>
          <w:rStyle w:val="FootnoteReference"/>
          <w:rFonts w:ascii="Times New Roman" w:hAnsi="Times New Roman" w:cs="Times New Roman"/>
          <w:sz w:val="24"/>
          <w:szCs w:val="24"/>
          <w:lang w:val="en-US"/>
        </w:rPr>
        <w:footnoteReference w:id="29"/>
      </w:r>
      <w:r w:rsidRPr="00742694">
        <w:rPr>
          <w:rFonts w:ascii="Times New Roman" w:hAnsi="Times New Roman" w:cs="Times New Roman"/>
          <w:sz w:val="24"/>
          <w:szCs w:val="24"/>
        </w:rPr>
        <w:t xml:space="preserve">. The High Court of Justice of England and Wales granted an injunction in </w:t>
      </w:r>
      <w:r w:rsidRPr="00742694">
        <w:rPr>
          <w:rFonts w:ascii="Times New Roman" w:hAnsi="Times New Roman" w:cs="Times New Roman"/>
          <w:i/>
          <w:iCs/>
          <w:sz w:val="24"/>
          <w:szCs w:val="24"/>
        </w:rPr>
        <w:t xml:space="preserve">AA v Persons Unknown &amp; </w:t>
      </w:r>
      <w:proofErr w:type="spellStart"/>
      <w:r w:rsidRPr="00742694">
        <w:rPr>
          <w:rFonts w:ascii="Times New Roman" w:hAnsi="Times New Roman" w:cs="Times New Roman"/>
          <w:i/>
          <w:iCs/>
          <w:sz w:val="24"/>
          <w:szCs w:val="24"/>
        </w:rPr>
        <w:t>Ors</w:t>
      </w:r>
      <w:proofErr w:type="spellEnd"/>
      <w:r w:rsidRPr="00742694">
        <w:rPr>
          <w:rFonts w:ascii="Times New Roman" w:hAnsi="Times New Roman" w:cs="Times New Roman"/>
          <w:i/>
          <w:iCs/>
          <w:sz w:val="24"/>
          <w:szCs w:val="24"/>
        </w:rPr>
        <w:t>, Re Bitcoin</w:t>
      </w:r>
      <w:r w:rsidRPr="00742694">
        <w:rPr>
          <w:rFonts w:ascii="Times New Roman" w:hAnsi="Times New Roman" w:cs="Times New Roman"/>
          <w:sz w:val="24"/>
          <w:szCs w:val="24"/>
        </w:rPr>
        <w:t xml:space="preserve"> on grounds that CCs are property and, as a consequence, recoverable assets, given that its characteristics meet those necessary for being legally defined as such under the English </w:t>
      </w:r>
      <w:r w:rsidRPr="00742694">
        <w:rPr>
          <w:rFonts w:ascii="Times New Roman" w:hAnsi="Times New Roman" w:cs="Times New Roman"/>
          <w:sz w:val="24"/>
          <w:szCs w:val="24"/>
        </w:rPr>
        <w:lastRenderedPageBreak/>
        <w:t>common law of property</w:t>
      </w:r>
      <w:r w:rsidRPr="003412DB">
        <w:rPr>
          <w:rStyle w:val="FootnoteReference"/>
          <w:rFonts w:ascii="Times New Roman" w:hAnsi="Times New Roman" w:cs="Times New Roman"/>
          <w:sz w:val="24"/>
          <w:szCs w:val="24"/>
          <w:lang w:val="en-US"/>
        </w:rPr>
        <w:footnoteReference w:id="30"/>
      </w:r>
      <w:r>
        <w:rPr>
          <w:rFonts w:ascii="Times New Roman" w:hAnsi="Times New Roman" w:cs="Times New Roman"/>
          <w:sz w:val="24"/>
          <w:szCs w:val="24"/>
        </w:rPr>
        <w:t>.</w:t>
      </w:r>
      <w:r w:rsidRPr="00742694">
        <w:rPr>
          <w:rFonts w:ascii="Times New Roman" w:hAnsi="Times New Roman" w:cs="Times New Roman"/>
          <w:sz w:val="24"/>
          <w:szCs w:val="24"/>
        </w:rPr>
        <w:t xml:space="preserve"> The Tribunal Supremo de </w:t>
      </w:r>
      <w:proofErr w:type="spellStart"/>
      <w:r w:rsidRPr="00742694">
        <w:rPr>
          <w:rFonts w:ascii="Times New Roman" w:hAnsi="Times New Roman" w:cs="Times New Roman"/>
          <w:sz w:val="24"/>
          <w:szCs w:val="24"/>
        </w:rPr>
        <w:t>España</w:t>
      </w:r>
      <w:proofErr w:type="spellEnd"/>
      <w:r w:rsidRPr="00742694">
        <w:rPr>
          <w:rFonts w:ascii="Times New Roman" w:hAnsi="Times New Roman" w:cs="Times New Roman"/>
          <w:sz w:val="24"/>
          <w:szCs w:val="24"/>
        </w:rPr>
        <w:t>, on the other hand, defined CCs as being intangible assets which thus could not themselves be reclaimed, only compensated for</w:t>
      </w:r>
      <w:r w:rsidRPr="003412DB">
        <w:rPr>
          <w:rStyle w:val="FootnoteReference"/>
          <w:rFonts w:ascii="Times New Roman" w:hAnsi="Times New Roman" w:cs="Times New Roman"/>
          <w:sz w:val="24"/>
          <w:szCs w:val="24"/>
          <w:lang w:val="en-US"/>
        </w:rPr>
        <w:footnoteReference w:id="31"/>
      </w:r>
      <w:r w:rsidRPr="00742694">
        <w:rPr>
          <w:rFonts w:ascii="Times New Roman" w:hAnsi="Times New Roman" w:cs="Times New Roman"/>
          <w:sz w:val="24"/>
          <w:szCs w:val="24"/>
        </w:rPr>
        <w:t>. In France, the Tribunal de Commerce de Nanterre decided in the same vein, adding that CCs are not only intangible assets, but also fungible</w:t>
      </w:r>
      <w:r w:rsidRPr="003412DB">
        <w:rPr>
          <w:rStyle w:val="FootnoteReference"/>
          <w:rFonts w:ascii="Times New Roman" w:hAnsi="Times New Roman" w:cs="Times New Roman"/>
          <w:sz w:val="24"/>
          <w:szCs w:val="24"/>
          <w:lang w:val="en-US"/>
        </w:rPr>
        <w:footnoteReference w:id="32"/>
      </w:r>
      <w:r w:rsidR="00A76CB7">
        <w:rPr>
          <w:rFonts w:ascii="Times New Roman" w:hAnsi="Times New Roman" w:cs="Times New Roman"/>
          <w:sz w:val="24"/>
          <w:szCs w:val="24"/>
        </w:rPr>
        <w:t>.</w:t>
      </w:r>
    </w:p>
    <w:p w14:paraId="03C2DF12" w14:textId="0BFF6F36" w:rsidR="00742694" w:rsidRDefault="00BD387C" w:rsidP="000E4ACA">
      <w:pPr>
        <w:spacing w:after="120" w:line="360" w:lineRule="auto"/>
        <w:ind w:firstLine="709"/>
        <w:jc w:val="both"/>
        <w:rPr>
          <w:rFonts w:ascii="Times New Roman" w:hAnsi="Times New Roman" w:cs="Times New Roman"/>
          <w:sz w:val="24"/>
          <w:szCs w:val="24"/>
        </w:rPr>
      </w:pPr>
      <w:r w:rsidRPr="00BD387C">
        <w:rPr>
          <w:rFonts w:ascii="Times New Roman" w:hAnsi="Times New Roman" w:cs="Times New Roman"/>
          <w:sz w:val="24"/>
          <w:szCs w:val="24"/>
        </w:rPr>
        <w:t>However, although CCs are operated through electronic means and can be used as media of exchange, they do not legally qualify as electronic money (e-money), for two reasons. The e-money Directive (EMD) requires that e-money be issued only upon transfer of equivalent funds, as stated in Article 2(2) EMD</w:t>
      </w:r>
      <w:r w:rsidRPr="003412DB">
        <w:rPr>
          <w:rStyle w:val="FootnoteReference"/>
          <w:rFonts w:ascii="Times New Roman" w:hAnsi="Times New Roman" w:cs="Times New Roman"/>
          <w:sz w:val="24"/>
          <w:szCs w:val="24"/>
          <w:lang w:val="en-US"/>
        </w:rPr>
        <w:footnoteReference w:id="33"/>
      </w:r>
      <w:r w:rsidRPr="00BD387C">
        <w:rPr>
          <w:rFonts w:ascii="Times New Roman" w:hAnsi="Times New Roman" w:cs="Times New Roman"/>
          <w:sz w:val="24"/>
          <w:szCs w:val="24"/>
        </w:rPr>
        <w:t>, and be redeemable, in any moment, at par value, in compliance with Article 11(2) EMD</w:t>
      </w:r>
      <w:r w:rsidRPr="003412DB">
        <w:rPr>
          <w:rStyle w:val="FootnoteReference"/>
          <w:rFonts w:ascii="Times New Roman" w:hAnsi="Times New Roman" w:cs="Times New Roman"/>
          <w:sz w:val="24"/>
          <w:szCs w:val="24"/>
          <w:lang w:val="en-US"/>
        </w:rPr>
        <w:footnoteReference w:id="34"/>
      </w:r>
      <w:r w:rsidRPr="00BD387C">
        <w:rPr>
          <w:rFonts w:ascii="Times New Roman" w:hAnsi="Times New Roman" w:cs="Times New Roman"/>
          <w:sz w:val="24"/>
          <w:szCs w:val="24"/>
        </w:rPr>
        <w:t>. Thus, since CCs can be bought with any asset and are usually sold at the exchange rate value, they do not qualify as e-money under the EMD</w:t>
      </w:r>
      <w:r w:rsidRPr="003412DB">
        <w:rPr>
          <w:rStyle w:val="FootnoteReference"/>
          <w:rFonts w:ascii="Times New Roman" w:hAnsi="Times New Roman" w:cs="Times New Roman"/>
          <w:sz w:val="24"/>
          <w:szCs w:val="24"/>
          <w:lang w:val="en-US"/>
        </w:rPr>
        <w:footnoteReference w:id="35"/>
      </w:r>
      <w:r w:rsidR="007F30FD">
        <w:rPr>
          <w:rFonts w:ascii="Times New Roman" w:hAnsi="Times New Roman" w:cs="Times New Roman"/>
          <w:sz w:val="24"/>
          <w:szCs w:val="24"/>
        </w:rPr>
        <w:t>.</w:t>
      </w:r>
    </w:p>
    <w:p w14:paraId="169F4950" w14:textId="77777777" w:rsidR="00BD387C" w:rsidRDefault="00BD387C" w:rsidP="00BD387C">
      <w:pPr>
        <w:spacing w:after="120" w:line="360" w:lineRule="auto"/>
        <w:jc w:val="both"/>
        <w:rPr>
          <w:rFonts w:ascii="Times New Roman" w:hAnsi="Times New Roman" w:cs="Times New Roman"/>
          <w:b/>
          <w:bCs/>
          <w:sz w:val="24"/>
          <w:szCs w:val="24"/>
        </w:rPr>
      </w:pPr>
    </w:p>
    <w:p w14:paraId="205770A8" w14:textId="5589ADA7" w:rsidR="00BD387C" w:rsidRPr="00521FDF" w:rsidRDefault="00BD387C" w:rsidP="00BD387C">
      <w:pPr>
        <w:spacing w:after="120" w:line="360" w:lineRule="auto"/>
        <w:jc w:val="both"/>
        <w:rPr>
          <w:rFonts w:ascii="Times New Roman" w:hAnsi="Times New Roman" w:cs="Times New Roman"/>
          <w:b/>
          <w:bCs/>
          <w:sz w:val="24"/>
          <w:szCs w:val="24"/>
        </w:rPr>
      </w:pPr>
      <w:bookmarkStart w:id="9" w:name="_Hlk50753060"/>
      <w:r w:rsidRPr="00BD387C">
        <w:rPr>
          <w:rFonts w:ascii="Times New Roman" w:hAnsi="Times New Roman" w:cs="Times New Roman"/>
          <w:b/>
          <w:bCs/>
          <w:sz w:val="24"/>
          <w:szCs w:val="24"/>
        </w:rPr>
        <w:t>Money Laundering</w:t>
      </w:r>
      <w:bookmarkEnd w:id="9"/>
      <w:r w:rsidRPr="00BD387C">
        <w:rPr>
          <w:rFonts w:ascii="Times New Roman" w:hAnsi="Times New Roman" w:cs="Times New Roman"/>
          <w:b/>
          <w:bCs/>
          <w:sz w:val="24"/>
          <w:szCs w:val="24"/>
        </w:rPr>
        <w:t xml:space="preserve"> risks posed by Cryptocurrencies</w:t>
      </w:r>
    </w:p>
    <w:p w14:paraId="26417A5D" w14:textId="5976C2DC" w:rsidR="00834A47" w:rsidRDefault="00834A47" w:rsidP="00834A47">
      <w:pPr>
        <w:spacing w:after="120" w:line="360" w:lineRule="auto"/>
        <w:ind w:firstLine="709"/>
        <w:jc w:val="both"/>
        <w:rPr>
          <w:rFonts w:ascii="Times New Roman" w:hAnsi="Times New Roman" w:cs="Times New Roman"/>
          <w:sz w:val="24"/>
          <w:szCs w:val="24"/>
        </w:rPr>
      </w:pPr>
      <w:r w:rsidRPr="003412DB">
        <w:rPr>
          <w:rFonts w:ascii="Times New Roman" w:hAnsi="Times New Roman" w:cs="Times New Roman"/>
          <w:sz w:val="24"/>
          <w:szCs w:val="24"/>
          <w:lang w:val="en-US"/>
        </w:rPr>
        <w:t xml:space="preserve">The FATF ascertained the ML process in three steps – placement, layering and integration. The first step (integration) is when the criminal places the proceeds of crime within the financial “upperworld” (e.g., banks). Such placement can be performed, for example, by splitting a large amount of cash into several small deposits. The second step (layering) is when the money is moved away from its unlawful source. For this purpose, illicit funds are, e.g., continuously, and randomly transferred across different bank accounts for the purpose of further concealment. The third and final step (integration) is the one by which the criminal invests the laundered funds in the </w:t>
      </w:r>
      <w:r w:rsidRPr="003412DB">
        <w:rPr>
          <w:rFonts w:ascii="Times New Roman" w:hAnsi="Times New Roman" w:cs="Times New Roman"/>
          <w:sz w:val="24"/>
          <w:szCs w:val="24"/>
        </w:rPr>
        <w:t>“real economy”, for example through the purchase of property</w:t>
      </w:r>
      <w:r w:rsidRPr="003412DB">
        <w:rPr>
          <w:rStyle w:val="FootnoteReference"/>
          <w:rFonts w:ascii="Times New Roman" w:hAnsi="Times New Roman" w:cs="Times New Roman"/>
          <w:sz w:val="24"/>
          <w:szCs w:val="24"/>
          <w:lang w:val="en-US"/>
        </w:rPr>
        <w:footnoteReference w:id="36"/>
      </w:r>
      <w:r w:rsidR="002E6E5A">
        <w:rPr>
          <w:rFonts w:ascii="Times New Roman" w:hAnsi="Times New Roman" w:cs="Times New Roman"/>
          <w:sz w:val="24"/>
          <w:szCs w:val="24"/>
        </w:rPr>
        <w:t>.</w:t>
      </w:r>
    </w:p>
    <w:p w14:paraId="59191B9A" w14:textId="619C7876" w:rsidR="00834A47" w:rsidRPr="003412DB" w:rsidRDefault="00BD387C" w:rsidP="00834A47">
      <w:pPr>
        <w:spacing w:after="120" w:line="360" w:lineRule="auto"/>
        <w:ind w:firstLine="709"/>
        <w:jc w:val="both"/>
        <w:rPr>
          <w:rFonts w:ascii="Times New Roman" w:hAnsi="Times New Roman" w:cs="Times New Roman"/>
          <w:iCs/>
          <w:sz w:val="24"/>
          <w:szCs w:val="24"/>
        </w:rPr>
      </w:pPr>
      <w:r>
        <w:rPr>
          <w:rFonts w:ascii="Times New Roman" w:hAnsi="Times New Roman" w:cs="Times New Roman"/>
          <w:sz w:val="24"/>
          <w:szCs w:val="24"/>
        </w:rPr>
        <w:t xml:space="preserve">ML </w:t>
      </w:r>
      <w:r w:rsidRPr="00BD387C">
        <w:rPr>
          <w:rFonts w:ascii="Times New Roman" w:hAnsi="Times New Roman" w:cs="Times New Roman"/>
          <w:sz w:val="24"/>
          <w:szCs w:val="24"/>
        </w:rPr>
        <w:t xml:space="preserve">is just one type of crime associated with CCs. Another crime associated with CCs, for example, is ransomware. Ransomware occurs when criminals lock access to a computer or </w:t>
      </w:r>
      <w:r w:rsidRPr="00BD387C">
        <w:rPr>
          <w:rFonts w:ascii="Times New Roman" w:hAnsi="Times New Roman" w:cs="Times New Roman"/>
          <w:sz w:val="24"/>
          <w:szCs w:val="24"/>
        </w:rPr>
        <w:lastRenderedPageBreak/>
        <w:t>data until the target pays for getting access back</w:t>
      </w:r>
      <w:r w:rsidR="009D43E5" w:rsidRPr="003412DB">
        <w:rPr>
          <w:rStyle w:val="FootnoteReference"/>
          <w:rFonts w:ascii="Times New Roman" w:hAnsi="Times New Roman" w:cs="Times New Roman"/>
          <w:sz w:val="24"/>
          <w:szCs w:val="24"/>
          <w:lang w:val="en-US"/>
        </w:rPr>
        <w:footnoteReference w:id="37"/>
      </w:r>
      <w:r w:rsidRPr="00BD387C">
        <w:rPr>
          <w:rFonts w:ascii="Times New Roman" w:hAnsi="Times New Roman" w:cs="Times New Roman"/>
          <w:sz w:val="24"/>
          <w:szCs w:val="24"/>
        </w:rPr>
        <w:t>. This payment is often demanded in CCs</w:t>
      </w:r>
      <w:r w:rsidR="009D43E5" w:rsidRPr="003412DB">
        <w:rPr>
          <w:rStyle w:val="FootnoteReference"/>
          <w:rFonts w:ascii="Times New Roman" w:hAnsi="Times New Roman" w:cs="Times New Roman"/>
          <w:sz w:val="24"/>
          <w:szCs w:val="24"/>
          <w:lang w:val="en-US"/>
        </w:rPr>
        <w:footnoteReference w:id="38"/>
      </w:r>
      <w:r w:rsidR="009D43E5">
        <w:rPr>
          <w:rFonts w:ascii="Times New Roman" w:hAnsi="Times New Roman" w:cs="Times New Roman"/>
          <w:sz w:val="24"/>
          <w:szCs w:val="24"/>
        </w:rPr>
        <w:t>.</w:t>
      </w:r>
      <w:r w:rsidRPr="00BD387C">
        <w:rPr>
          <w:rFonts w:ascii="Times New Roman" w:hAnsi="Times New Roman" w:cs="Times New Roman"/>
          <w:sz w:val="24"/>
          <w:szCs w:val="24"/>
        </w:rPr>
        <w:t xml:space="preserve"> However, this </w:t>
      </w:r>
      <w:r>
        <w:rPr>
          <w:rFonts w:ascii="Times New Roman" w:hAnsi="Times New Roman" w:cs="Times New Roman"/>
          <w:sz w:val="24"/>
          <w:szCs w:val="24"/>
        </w:rPr>
        <w:t>paper</w:t>
      </w:r>
      <w:r w:rsidRPr="00BD387C">
        <w:rPr>
          <w:rFonts w:ascii="Times New Roman" w:hAnsi="Times New Roman" w:cs="Times New Roman"/>
          <w:sz w:val="24"/>
          <w:szCs w:val="24"/>
        </w:rPr>
        <w:t xml:space="preserve"> will focus on ML, and this section in the main ML risks posed by CCs, which are those that AMLD5 sought to address, namely anonymity/pseudonymity as well as the cross-border flexibility of CC transactions. Other, more intermediary-specific risks and/or blind spots will be discussed </w:t>
      </w:r>
      <w:r w:rsidR="001E29E7">
        <w:rPr>
          <w:rFonts w:ascii="Times New Roman" w:hAnsi="Times New Roman" w:cs="Times New Roman"/>
          <w:sz w:val="24"/>
          <w:szCs w:val="24"/>
        </w:rPr>
        <w:t xml:space="preserve">below </w:t>
      </w:r>
      <w:r w:rsidRPr="00BD387C">
        <w:rPr>
          <w:rFonts w:ascii="Times New Roman" w:hAnsi="Times New Roman" w:cs="Times New Roman"/>
          <w:sz w:val="24"/>
          <w:szCs w:val="24"/>
        </w:rPr>
        <w:t>together with the criticisms towards AMLD5 regarding the failure to address them.</w:t>
      </w:r>
      <w:r w:rsidR="00834A47" w:rsidRPr="003412DB">
        <w:rPr>
          <w:rFonts w:ascii="Times New Roman" w:hAnsi="Times New Roman" w:cs="Times New Roman"/>
          <w:iCs/>
          <w:sz w:val="24"/>
          <w:szCs w:val="24"/>
        </w:rPr>
        <w:t xml:space="preserve"> Table </w:t>
      </w:r>
      <w:r w:rsidR="00834A47">
        <w:rPr>
          <w:rFonts w:ascii="Times New Roman" w:hAnsi="Times New Roman" w:cs="Times New Roman"/>
          <w:iCs/>
          <w:sz w:val="24"/>
          <w:szCs w:val="24"/>
        </w:rPr>
        <w:t>1</w:t>
      </w:r>
      <w:r w:rsidR="00834A47" w:rsidRPr="003412DB">
        <w:rPr>
          <w:rFonts w:ascii="Times New Roman" w:hAnsi="Times New Roman" w:cs="Times New Roman"/>
          <w:iCs/>
          <w:sz w:val="24"/>
          <w:szCs w:val="24"/>
        </w:rPr>
        <w:t xml:space="preserve"> demonstrates how the three stages of ML described above take place within the context of CC-related ML</w:t>
      </w:r>
      <w:r w:rsidR="00513A61">
        <w:rPr>
          <w:rFonts w:ascii="Times New Roman" w:hAnsi="Times New Roman" w:cs="Times New Roman"/>
          <w:iCs/>
          <w:sz w:val="24"/>
          <w:szCs w:val="24"/>
        </w:rPr>
        <w:t>.</w:t>
      </w:r>
    </w:p>
    <w:tbl>
      <w:tblPr>
        <w:tblStyle w:val="PlainTable2"/>
        <w:tblW w:w="0" w:type="auto"/>
        <w:tblLayout w:type="fixed"/>
        <w:tblLook w:val="04A0" w:firstRow="1" w:lastRow="0" w:firstColumn="1" w:lastColumn="0" w:noHBand="0" w:noVBand="1"/>
      </w:tblPr>
      <w:tblGrid>
        <w:gridCol w:w="1843"/>
        <w:gridCol w:w="2268"/>
        <w:gridCol w:w="2126"/>
        <w:gridCol w:w="2789"/>
      </w:tblGrid>
      <w:tr w:rsidR="00834A47" w:rsidRPr="003412DB" w14:paraId="711C865C" w14:textId="77777777" w:rsidTr="00A3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3344D91C" w14:textId="77777777" w:rsidR="00834A47" w:rsidRPr="001375A9" w:rsidRDefault="00834A47" w:rsidP="00A3094E">
            <w:pPr>
              <w:keepNext/>
              <w:spacing w:after="120" w:line="360" w:lineRule="auto"/>
              <w:jc w:val="center"/>
              <w:rPr>
                <w:rFonts w:ascii="Times New Roman" w:hAnsi="Times New Roman" w:cs="Times New Roman"/>
                <w:iCs/>
                <w:sz w:val="24"/>
                <w:szCs w:val="24"/>
              </w:rPr>
            </w:pPr>
            <w:r w:rsidRPr="001375A9">
              <w:rPr>
                <w:rFonts w:ascii="Times New Roman" w:hAnsi="Times New Roman" w:cs="Times New Roman"/>
                <w:iCs/>
                <w:sz w:val="24"/>
                <w:szCs w:val="24"/>
              </w:rPr>
              <w:t>General risk factors</w:t>
            </w:r>
          </w:p>
        </w:tc>
        <w:tc>
          <w:tcPr>
            <w:tcW w:w="7183" w:type="dxa"/>
            <w:gridSpan w:val="3"/>
          </w:tcPr>
          <w:p w14:paraId="7349CBCE" w14:textId="77777777" w:rsidR="00834A47" w:rsidRPr="001375A9" w:rsidRDefault="00834A47" w:rsidP="00A3094E">
            <w:pPr>
              <w:keepNext/>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1375A9">
              <w:rPr>
                <w:rFonts w:ascii="Times New Roman" w:hAnsi="Times New Roman" w:cs="Times New Roman"/>
                <w:iCs/>
                <w:sz w:val="24"/>
                <w:szCs w:val="24"/>
              </w:rPr>
              <w:t>Potential exploitation of vulnerabilities at each stage</w:t>
            </w:r>
          </w:p>
        </w:tc>
      </w:tr>
      <w:tr w:rsidR="00834A47" w:rsidRPr="003412DB" w14:paraId="27AE9771" w14:textId="77777777" w:rsidTr="00A30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tcPr>
          <w:p w14:paraId="6E5B603E" w14:textId="77777777" w:rsidR="00834A47" w:rsidRPr="003412DB" w:rsidRDefault="00834A47" w:rsidP="00A3094E">
            <w:pPr>
              <w:keepNext/>
              <w:spacing w:after="120" w:line="360" w:lineRule="auto"/>
              <w:jc w:val="center"/>
              <w:rPr>
                <w:rFonts w:ascii="Times New Roman" w:hAnsi="Times New Roman" w:cs="Times New Roman"/>
                <w:b w:val="0"/>
                <w:bCs w:val="0"/>
                <w:iCs/>
                <w:sz w:val="24"/>
                <w:szCs w:val="24"/>
              </w:rPr>
            </w:pPr>
          </w:p>
        </w:tc>
        <w:tc>
          <w:tcPr>
            <w:tcW w:w="2268" w:type="dxa"/>
          </w:tcPr>
          <w:p w14:paraId="42882F39" w14:textId="77777777" w:rsidR="00834A47" w:rsidRPr="003412DB" w:rsidRDefault="00834A47" w:rsidP="00A3094E">
            <w:pPr>
              <w:keepNext/>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3412DB">
              <w:rPr>
                <w:rFonts w:ascii="Times New Roman" w:hAnsi="Times New Roman" w:cs="Times New Roman"/>
                <w:iCs/>
                <w:sz w:val="24"/>
                <w:szCs w:val="24"/>
              </w:rPr>
              <w:t>Placement</w:t>
            </w:r>
          </w:p>
        </w:tc>
        <w:tc>
          <w:tcPr>
            <w:tcW w:w="2126" w:type="dxa"/>
          </w:tcPr>
          <w:p w14:paraId="7D886B8E" w14:textId="77777777" w:rsidR="00834A47" w:rsidRPr="003412DB" w:rsidRDefault="00834A47" w:rsidP="00A3094E">
            <w:pPr>
              <w:keepNext/>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3412DB">
              <w:rPr>
                <w:rFonts w:ascii="Times New Roman" w:hAnsi="Times New Roman" w:cs="Times New Roman"/>
                <w:iCs/>
                <w:sz w:val="24"/>
                <w:szCs w:val="24"/>
              </w:rPr>
              <w:t>Layering</w:t>
            </w:r>
          </w:p>
        </w:tc>
        <w:tc>
          <w:tcPr>
            <w:tcW w:w="2789" w:type="dxa"/>
          </w:tcPr>
          <w:p w14:paraId="75931C38" w14:textId="77777777" w:rsidR="00834A47" w:rsidRPr="003412DB" w:rsidRDefault="00834A47" w:rsidP="00A3094E">
            <w:pPr>
              <w:keepNext/>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3412DB">
              <w:rPr>
                <w:rFonts w:ascii="Times New Roman" w:hAnsi="Times New Roman" w:cs="Times New Roman"/>
                <w:iCs/>
                <w:sz w:val="24"/>
                <w:szCs w:val="24"/>
              </w:rPr>
              <w:t>Integration</w:t>
            </w:r>
          </w:p>
        </w:tc>
      </w:tr>
      <w:tr w:rsidR="00834A47" w:rsidRPr="003412DB" w14:paraId="1480D771" w14:textId="77777777" w:rsidTr="00A3094E">
        <w:tc>
          <w:tcPr>
            <w:cnfStyle w:val="001000000000" w:firstRow="0" w:lastRow="0" w:firstColumn="1" w:lastColumn="0" w:oddVBand="0" w:evenVBand="0" w:oddHBand="0" w:evenHBand="0" w:firstRowFirstColumn="0" w:firstRowLastColumn="0" w:lastRowFirstColumn="0" w:lastRowLastColumn="0"/>
            <w:tcW w:w="1843" w:type="dxa"/>
          </w:tcPr>
          <w:p w14:paraId="6FF490B5" w14:textId="77777777" w:rsidR="00834A47" w:rsidRPr="003412DB" w:rsidRDefault="00834A47" w:rsidP="00A3094E">
            <w:pPr>
              <w:keepNext/>
              <w:spacing w:after="120" w:line="360" w:lineRule="auto"/>
              <w:jc w:val="center"/>
              <w:rPr>
                <w:rFonts w:ascii="Times New Roman" w:hAnsi="Times New Roman" w:cs="Times New Roman"/>
                <w:b w:val="0"/>
                <w:bCs w:val="0"/>
                <w:iCs/>
                <w:sz w:val="24"/>
                <w:szCs w:val="24"/>
              </w:rPr>
            </w:pPr>
            <w:r w:rsidRPr="003412DB">
              <w:rPr>
                <w:rFonts w:ascii="Times New Roman" w:hAnsi="Times New Roman" w:cs="Times New Roman"/>
                <w:b w:val="0"/>
                <w:bCs w:val="0"/>
                <w:iCs/>
                <w:sz w:val="24"/>
                <w:szCs w:val="24"/>
              </w:rPr>
              <w:t>Anonymity/</w:t>
            </w:r>
          </w:p>
          <w:p w14:paraId="1460549C" w14:textId="77777777" w:rsidR="00834A47" w:rsidRPr="003412DB" w:rsidRDefault="00834A47" w:rsidP="00A3094E">
            <w:pPr>
              <w:keepNext/>
              <w:spacing w:after="120" w:line="360" w:lineRule="auto"/>
              <w:jc w:val="center"/>
              <w:rPr>
                <w:rFonts w:ascii="Times New Roman" w:hAnsi="Times New Roman" w:cs="Times New Roman"/>
                <w:b w:val="0"/>
                <w:bCs w:val="0"/>
                <w:iCs/>
                <w:sz w:val="24"/>
                <w:szCs w:val="24"/>
              </w:rPr>
            </w:pPr>
            <w:r w:rsidRPr="003412DB">
              <w:rPr>
                <w:rFonts w:ascii="Times New Roman" w:hAnsi="Times New Roman" w:cs="Times New Roman"/>
                <w:b w:val="0"/>
                <w:bCs w:val="0"/>
                <w:iCs/>
                <w:sz w:val="24"/>
                <w:szCs w:val="24"/>
              </w:rPr>
              <w:t>pseudonymity</w:t>
            </w:r>
          </w:p>
        </w:tc>
        <w:tc>
          <w:tcPr>
            <w:tcW w:w="2268" w:type="dxa"/>
          </w:tcPr>
          <w:p w14:paraId="4E9AAB07" w14:textId="77777777" w:rsidR="00834A47" w:rsidRPr="003412DB" w:rsidRDefault="00834A47" w:rsidP="00A3094E">
            <w:pPr>
              <w:keepNext/>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3412DB">
              <w:rPr>
                <w:rFonts w:ascii="Times New Roman" w:hAnsi="Times New Roman" w:cs="Times New Roman"/>
                <w:iCs/>
                <w:sz w:val="24"/>
                <w:szCs w:val="24"/>
              </w:rPr>
              <w:t>CCs can be used by criminals and associations</w:t>
            </w:r>
          </w:p>
        </w:tc>
        <w:tc>
          <w:tcPr>
            <w:tcW w:w="2126" w:type="dxa"/>
          </w:tcPr>
          <w:p w14:paraId="1EA01AE4" w14:textId="77777777" w:rsidR="00834A47" w:rsidRPr="003412DB" w:rsidRDefault="00834A47" w:rsidP="00A3094E">
            <w:pPr>
              <w:keepNext/>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3412DB">
              <w:rPr>
                <w:rFonts w:ascii="Times New Roman" w:hAnsi="Times New Roman" w:cs="Times New Roman"/>
                <w:iCs/>
                <w:sz w:val="24"/>
                <w:szCs w:val="24"/>
              </w:rPr>
              <w:t>Suspicious names</w:t>
            </w:r>
          </w:p>
        </w:tc>
        <w:tc>
          <w:tcPr>
            <w:tcW w:w="2789" w:type="dxa"/>
          </w:tcPr>
          <w:p w14:paraId="7F344D27" w14:textId="77777777" w:rsidR="00834A47" w:rsidRPr="003412DB" w:rsidRDefault="00834A47" w:rsidP="00A3094E">
            <w:pPr>
              <w:keepNext/>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3412DB">
              <w:rPr>
                <w:rFonts w:ascii="Times New Roman" w:hAnsi="Times New Roman" w:cs="Times New Roman"/>
                <w:iCs/>
                <w:sz w:val="24"/>
                <w:szCs w:val="24"/>
              </w:rPr>
              <w:t>Allowing cashing out of proceeds of crime to be passed on anonymously to individuals that cannot be traced</w:t>
            </w:r>
          </w:p>
        </w:tc>
      </w:tr>
      <w:tr w:rsidR="00834A47" w:rsidRPr="003412DB" w14:paraId="484F9952" w14:textId="77777777" w:rsidTr="00A30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DD5D0B6" w14:textId="77777777" w:rsidR="00834A47" w:rsidRPr="003412DB" w:rsidRDefault="00834A47" w:rsidP="00A3094E">
            <w:pPr>
              <w:keepNext/>
              <w:spacing w:after="120" w:line="360" w:lineRule="auto"/>
              <w:jc w:val="center"/>
              <w:rPr>
                <w:rFonts w:ascii="Times New Roman" w:hAnsi="Times New Roman" w:cs="Times New Roman"/>
                <w:b w:val="0"/>
                <w:bCs w:val="0"/>
                <w:iCs/>
                <w:sz w:val="24"/>
                <w:szCs w:val="24"/>
              </w:rPr>
            </w:pPr>
            <w:r w:rsidRPr="003412DB">
              <w:rPr>
                <w:rFonts w:ascii="Times New Roman" w:hAnsi="Times New Roman" w:cs="Times New Roman"/>
                <w:b w:val="0"/>
                <w:bCs w:val="0"/>
                <w:iCs/>
                <w:sz w:val="24"/>
                <w:szCs w:val="24"/>
              </w:rPr>
              <w:t>Real-time transactions</w:t>
            </w:r>
          </w:p>
        </w:tc>
        <w:tc>
          <w:tcPr>
            <w:tcW w:w="2268" w:type="dxa"/>
          </w:tcPr>
          <w:p w14:paraId="7EB4949B" w14:textId="77777777" w:rsidR="00834A47" w:rsidRPr="003412DB" w:rsidRDefault="00834A47" w:rsidP="00A3094E">
            <w:pPr>
              <w:keepNext/>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3412DB">
              <w:rPr>
                <w:rFonts w:ascii="Times New Roman" w:hAnsi="Times New Roman" w:cs="Times New Roman"/>
                <w:iCs/>
                <w:sz w:val="24"/>
                <w:szCs w:val="24"/>
              </w:rPr>
              <w:t>Proceeds of crime can be transferred to another CC in another country</w:t>
            </w:r>
          </w:p>
        </w:tc>
        <w:tc>
          <w:tcPr>
            <w:tcW w:w="2126" w:type="dxa"/>
          </w:tcPr>
          <w:p w14:paraId="70B5EAE1" w14:textId="77777777" w:rsidR="00834A47" w:rsidRPr="003412DB" w:rsidRDefault="00834A47" w:rsidP="00A3094E">
            <w:pPr>
              <w:keepNext/>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3412DB">
              <w:rPr>
                <w:rFonts w:ascii="Times New Roman" w:hAnsi="Times New Roman" w:cs="Times New Roman"/>
                <w:iCs/>
                <w:sz w:val="24"/>
                <w:szCs w:val="24"/>
              </w:rPr>
              <w:t>Transactions occur in real-time, allowing little time to stop them if suspected of money laundering</w:t>
            </w:r>
          </w:p>
        </w:tc>
        <w:tc>
          <w:tcPr>
            <w:tcW w:w="2789" w:type="dxa"/>
          </w:tcPr>
          <w:p w14:paraId="0E009B39" w14:textId="77777777" w:rsidR="00834A47" w:rsidRPr="003412DB" w:rsidRDefault="00834A47" w:rsidP="00A3094E">
            <w:pPr>
              <w:keepNext/>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3412DB">
              <w:rPr>
                <w:rFonts w:ascii="Times New Roman" w:hAnsi="Times New Roman" w:cs="Times New Roman"/>
                <w:iCs/>
                <w:sz w:val="24"/>
                <w:szCs w:val="24"/>
              </w:rPr>
              <w:t>Proceeds of crime can be moved rapidly through</w:t>
            </w:r>
            <w:r>
              <w:rPr>
                <w:rFonts w:ascii="Times New Roman" w:hAnsi="Times New Roman" w:cs="Times New Roman"/>
                <w:iCs/>
                <w:sz w:val="24"/>
                <w:szCs w:val="24"/>
              </w:rPr>
              <w:t xml:space="preserve"> the </w:t>
            </w:r>
            <w:r w:rsidRPr="003412DB">
              <w:rPr>
                <w:rFonts w:ascii="Times New Roman" w:hAnsi="Times New Roman" w:cs="Times New Roman"/>
                <w:iCs/>
                <w:sz w:val="24"/>
                <w:szCs w:val="24"/>
              </w:rPr>
              <w:t>global financial system and withdrawn in another country</w:t>
            </w:r>
          </w:p>
        </w:tc>
      </w:tr>
    </w:tbl>
    <w:p w14:paraId="2757A848" w14:textId="7F905504" w:rsidR="00C66639" w:rsidRPr="00C66639" w:rsidRDefault="00834A47" w:rsidP="00834A47">
      <w:pPr>
        <w:keepNext/>
        <w:spacing w:after="120" w:line="360" w:lineRule="auto"/>
        <w:jc w:val="center"/>
        <w:rPr>
          <w:rFonts w:ascii="Times New Roman" w:hAnsi="Times New Roman" w:cs="Times New Roman"/>
          <w:iCs/>
          <w:sz w:val="18"/>
          <w:szCs w:val="18"/>
          <w:lang w:val="en-US"/>
        </w:rPr>
      </w:pPr>
      <w:r w:rsidRPr="003412DB">
        <w:rPr>
          <w:rFonts w:ascii="Times New Roman" w:hAnsi="Times New Roman" w:cs="Times New Roman"/>
          <w:iCs/>
          <w:sz w:val="18"/>
          <w:szCs w:val="18"/>
          <w:lang w:val="en-US"/>
        </w:rPr>
        <w:t xml:space="preserve">Table 2. </w:t>
      </w:r>
      <w:r w:rsidRPr="003412DB">
        <w:rPr>
          <w:rFonts w:ascii="Times New Roman" w:hAnsi="Times New Roman" w:cs="Times New Roman"/>
          <w:iCs/>
          <w:sz w:val="18"/>
          <w:szCs w:val="18"/>
        </w:rPr>
        <w:t>Money laundering risks posed by CCs</w:t>
      </w:r>
      <w:r w:rsidRPr="003412DB">
        <w:rPr>
          <w:rFonts w:ascii="Times New Roman" w:hAnsi="Times New Roman" w:cs="Times New Roman"/>
          <w:iCs/>
          <w:sz w:val="18"/>
          <w:szCs w:val="18"/>
          <w:lang w:val="en-US"/>
        </w:rPr>
        <w:t xml:space="preserve">. Adapted from </w:t>
      </w:r>
      <w:r w:rsidRPr="003412DB">
        <w:rPr>
          <w:rFonts w:ascii="Times New Roman" w:hAnsi="Times New Roman" w:cs="Times New Roman"/>
          <w:iCs/>
          <w:sz w:val="18"/>
          <w:szCs w:val="18"/>
        </w:rPr>
        <w:t>Malcolm Campbell-Verduyn, 'Bitcoin, Crypto-Coins, And Global Anti-Money Laundering Governance' (2018) 69 Crime, Law and Social Change 283–305.</w:t>
      </w:r>
    </w:p>
    <w:p w14:paraId="5CEA87AE" w14:textId="42463842" w:rsidR="00BD387C" w:rsidRDefault="001E29E7" w:rsidP="001E29E7">
      <w:pPr>
        <w:spacing w:after="120" w:line="360" w:lineRule="auto"/>
        <w:ind w:firstLine="709"/>
        <w:jc w:val="both"/>
        <w:rPr>
          <w:rFonts w:ascii="Times New Roman" w:hAnsi="Times New Roman" w:cs="Times New Roman"/>
          <w:sz w:val="24"/>
          <w:szCs w:val="24"/>
        </w:rPr>
      </w:pPr>
      <w:r w:rsidRPr="001E29E7">
        <w:rPr>
          <w:rFonts w:ascii="Times New Roman" w:hAnsi="Times New Roman" w:cs="Times New Roman"/>
          <w:sz w:val="24"/>
          <w:szCs w:val="24"/>
        </w:rPr>
        <w:t>In the context of ML, th</w:t>
      </w:r>
      <w:r w:rsidR="00455E40">
        <w:rPr>
          <w:rFonts w:ascii="Times New Roman" w:hAnsi="Times New Roman" w:cs="Times New Roman"/>
          <w:sz w:val="24"/>
          <w:szCs w:val="24"/>
        </w:rPr>
        <w:t>e</w:t>
      </w:r>
      <w:r w:rsidRPr="001E29E7">
        <w:rPr>
          <w:rFonts w:ascii="Times New Roman" w:hAnsi="Times New Roman" w:cs="Times New Roman"/>
          <w:sz w:val="24"/>
          <w:szCs w:val="24"/>
        </w:rPr>
        <w:t xml:space="preserve"> anonymity/pseudonymity feature of CCs challenges the traditional AML Customer Due</w:t>
      </w:r>
      <w:r>
        <w:rPr>
          <w:rFonts w:ascii="Times New Roman" w:hAnsi="Times New Roman" w:cs="Times New Roman"/>
          <w:sz w:val="24"/>
          <w:szCs w:val="24"/>
        </w:rPr>
        <w:t xml:space="preserve"> </w:t>
      </w:r>
      <w:r w:rsidRPr="001E29E7">
        <w:rPr>
          <w:rFonts w:ascii="Times New Roman" w:hAnsi="Times New Roman" w:cs="Times New Roman"/>
          <w:sz w:val="24"/>
          <w:szCs w:val="24"/>
        </w:rPr>
        <w:t>Diligence</w:t>
      </w:r>
      <w:r>
        <w:rPr>
          <w:rFonts w:ascii="Times New Roman" w:hAnsi="Times New Roman" w:cs="Times New Roman"/>
          <w:sz w:val="24"/>
          <w:szCs w:val="24"/>
        </w:rPr>
        <w:t xml:space="preserve"> (</w:t>
      </w:r>
      <w:r w:rsidRPr="001E29E7">
        <w:rPr>
          <w:rFonts w:ascii="Times New Roman" w:hAnsi="Times New Roman" w:cs="Times New Roman"/>
          <w:sz w:val="24"/>
          <w:szCs w:val="24"/>
        </w:rPr>
        <w:t>CDD</w:t>
      </w:r>
      <w:r>
        <w:rPr>
          <w:rFonts w:ascii="Times New Roman" w:hAnsi="Times New Roman" w:cs="Times New Roman"/>
          <w:sz w:val="24"/>
          <w:szCs w:val="24"/>
        </w:rPr>
        <w:t>)</w:t>
      </w:r>
      <w:r w:rsidRPr="001E29E7">
        <w:rPr>
          <w:rFonts w:ascii="Times New Roman" w:hAnsi="Times New Roman" w:cs="Times New Roman"/>
          <w:sz w:val="24"/>
          <w:szCs w:val="24"/>
        </w:rPr>
        <w:t xml:space="preserve"> compliance landscape from “‘parties known-transactions unknown’ to ‘transactions known-parties unknown’”</w:t>
      </w:r>
      <w:r w:rsidRPr="003412DB">
        <w:rPr>
          <w:rStyle w:val="FootnoteReference"/>
          <w:rFonts w:ascii="Times New Roman" w:hAnsi="Times New Roman" w:cs="Times New Roman"/>
          <w:sz w:val="24"/>
          <w:szCs w:val="24"/>
          <w:lang w:val="en-US"/>
        </w:rPr>
        <w:footnoteReference w:id="39"/>
      </w:r>
      <w:r w:rsidRPr="001E29E7">
        <w:rPr>
          <w:rFonts w:ascii="Times New Roman" w:hAnsi="Times New Roman" w:cs="Times New Roman"/>
          <w:sz w:val="24"/>
          <w:szCs w:val="24"/>
        </w:rPr>
        <w:t xml:space="preserve">. As explained above, although CC transactions are recorded on a blockchain, the identity of the parties to the transaction is kept secret. The only information available is the amount traded and the public </w:t>
      </w:r>
      <w:r w:rsidRPr="001E29E7">
        <w:rPr>
          <w:rFonts w:ascii="Times New Roman" w:hAnsi="Times New Roman" w:cs="Times New Roman"/>
          <w:sz w:val="24"/>
          <w:szCs w:val="24"/>
        </w:rPr>
        <w:lastRenderedPageBreak/>
        <w:t>keys of the owners of the CCs. Moreover, since public keys are easily available, criminals can make use of a different public key for each transaction</w:t>
      </w:r>
      <w:r w:rsidRPr="003412DB">
        <w:rPr>
          <w:rStyle w:val="FootnoteReference"/>
          <w:rFonts w:ascii="Times New Roman" w:hAnsi="Times New Roman" w:cs="Times New Roman"/>
          <w:sz w:val="24"/>
          <w:szCs w:val="24"/>
          <w:lang w:val="en-US"/>
        </w:rPr>
        <w:footnoteReference w:id="40"/>
      </w:r>
      <w:r w:rsidR="00834A47">
        <w:rPr>
          <w:rFonts w:ascii="Times New Roman" w:hAnsi="Times New Roman" w:cs="Times New Roman"/>
          <w:sz w:val="24"/>
          <w:szCs w:val="24"/>
        </w:rPr>
        <w:t>.</w:t>
      </w:r>
    </w:p>
    <w:p w14:paraId="39AC9FD9" w14:textId="46649E58" w:rsidR="001E29E7" w:rsidRDefault="001E29E7" w:rsidP="00BD387C">
      <w:pPr>
        <w:spacing w:after="120" w:line="360" w:lineRule="auto"/>
        <w:ind w:firstLine="709"/>
        <w:jc w:val="both"/>
        <w:rPr>
          <w:rFonts w:ascii="Times New Roman" w:hAnsi="Times New Roman" w:cs="Times New Roman"/>
          <w:sz w:val="24"/>
          <w:szCs w:val="24"/>
        </w:rPr>
      </w:pPr>
      <w:r w:rsidRPr="001E29E7">
        <w:rPr>
          <w:rFonts w:ascii="Times New Roman" w:hAnsi="Times New Roman" w:cs="Times New Roman"/>
          <w:sz w:val="24"/>
          <w:szCs w:val="24"/>
        </w:rPr>
        <w:t xml:space="preserve">The threat posed by the cross-border flexibility of CC transactions stems from the fact that, differently from traditional money remittance means, CC users do not need any professional intermediary to intervene. As soon as the user is in possession of her private key, she can immediately transfer the CCs to the holder of a public key located anywhere in the planet. And here is where traditional AML policies and the blockchain technology that underlies CCs collide. </w:t>
      </w:r>
      <w:r>
        <w:rPr>
          <w:rFonts w:ascii="Times New Roman" w:hAnsi="Times New Roman" w:cs="Times New Roman"/>
          <w:sz w:val="24"/>
          <w:szCs w:val="24"/>
        </w:rPr>
        <w:t>M</w:t>
      </w:r>
      <w:r w:rsidRPr="001E29E7">
        <w:rPr>
          <w:rFonts w:ascii="Times New Roman" w:hAnsi="Times New Roman" w:cs="Times New Roman"/>
          <w:sz w:val="24"/>
          <w:szCs w:val="24"/>
        </w:rPr>
        <w:t>ost of the AML efforts developed so far focus on intermediaries, who seek</w:t>
      </w:r>
      <w:r>
        <w:rPr>
          <w:rFonts w:ascii="Times New Roman" w:hAnsi="Times New Roman" w:cs="Times New Roman"/>
          <w:sz w:val="24"/>
          <w:szCs w:val="24"/>
        </w:rPr>
        <w:t xml:space="preserve"> </w:t>
      </w:r>
      <w:r w:rsidRPr="001E29E7">
        <w:rPr>
          <w:rFonts w:ascii="Times New Roman" w:hAnsi="Times New Roman" w:cs="Times New Roman"/>
          <w:sz w:val="24"/>
          <w:szCs w:val="24"/>
        </w:rPr>
        <w:t>to identity suspicious transactions through CDD</w:t>
      </w:r>
      <w:r w:rsidRPr="003412DB">
        <w:rPr>
          <w:rStyle w:val="FootnoteReference"/>
          <w:rFonts w:ascii="Times New Roman" w:hAnsi="Times New Roman" w:cs="Times New Roman"/>
          <w:sz w:val="24"/>
          <w:szCs w:val="24"/>
          <w:lang w:val="en-US"/>
        </w:rPr>
        <w:footnoteReference w:id="41"/>
      </w:r>
      <w:r w:rsidRPr="001E29E7">
        <w:rPr>
          <w:rFonts w:ascii="Times New Roman" w:hAnsi="Times New Roman" w:cs="Times New Roman"/>
          <w:sz w:val="24"/>
          <w:szCs w:val="24"/>
        </w:rPr>
        <w:t xml:space="preserve">. CC transactions </w:t>
      </w:r>
      <w:r w:rsidRPr="007A0CD4">
        <w:rPr>
          <w:rFonts w:ascii="Times New Roman" w:hAnsi="Times New Roman" w:cs="Times New Roman"/>
          <w:i/>
          <w:iCs/>
          <w:sz w:val="24"/>
          <w:szCs w:val="24"/>
        </w:rPr>
        <w:t>necessarily</w:t>
      </w:r>
      <w:r w:rsidRPr="001E29E7">
        <w:rPr>
          <w:rFonts w:ascii="Times New Roman" w:hAnsi="Times New Roman" w:cs="Times New Roman"/>
          <w:sz w:val="24"/>
          <w:szCs w:val="24"/>
        </w:rPr>
        <w:t xml:space="preserve"> involve an intermediary only when the user wants to convert them back into fiat currency. But for that matter, not only a whole range of tactics can be used to add extra layers of untraceability, as </w:t>
      </w:r>
      <w:r>
        <w:rPr>
          <w:rFonts w:ascii="Times New Roman" w:hAnsi="Times New Roman" w:cs="Times New Roman"/>
          <w:sz w:val="24"/>
          <w:szCs w:val="24"/>
        </w:rPr>
        <w:t>I</w:t>
      </w:r>
      <w:r w:rsidRPr="001E29E7">
        <w:rPr>
          <w:rFonts w:ascii="Times New Roman" w:hAnsi="Times New Roman" w:cs="Times New Roman"/>
          <w:sz w:val="24"/>
          <w:szCs w:val="24"/>
        </w:rPr>
        <w:t xml:space="preserve"> will demonstrate</w:t>
      </w:r>
      <w:r>
        <w:rPr>
          <w:rFonts w:ascii="Times New Roman" w:hAnsi="Times New Roman" w:cs="Times New Roman"/>
          <w:sz w:val="24"/>
          <w:szCs w:val="24"/>
        </w:rPr>
        <w:t xml:space="preserve"> below</w:t>
      </w:r>
      <w:r w:rsidRPr="001E29E7">
        <w:rPr>
          <w:rFonts w:ascii="Times New Roman" w:hAnsi="Times New Roman" w:cs="Times New Roman"/>
          <w:sz w:val="24"/>
          <w:szCs w:val="24"/>
        </w:rPr>
        <w:t xml:space="preserve">, </w:t>
      </w:r>
      <w:r>
        <w:rPr>
          <w:rFonts w:ascii="Times New Roman" w:hAnsi="Times New Roman" w:cs="Times New Roman"/>
          <w:sz w:val="24"/>
          <w:szCs w:val="24"/>
        </w:rPr>
        <w:t xml:space="preserve">but also </w:t>
      </w:r>
      <w:r w:rsidRPr="001E29E7">
        <w:rPr>
          <w:rFonts w:ascii="Times New Roman" w:hAnsi="Times New Roman" w:cs="Times New Roman"/>
          <w:sz w:val="24"/>
          <w:szCs w:val="24"/>
        </w:rPr>
        <w:t>CCs can be exchanged for any type of good or service due to their bidirectional character</w:t>
      </w:r>
      <w:r w:rsidR="00D6181B">
        <w:rPr>
          <w:rFonts w:ascii="Times New Roman" w:hAnsi="Times New Roman" w:cs="Times New Roman"/>
          <w:sz w:val="24"/>
          <w:szCs w:val="24"/>
        </w:rPr>
        <w:t>.</w:t>
      </w:r>
    </w:p>
    <w:p w14:paraId="663D08DC" w14:textId="77777777" w:rsidR="00245FC9" w:rsidRDefault="00245FC9" w:rsidP="00245FC9">
      <w:pPr>
        <w:spacing w:after="120" w:line="360" w:lineRule="auto"/>
        <w:jc w:val="both"/>
        <w:rPr>
          <w:rFonts w:ascii="Times New Roman" w:hAnsi="Times New Roman" w:cs="Times New Roman"/>
          <w:b/>
          <w:bCs/>
          <w:sz w:val="24"/>
          <w:szCs w:val="24"/>
        </w:rPr>
      </w:pPr>
    </w:p>
    <w:p w14:paraId="55B2415E" w14:textId="6DD8710A" w:rsidR="00245FC9" w:rsidRPr="00245FC9" w:rsidRDefault="00245FC9" w:rsidP="00245FC9">
      <w:pPr>
        <w:spacing w:after="120" w:line="360" w:lineRule="auto"/>
        <w:jc w:val="both"/>
        <w:rPr>
          <w:rFonts w:ascii="Times New Roman" w:hAnsi="Times New Roman" w:cs="Times New Roman"/>
          <w:b/>
          <w:bCs/>
          <w:sz w:val="24"/>
          <w:szCs w:val="24"/>
        </w:rPr>
      </w:pPr>
      <w:r w:rsidRPr="00245FC9">
        <w:rPr>
          <w:rFonts w:ascii="Times New Roman" w:hAnsi="Times New Roman" w:cs="Times New Roman"/>
          <w:b/>
          <w:bCs/>
          <w:sz w:val="24"/>
          <w:szCs w:val="24"/>
        </w:rPr>
        <w:t>Cryptocurrencies under the Third Anti-Money Laundering Directive</w:t>
      </w:r>
    </w:p>
    <w:p w14:paraId="331A0D72" w14:textId="060BBA25" w:rsidR="00245FC9" w:rsidRDefault="00245FC9" w:rsidP="000E5C9B">
      <w:pPr>
        <w:spacing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The Third AML Directive (</w:t>
      </w:r>
      <w:r w:rsidRPr="00245FC9">
        <w:rPr>
          <w:rFonts w:ascii="Times New Roman" w:hAnsi="Times New Roman" w:cs="Times New Roman"/>
          <w:sz w:val="24"/>
          <w:szCs w:val="24"/>
        </w:rPr>
        <w:t>Directive 2005/60</w:t>
      </w:r>
      <w:r>
        <w:rPr>
          <w:rFonts w:ascii="Times New Roman" w:hAnsi="Times New Roman" w:cs="Times New Roman"/>
          <w:sz w:val="24"/>
          <w:szCs w:val="24"/>
        </w:rPr>
        <w:t xml:space="preserve"> – </w:t>
      </w:r>
      <w:r w:rsidRPr="00245FC9">
        <w:rPr>
          <w:rFonts w:ascii="Times New Roman" w:hAnsi="Times New Roman" w:cs="Times New Roman"/>
          <w:sz w:val="24"/>
          <w:szCs w:val="24"/>
        </w:rPr>
        <w:t>AMLD3</w:t>
      </w:r>
      <w:r>
        <w:rPr>
          <w:rFonts w:ascii="Times New Roman" w:hAnsi="Times New Roman" w:cs="Times New Roman"/>
          <w:sz w:val="24"/>
          <w:szCs w:val="24"/>
        </w:rPr>
        <w:t>)</w:t>
      </w:r>
      <w:r w:rsidRPr="00245FC9">
        <w:rPr>
          <w:rFonts w:ascii="Times New Roman" w:hAnsi="Times New Roman" w:cs="Times New Roman"/>
          <w:sz w:val="24"/>
          <w:szCs w:val="24"/>
        </w:rPr>
        <w:t xml:space="preserve"> did not expressly cover CCs since it was enacted three years before they were created. However, it still constituted the regime in force for several years after the creation of CCs in 2008 up until the enactment of </w:t>
      </w:r>
      <w:r w:rsidR="000E5C9B">
        <w:rPr>
          <w:rFonts w:ascii="Times New Roman" w:hAnsi="Times New Roman" w:cs="Times New Roman"/>
          <w:sz w:val="24"/>
          <w:szCs w:val="24"/>
        </w:rPr>
        <w:t xml:space="preserve">the </w:t>
      </w:r>
      <w:r w:rsidR="000E5C9B" w:rsidRPr="000E5C9B">
        <w:rPr>
          <w:rFonts w:ascii="Times New Roman" w:hAnsi="Times New Roman" w:cs="Times New Roman"/>
          <w:sz w:val="24"/>
          <w:szCs w:val="24"/>
        </w:rPr>
        <w:t xml:space="preserve">Fourth </w:t>
      </w:r>
      <w:r w:rsidR="000E5C9B">
        <w:rPr>
          <w:rFonts w:ascii="Times New Roman" w:hAnsi="Times New Roman" w:cs="Times New Roman"/>
          <w:sz w:val="24"/>
          <w:szCs w:val="24"/>
        </w:rPr>
        <w:t xml:space="preserve">AML </w:t>
      </w:r>
      <w:r w:rsidR="000E5C9B" w:rsidRPr="000E5C9B">
        <w:rPr>
          <w:rFonts w:ascii="Times New Roman" w:hAnsi="Times New Roman" w:cs="Times New Roman"/>
          <w:sz w:val="24"/>
          <w:szCs w:val="24"/>
        </w:rPr>
        <w:t>Directive</w:t>
      </w:r>
      <w:r w:rsidR="000E5C9B">
        <w:rPr>
          <w:rFonts w:ascii="Times New Roman" w:hAnsi="Times New Roman" w:cs="Times New Roman"/>
          <w:sz w:val="24"/>
          <w:szCs w:val="24"/>
        </w:rPr>
        <w:t xml:space="preserve"> (</w:t>
      </w:r>
      <w:r w:rsidR="000E5C9B" w:rsidRPr="000E5C9B">
        <w:rPr>
          <w:rFonts w:ascii="Times New Roman" w:hAnsi="Times New Roman" w:cs="Times New Roman"/>
          <w:sz w:val="24"/>
          <w:szCs w:val="24"/>
        </w:rPr>
        <w:t>Directive (EU) 2015/849</w:t>
      </w:r>
      <w:r w:rsidR="000E5C9B">
        <w:rPr>
          <w:rFonts w:ascii="Times New Roman" w:hAnsi="Times New Roman" w:cs="Times New Roman"/>
          <w:sz w:val="24"/>
          <w:szCs w:val="24"/>
        </w:rPr>
        <w:t xml:space="preserve"> – </w:t>
      </w:r>
      <w:r w:rsidRPr="00245FC9">
        <w:rPr>
          <w:rFonts w:ascii="Times New Roman" w:hAnsi="Times New Roman" w:cs="Times New Roman"/>
          <w:sz w:val="24"/>
          <w:szCs w:val="24"/>
        </w:rPr>
        <w:t>AMLD4</w:t>
      </w:r>
      <w:r w:rsidR="000E5C9B">
        <w:rPr>
          <w:rFonts w:ascii="Times New Roman" w:hAnsi="Times New Roman" w:cs="Times New Roman"/>
          <w:sz w:val="24"/>
          <w:szCs w:val="24"/>
        </w:rPr>
        <w:t>)</w:t>
      </w:r>
      <w:r w:rsidRPr="00245FC9">
        <w:rPr>
          <w:rFonts w:ascii="Times New Roman" w:hAnsi="Times New Roman" w:cs="Times New Roman"/>
          <w:sz w:val="24"/>
          <w:szCs w:val="24"/>
        </w:rPr>
        <w:t xml:space="preserve"> in 2015. And even though, as mentioned, AMLD3 did</w:t>
      </w:r>
      <w:r w:rsidR="000E5C9B">
        <w:rPr>
          <w:rFonts w:ascii="Times New Roman" w:hAnsi="Times New Roman" w:cs="Times New Roman"/>
          <w:sz w:val="24"/>
          <w:szCs w:val="24"/>
        </w:rPr>
        <w:t xml:space="preserve"> not </w:t>
      </w:r>
      <w:r w:rsidR="000E5C9B" w:rsidRPr="000E5C9B">
        <w:rPr>
          <w:rFonts w:ascii="Times New Roman" w:hAnsi="Times New Roman" w:cs="Times New Roman"/>
          <w:sz w:val="24"/>
          <w:szCs w:val="24"/>
        </w:rPr>
        <w:t>expressly cover CCs, Kaiser argues that they could come under its scope</w:t>
      </w:r>
      <w:r w:rsidR="000E5C9B" w:rsidRPr="003412DB">
        <w:rPr>
          <w:rStyle w:val="FootnoteReference"/>
          <w:rFonts w:ascii="Times New Roman" w:hAnsi="Times New Roman" w:cs="Times New Roman"/>
          <w:sz w:val="24"/>
          <w:szCs w:val="24"/>
          <w:lang w:val="en-US"/>
        </w:rPr>
        <w:footnoteReference w:id="42"/>
      </w:r>
      <w:r w:rsidR="000E5C9B">
        <w:rPr>
          <w:rFonts w:ascii="Times New Roman" w:hAnsi="Times New Roman" w:cs="Times New Roman"/>
          <w:sz w:val="24"/>
          <w:szCs w:val="24"/>
        </w:rPr>
        <w:t>.</w:t>
      </w:r>
      <w:r w:rsidR="000E5C9B" w:rsidRPr="000E5C9B">
        <w:rPr>
          <w:rFonts w:ascii="Times New Roman" w:hAnsi="Times New Roman" w:cs="Times New Roman"/>
          <w:sz w:val="24"/>
          <w:szCs w:val="24"/>
        </w:rPr>
        <w:t xml:space="preserve"> The reasons for this are as follows.</w:t>
      </w:r>
    </w:p>
    <w:p w14:paraId="0AF0CDED" w14:textId="267E384B" w:rsidR="000E5C9B" w:rsidRDefault="000E5C9B" w:rsidP="000E5C9B">
      <w:pPr>
        <w:spacing w:after="120" w:line="360" w:lineRule="auto"/>
        <w:ind w:firstLine="709"/>
        <w:jc w:val="both"/>
        <w:rPr>
          <w:rFonts w:ascii="Times New Roman" w:hAnsi="Times New Roman" w:cs="Times New Roman"/>
          <w:sz w:val="24"/>
          <w:szCs w:val="24"/>
        </w:rPr>
      </w:pPr>
      <w:r w:rsidRPr="000E5C9B">
        <w:rPr>
          <w:rFonts w:ascii="Times New Roman" w:hAnsi="Times New Roman" w:cs="Times New Roman"/>
          <w:sz w:val="24"/>
          <w:szCs w:val="24"/>
        </w:rPr>
        <w:t>In terms of its material scope, AMLD3 covered a wide range of forms by w</w:t>
      </w:r>
      <w:r w:rsidR="004966A3">
        <w:rPr>
          <w:rFonts w:ascii="Times New Roman" w:hAnsi="Times New Roman" w:cs="Times New Roman"/>
          <w:sz w:val="24"/>
          <w:szCs w:val="24"/>
        </w:rPr>
        <w:t>h</w:t>
      </w:r>
      <w:r w:rsidRPr="000E5C9B">
        <w:rPr>
          <w:rFonts w:ascii="Times New Roman" w:hAnsi="Times New Roman" w:cs="Times New Roman"/>
          <w:sz w:val="24"/>
          <w:szCs w:val="24"/>
        </w:rPr>
        <w:t>i</w:t>
      </w:r>
      <w:r w:rsidR="004966A3">
        <w:rPr>
          <w:rFonts w:ascii="Times New Roman" w:hAnsi="Times New Roman" w:cs="Times New Roman"/>
          <w:sz w:val="24"/>
          <w:szCs w:val="24"/>
        </w:rPr>
        <w:t>c</w:t>
      </w:r>
      <w:r w:rsidRPr="000E5C9B">
        <w:rPr>
          <w:rFonts w:ascii="Times New Roman" w:hAnsi="Times New Roman" w:cs="Times New Roman"/>
          <w:sz w:val="24"/>
          <w:szCs w:val="24"/>
        </w:rPr>
        <w:t>h ML could take place</w:t>
      </w:r>
      <w:r w:rsidR="005F0EE0" w:rsidRPr="003412DB">
        <w:rPr>
          <w:rStyle w:val="FootnoteReference"/>
          <w:rFonts w:ascii="Times New Roman" w:hAnsi="Times New Roman" w:cs="Times New Roman"/>
          <w:sz w:val="24"/>
          <w:szCs w:val="24"/>
          <w:lang w:val="en-US"/>
        </w:rPr>
        <w:footnoteReference w:id="43"/>
      </w:r>
      <w:r w:rsidRPr="000E5C9B">
        <w:rPr>
          <w:rFonts w:ascii="Times New Roman" w:hAnsi="Times New Roman" w:cs="Times New Roman"/>
          <w:sz w:val="24"/>
          <w:szCs w:val="24"/>
        </w:rPr>
        <w:t>. The term used to refer to the assets being laundered was “property” and not “money”</w:t>
      </w:r>
      <w:r w:rsidR="005F0EE0" w:rsidRPr="003412DB">
        <w:rPr>
          <w:rStyle w:val="FootnoteReference"/>
          <w:rFonts w:ascii="Times New Roman" w:hAnsi="Times New Roman" w:cs="Times New Roman"/>
          <w:sz w:val="24"/>
          <w:szCs w:val="24"/>
          <w:lang w:val="en-US"/>
        </w:rPr>
        <w:footnoteReference w:id="44"/>
      </w:r>
      <w:r w:rsidRPr="000E5C9B">
        <w:rPr>
          <w:rFonts w:ascii="Times New Roman" w:hAnsi="Times New Roman" w:cs="Times New Roman"/>
          <w:sz w:val="24"/>
          <w:szCs w:val="24"/>
        </w:rPr>
        <w:t xml:space="preserve">. “Property” under AMLD3 meant “assets of every kind, whether corporeal or </w:t>
      </w:r>
      <w:r w:rsidRPr="000E5C9B">
        <w:rPr>
          <w:rFonts w:ascii="Times New Roman" w:hAnsi="Times New Roman" w:cs="Times New Roman"/>
          <w:sz w:val="24"/>
          <w:szCs w:val="24"/>
        </w:rPr>
        <w:lastRenderedPageBreak/>
        <w:t>incorporeal, movable or immovable, tangible or intangible, and legal documents or instruments in any form including electronic or digital, evidencing title to or an interest in such assets”</w:t>
      </w:r>
      <w:r w:rsidR="005F0EE0" w:rsidRPr="003412DB">
        <w:rPr>
          <w:rStyle w:val="FootnoteReference"/>
          <w:rFonts w:ascii="Times New Roman" w:hAnsi="Times New Roman" w:cs="Times New Roman"/>
          <w:sz w:val="24"/>
          <w:szCs w:val="24"/>
          <w:lang w:val="en-US"/>
        </w:rPr>
        <w:footnoteReference w:id="45"/>
      </w:r>
      <w:r w:rsidRPr="000E5C9B">
        <w:rPr>
          <w:rFonts w:ascii="Times New Roman" w:hAnsi="Times New Roman" w:cs="Times New Roman"/>
          <w:sz w:val="24"/>
          <w:szCs w:val="24"/>
        </w:rPr>
        <w:t>. According to Kaiser, CCs would thus be covered by AMLD3 in the notions of “assets of every kind”, “incorporeal” and “intangible assets”</w:t>
      </w:r>
      <w:r w:rsidR="005F0EE0" w:rsidRPr="003412DB">
        <w:rPr>
          <w:rStyle w:val="FootnoteReference"/>
          <w:rFonts w:ascii="Times New Roman" w:hAnsi="Times New Roman" w:cs="Times New Roman"/>
          <w:sz w:val="24"/>
          <w:szCs w:val="24"/>
          <w:lang w:val="en-US"/>
        </w:rPr>
        <w:footnoteReference w:id="46"/>
      </w:r>
      <w:r w:rsidRPr="000E5C9B">
        <w:rPr>
          <w:rFonts w:ascii="Times New Roman" w:hAnsi="Times New Roman" w:cs="Times New Roman"/>
          <w:sz w:val="24"/>
          <w:szCs w:val="24"/>
        </w:rPr>
        <w:t xml:space="preserve">. In my view, considering the examples of legal characterization of CCs under Spanish, English and French private law provided </w:t>
      </w:r>
      <w:r w:rsidR="005F0EE0">
        <w:rPr>
          <w:rFonts w:ascii="Times New Roman" w:hAnsi="Times New Roman" w:cs="Times New Roman"/>
          <w:sz w:val="24"/>
          <w:szCs w:val="24"/>
        </w:rPr>
        <w:t>above</w:t>
      </w:r>
      <w:r w:rsidRPr="000E5C9B">
        <w:rPr>
          <w:rFonts w:ascii="Times New Roman" w:hAnsi="Times New Roman" w:cs="Times New Roman"/>
          <w:sz w:val="24"/>
          <w:szCs w:val="24"/>
        </w:rPr>
        <w:t>, the material scope of AMLD3 would entail all three, irrespective of how the respective legal system defined CCs</w:t>
      </w:r>
      <w:r w:rsidR="00F555EB">
        <w:rPr>
          <w:rFonts w:ascii="Times New Roman" w:hAnsi="Times New Roman" w:cs="Times New Roman"/>
          <w:sz w:val="24"/>
          <w:szCs w:val="24"/>
        </w:rPr>
        <w:t>.</w:t>
      </w:r>
    </w:p>
    <w:p w14:paraId="75E8FB81" w14:textId="5923C8D6" w:rsidR="005F0EE0" w:rsidRPr="005F74AC" w:rsidRDefault="005F0EE0" w:rsidP="005F74AC">
      <w:pPr>
        <w:spacing w:after="120" w:line="360" w:lineRule="auto"/>
        <w:ind w:firstLine="709"/>
        <w:jc w:val="both"/>
        <w:rPr>
          <w:rFonts w:ascii="Times New Roman" w:hAnsi="Times New Roman" w:cs="Times New Roman"/>
          <w:sz w:val="24"/>
          <w:szCs w:val="24"/>
        </w:rPr>
      </w:pPr>
      <w:r w:rsidRPr="005F74AC">
        <w:rPr>
          <w:rFonts w:ascii="Times New Roman" w:hAnsi="Times New Roman" w:cs="Times New Roman"/>
          <w:sz w:val="24"/>
          <w:szCs w:val="24"/>
        </w:rPr>
        <w:t>In terms of its personal scope, AMLD3 applied, among other actors, to financial institutions. “Financial institutions”, under AMLD3, included “activities of currency exchange offices (bureaux de change) and of money transmission or remittance offices”</w:t>
      </w:r>
      <w:r w:rsidRPr="005F74AC">
        <w:rPr>
          <w:rStyle w:val="FootnoteReference"/>
          <w:rFonts w:ascii="Times New Roman" w:hAnsi="Times New Roman" w:cs="Times New Roman"/>
          <w:sz w:val="24"/>
          <w:szCs w:val="24"/>
          <w:lang w:val="en-US"/>
        </w:rPr>
        <w:footnoteReference w:id="47"/>
      </w:r>
      <w:r w:rsidRPr="005F74AC">
        <w:rPr>
          <w:rFonts w:ascii="Times New Roman" w:hAnsi="Times New Roman" w:cs="Times New Roman"/>
          <w:sz w:val="24"/>
          <w:szCs w:val="24"/>
        </w:rPr>
        <w:t xml:space="preserve">. Kaiser shows that fiat currency exchange offices’ work is analogous to those of CCs exchange providers with the slight difference </w:t>
      </w:r>
      <w:r w:rsidR="0050160A">
        <w:rPr>
          <w:rFonts w:ascii="Times New Roman" w:hAnsi="Times New Roman" w:cs="Times New Roman"/>
          <w:sz w:val="24"/>
          <w:szCs w:val="24"/>
        </w:rPr>
        <w:t xml:space="preserve">that </w:t>
      </w:r>
      <w:r w:rsidRPr="005F74AC">
        <w:rPr>
          <w:rFonts w:ascii="Times New Roman" w:hAnsi="Times New Roman" w:cs="Times New Roman"/>
          <w:sz w:val="24"/>
          <w:szCs w:val="24"/>
        </w:rPr>
        <w:t>the latter operate exclusively online. Thus, given the incoherenc</w:t>
      </w:r>
      <w:r w:rsidR="002D000B">
        <w:rPr>
          <w:rFonts w:ascii="Times New Roman" w:hAnsi="Times New Roman" w:cs="Times New Roman"/>
          <w:sz w:val="24"/>
          <w:szCs w:val="24"/>
        </w:rPr>
        <w:t>e</w:t>
      </w:r>
      <w:r w:rsidRPr="005F74AC">
        <w:rPr>
          <w:rFonts w:ascii="Times New Roman" w:hAnsi="Times New Roman" w:cs="Times New Roman"/>
          <w:sz w:val="24"/>
          <w:szCs w:val="24"/>
        </w:rPr>
        <w:t xml:space="preserve"> that, in her view, would result in interpreting such legislation as excluding CCs exchange providers from its scope given the similarity of its activity with that of fiat currency exchange offices, Kaiser argues that CCs exchange providers did fall under the scope of AMLD3</w:t>
      </w:r>
      <w:r w:rsidRPr="005F74AC">
        <w:rPr>
          <w:rStyle w:val="FootnoteReference"/>
          <w:rFonts w:ascii="Times New Roman" w:hAnsi="Times New Roman" w:cs="Times New Roman"/>
          <w:sz w:val="24"/>
          <w:szCs w:val="24"/>
          <w:lang w:val="en-US"/>
        </w:rPr>
        <w:footnoteReference w:id="48"/>
      </w:r>
      <w:r w:rsidRPr="005F74AC">
        <w:rPr>
          <w:rFonts w:ascii="Times New Roman" w:hAnsi="Times New Roman" w:cs="Times New Roman"/>
          <w:sz w:val="24"/>
          <w:szCs w:val="24"/>
        </w:rPr>
        <w:t>. Miners and wallet providers were out of the scope of AMLD3</w:t>
      </w:r>
      <w:r w:rsidR="005F74AC" w:rsidRPr="005F74AC">
        <w:rPr>
          <w:rFonts w:ascii="Times New Roman" w:hAnsi="Times New Roman" w:cs="Times New Roman"/>
          <w:sz w:val="24"/>
          <w:szCs w:val="24"/>
        </w:rPr>
        <w:t xml:space="preserve"> since</w:t>
      </w:r>
      <w:r w:rsidRPr="005F74AC">
        <w:rPr>
          <w:rFonts w:ascii="Times New Roman" w:hAnsi="Times New Roman" w:cs="Times New Roman"/>
          <w:sz w:val="24"/>
          <w:szCs w:val="24"/>
        </w:rPr>
        <w:t>, as Egan explains</w:t>
      </w:r>
      <w:r w:rsidR="005F74AC" w:rsidRPr="005F74AC">
        <w:rPr>
          <w:rFonts w:ascii="Times New Roman" w:hAnsi="Times New Roman" w:cs="Times New Roman"/>
          <w:sz w:val="24"/>
          <w:szCs w:val="24"/>
        </w:rPr>
        <w:t>, “</w:t>
      </w:r>
      <w:r w:rsidRPr="005F74AC">
        <w:rPr>
          <w:rFonts w:ascii="Times New Roman" w:hAnsi="Times New Roman" w:cs="Times New Roman"/>
          <w:sz w:val="24"/>
          <w:szCs w:val="24"/>
        </w:rPr>
        <w:t>it was evident that neither role involved the provisions of credit services which would entail receiving deposits from the public or granting credit. Nor was the work of wallet providers and miners characterised by attributes of financial institutions”</w:t>
      </w:r>
      <w:r w:rsidRPr="005F74AC">
        <w:rPr>
          <w:rStyle w:val="FootnoteReference"/>
          <w:rFonts w:ascii="Times New Roman" w:hAnsi="Times New Roman" w:cs="Times New Roman"/>
          <w:sz w:val="24"/>
          <w:szCs w:val="24"/>
          <w:lang w:val="en-US"/>
        </w:rPr>
        <w:footnoteReference w:id="49"/>
      </w:r>
      <w:r w:rsidR="002D000B">
        <w:rPr>
          <w:rFonts w:ascii="Times New Roman" w:hAnsi="Times New Roman" w:cs="Times New Roman"/>
          <w:sz w:val="24"/>
          <w:szCs w:val="24"/>
        </w:rPr>
        <w:t>.</w:t>
      </w:r>
    </w:p>
    <w:p w14:paraId="525EDAE6" w14:textId="4434046D" w:rsidR="008838DB" w:rsidRDefault="00756C02" w:rsidP="008838DB">
      <w:pPr>
        <w:spacing w:after="120" w:line="360" w:lineRule="auto"/>
        <w:ind w:firstLine="709"/>
        <w:jc w:val="both"/>
        <w:rPr>
          <w:rFonts w:ascii="Times New Roman" w:hAnsi="Times New Roman" w:cs="Times New Roman"/>
          <w:sz w:val="24"/>
          <w:szCs w:val="24"/>
        </w:rPr>
      </w:pPr>
      <w:r w:rsidRPr="00756C02">
        <w:rPr>
          <w:rFonts w:ascii="Times New Roman" w:hAnsi="Times New Roman" w:cs="Times New Roman"/>
          <w:sz w:val="24"/>
          <w:szCs w:val="24"/>
        </w:rPr>
        <w:t>However, in my view, Kaiser’s opinion regarding CCs exchange providers is wrong. When the FATF and the Co</w:t>
      </w:r>
      <w:r>
        <w:rPr>
          <w:rFonts w:ascii="Times New Roman" w:hAnsi="Times New Roman" w:cs="Times New Roman"/>
          <w:sz w:val="24"/>
          <w:szCs w:val="24"/>
        </w:rPr>
        <w:t xml:space="preserve">uncil of </w:t>
      </w:r>
      <w:r w:rsidRPr="00756C02">
        <w:rPr>
          <w:rFonts w:ascii="Times New Roman" w:hAnsi="Times New Roman" w:cs="Times New Roman"/>
          <w:sz w:val="24"/>
          <w:szCs w:val="24"/>
        </w:rPr>
        <w:t>E</w:t>
      </w:r>
      <w:r>
        <w:rPr>
          <w:rFonts w:ascii="Times New Roman" w:hAnsi="Times New Roman" w:cs="Times New Roman"/>
          <w:sz w:val="24"/>
          <w:szCs w:val="24"/>
        </w:rPr>
        <w:t>urope</w:t>
      </w:r>
      <w:r w:rsidRPr="00756C02">
        <w:rPr>
          <w:rFonts w:ascii="Times New Roman" w:hAnsi="Times New Roman" w:cs="Times New Roman"/>
          <w:sz w:val="24"/>
          <w:szCs w:val="24"/>
        </w:rPr>
        <w:t xml:space="preserve"> published their joint report on ML through Money Remittance and Currency Exchange Providers (in which they referred to the coverage of fiat currency exchange offices by AMLD3), they expressly excluded</w:t>
      </w:r>
      <w:r w:rsidR="00D54C02">
        <w:rPr>
          <w:rFonts w:ascii="Times New Roman" w:hAnsi="Times New Roman" w:cs="Times New Roman"/>
          <w:sz w:val="24"/>
          <w:szCs w:val="24"/>
        </w:rPr>
        <w:t xml:space="preserve"> New Payment Methods</w:t>
      </w:r>
      <w:r w:rsidRPr="00756C02">
        <w:rPr>
          <w:rFonts w:ascii="Times New Roman" w:hAnsi="Times New Roman" w:cs="Times New Roman"/>
          <w:sz w:val="24"/>
          <w:szCs w:val="24"/>
        </w:rPr>
        <w:t xml:space="preserve"> </w:t>
      </w:r>
      <w:r w:rsidR="00D54C02">
        <w:rPr>
          <w:rFonts w:ascii="Times New Roman" w:hAnsi="Times New Roman" w:cs="Times New Roman"/>
          <w:sz w:val="24"/>
          <w:szCs w:val="24"/>
        </w:rPr>
        <w:t>(</w:t>
      </w:r>
      <w:r w:rsidRPr="00756C02">
        <w:rPr>
          <w:rFonts w:ascii="Times New Roman" w:hAnsi="Times New Roman" w:cs="Times New Roman"/>
          <w:sz w:val="24"/>
          <w:szCs w:val="24"/>
        </w:rPr>
        <w:t>NPM</w:t>
      </w:r>
      <w:r w:rsidR="00D54C02">
        <w:rPr>
          <w:rFonts w:ascii="Times New Roman" w:hAnsi="Times New Roman" w:cs="Times New Roman"/>
          <w:sz w:val="24"/>
          <w:szCs w:val="24"/>
        </w:rPr>
        <w:t>)</w:t>
      </w:r>
      <w:r w:rsidRPr="00756C02">
        <w:rPr>
          <w:rFonts w:ascii="Times New Roman" w:hAnsi="Times New Roman" w:cs="Times New Roman"/>
          <w:sz w:val="24"/>
          <w:szCs w:val="24"/>
        </w:rPr>
        <w:t xml:space="preserve"> from the report’s scope, explaining that such methods had already been object of the 2006 FATF report on NPMs</w:t>
      </w:r>
      <w:r w:rsidRPr="003412DB">
        <w:rPr>
          <w:rStyle w:val="FootnoteReference"/>
          <w:rFonts w:ascii="Times New Roman" w:hAnsi="Times New Roman" w:cs="Times New Roman"/>
          <w:sz w:val="24"/>
          <w:szCs w:val="24"/>
          <w:lang w:val="en-US"/>
        </w:rPr>
        <w:footnoteReference w:id="50"/>
      </w:r>
      <w:r>
        <w:rPr>
          <w:rFonts w:ascii="Times New Roman" w:hAnsi="Times New Roman" w:cs="Times New Roman"/>
          <w:sz w:val="24"/>
          <w:szCs w:val="24"/>
        </w:rPr>
        <w:t>.</w:t>
      </w:r>
      <w:r w:rsidRPr="00756C02">
        <w:rPr>
          <w:rFonts w:ascii="Times New Roman" w:hAnsi="Times New Roman" w:cs="Times New Roman"/>
          <w:sz w:val="24"/>
          <w:szCs w:val="24"/>
        </w:rPr>
        <w:t xml:space="preserve"> And the latter report entailed ML concerns regarding “digital </w:t>
      </w:r>
      <w:r w:rsidRPr="00756C02">
        <w:rPr>
          <w:rFonts w:ascii="Times New Roman" w:hAnsi="Times New Roman" w:cs="Times New Roman"/>
          <w:sz w:val="24"/>
          <w:szCs w:val="24"/>
        </w:rPr>
        <w:lastRenderedPageBreak/>
        <w:t>currencies” such as e-gold</w:t>
      </w:r>
      <w:r w:rsidRPr="003412DB">
        <w:rPr>
          <w:rStyle w:val="FootnoteReference"/>
          <w:rFonts w:ascii="Times New Roman" w:hAnsi="Times New Roman" w:cs="Times New Roman"/>
          <w:sz w:val="24"/>
          <w:szCs w:val="24"/>
          <w:lang w:val="en-US"/>
        </w:rPr>
        <w:footnoteReference w:id="51"/>
      </w:r>
      <w:r w:rsidRPr="00756C02">
        <w:rPr>
          <w:rFonts w:ascii="Times New Roman" w:hAnsi="Times New Roman" w:cs="Times New Roman"/>
          <w:sz w:val="24"/>
          <w:szCs w:val="24"/>
        </w:rPr>
        <w:t>. Thus, considering one of AMLD3’s objectives was to bring the EU AML regulatory regime in line with the FATF standards</w:t>
      </w:r>
      <w:r w:rsidRPr="003412DB">
        <w:rPr>
          <w:rStyle w:val="FootnoteReference"/>
          <w:rFonts w:ascii="Times New Roman" w:hAnsi="Times New Roman" w:cs="Times New Roman"/>
          <w:sz w:val="24"/>
          <w:szCs w:val="24"/>
          <w:lang w:val="en-US"/>
        </w:rPr>
        <w:footnoteReference w:id="52"/>
      </w:r>
      <w:r>
        <w:rPr>
          <w:rFonts w:ascii="Times New Roman" w:hAnsi="Times New Roman" w:cs="Times New Roman"/>
          <w:sz w:val="24"/>
          <w:szCs w:val="24"/>
        </w:rPr>
        <w:t>,</w:t>
      </w:r>
      <w:r w:rsidRPr="00756C02">
        <w:rPr>
          <w:rFonts w:ascii="Times New Roman" w:hAnsi="Times New Roman" w:cs="Times New Roman"/>
          <w:sz w:val="24"/>
          <w:szCs w:val="24"/>
        </w:rPr>
        <w:t xml:space="preserve"> I understand it is not possible to depart from conceptual delineation constructed by the FATF itself in order to include CCs exchange providers in the AMLD3 notion of “currency exchange offices”</w:t>
      </w:r>
      <w:r w:rsidR="002D7E6E">
        <w:rPr>
          <w:rFonts w:ascii="Times New Roman" w:hAnsi="Times New Roman" w:cs="Times New Roman"/>
          <w:sz w:val="24"/>
          <w:szCs w:val="24"/>
        </w:rPr>
        <w:t>.</w:t>
      </w:r>
    </w:p>
    <w:p w14:paraId="2AA0CE4B" w14:textId="77777777" w:rsidR="000E12A9" w:rsidRDefault="000E12A9" w:rsidP="000E12A9">
      <w:pPr>
        <w:spacing w:after="120" w:line="360" w:lineRule="auto"/>
        <w:jc w:val="both"/>
        <w:rPr>
          <w:rFonts w:ascii="Times New Roman" w:hAnsi="Times New Roman" w:cs="Times New Roman"/>
          <w:b/>
          <w:bCs/>
          <w:sz w:val="24"/>
          <w:szCs w:val="24"/>
        </w:rPr>
      </w:pPr>
    </w:p>
    <w:p w14:paraId="08D3B6D7" w14:textId="1F7998DD" w:rsidR="000E12A9" w:rsidRPr="00245FC9" w:rsidRDefault="000E12A9" w:rsidP="000E12A9">
      <w:pPr>
        <w:spacing w:after="120" w:line="360" w:lineRule="auto"/>
        <w:jc w:val="both"/>
        <w:rPr>
          <w:rFonts w:ascii="Times New Roman" w:hAnsi="Times New Roman" w:cs="Times New Roman"/>
          <w:b/>
          <w:bCs/>
          <w:sz w:val="24"/>
          <w:szCs w:val="24"/>
        </w:rPr>
      </w:pPr>
      <w:r w:rsidRPr="00245FC9">
        <w:rPr>
          <w:rFonts w:ascii="Times New Roman" w:hAnsi="Times New Roman" w:cs="Times New Roman"/>
          <w:b/>
          <w:bCs/>
          <w:sz w:val="24"/>
          <w:szCs w:val="24"/>
        </w:rPr>
        <w:t xml:space="preserve">Cryptocurrencies under the </w:t>
      </w:r>
      <w:r w:rsidR="00924B52">
        <w:rPr>
          <w:rFonts w:ascii="Times New Roman" w:hAnsi="Times New Roman" w:cs="Times New Roman"/>
          <w:b/>
          <w:bCs/>
          <w:sz w:val="24"/>
          <w:szCs w:val="24"/>
        </w:rPr>
        <w:t>Fourth</w:t>
      </w:r>
      <w:r w:rsidRPr="00245FC9">
        <w:rPr>
          <w:rFonts w:ascii="Times New Roman" w:hAnsi="Times New Roman" w:cs="Times New Roman"/>
          <w:b/>
          <w:bCs/>
          <w:sz w:val="24"/>
          <w:szCs w:val="24"/>
        </w:rPr>
        <w:t xml:space="preserve"> Anti-Money Laundering Directive</w:t>
      </w:r>
    </w:p>
    <w:p w14:paraId="77754017" w14:textId="5B833408" w:rsidR="000E12A9" w:rsidRDefault="000E12A9" w:rsidP="000E12A9">
      <w:pPr>
        <w:spacing w:after="120" w:line="360" w:lineRule="auto"/>
        <w:ind w:firstLine="709"/>
        <w:jc w:val="both"/>
        <w:rPr>
          <w:rFonts w:ascii="Times New Roman" w:hAnsi="Times New Roman" w:cs="Times New Roman"/>
          <w:sz w:val="24"/>
          <w:szCs w:val="24"/>
        </w:rPr>
      </w:pPr>
      <w:r w:rsidRPr="000E12A9">
        <w:rPr>
          <w:rFonts w:ascii="Times New Roman" w:hAnsi="Times New Roman" w:cs="Times New Roman"/>
          <w:sz w:val="24"/>
          <w:szCs w:val="24"/>
        </w:rPr>
        <w:t>While the legislative process leading up to the adoption of AMLD4 was taking place, the European Banking Authority (EBA) issued its “[o]pinion on ‘virtual currencies’” (EBA opinion). In this opinion</w:t>
      </w:r>
      <w:r w:rsidR="00510D59">
        <w:rPr>
          <w:rFonts w:ascii="Times New Roman" w:hAnsi="Times New Roman" w:cs="Times New Roman"/>
          <w:sz w:val="24"/>
          <w:szCs w:val="24"/>
        </w:rPr>
        <w:t>,</w:t>
      </w:r>
      <w:r w:rsidRPr="000E12A9">
        <w:rPr>
          <w:rFonts w:ascii="Times New Roman" w:hAnsi="Times New Roman" w:cs="Times New Roman"/>
          <w:sz w:val="24"/>
          <w:szCs w:val="24"/>
        </w:rPr>
        <w:t xml:space="preserve"> the EBA recommended the inclusion of CCs under the material scope of the EU AML framework and the inclusion of CCs exchange providers under the personal scope. The reasons the EBA gave for such recommendation consist of the risk posed to</w:t>
      </w:r>
      <w:r>
        <w:rPr>
          <w:rFonts w:ascii="Times New Roman" w:hAnsi="Times New Roman" w:cs="Times New Roman"/>
          <w:sz w:val="24"/>
          <w:szCs w:val="24"/>
        </w:rPr>
        <w:t xml:space="preserve"> </w:t>
      </w:r>
      <w:r w:rsidRPr="000E12A9">
        <w:rPr>
          <w:rFonts w:ascii="Times New Roman" w:hAnsi="Times New Roman" w:cs="Times New Roman"/>
          <w:sz w:val="24"/>
          <w:szCs w:val="24"/>
        </w:rPr>
        <w:t xml:space="preserve">AML policies by CCs explained </w:t>
      </w:r>
      <w:r w:rsidR="00924B52">
        <w:rPr>
          <w:rFonts w:ascii="Times New Roman" w:hAnsi="Times New Roman" w:cs="Times New Roman"/>
          <w:sz w:val="24"/>
          <w:szCs w:val="24"/>
        </w:rPr>
        <w:t>above</w:t>
      </w:r>
      <w:r w:rsidR="00924B52" w:rsidRPr="003412DB">
        <w:rPr>
          <w:rStyle w:val="FootnoteReference"/>
          <w:rFonts w:ascii="Times New Roman" w:hAnsi="Times New Roman" w:cs="Times New Roman"/>
          <w:sz w:val="24"/>
          <w:szCs w:val="24"/>
          <w:lang w:val="en-US"/>
        </w:rPr>
        <w:footnoteReference w:id="53"/>
      </w:r>
      <w:r w:rsidRPr="000E12A9">
        <w:rPr>
          <w:rFonts w:ascii="Times New Roman" w:hAnsi="Times New Roman" w:cs="Times New Roman"/>
          <w:sz w:val="24"/>
          <w:szCs w:val="24"/>
        </w:rPr>
        <w:t>. Following the EBA opinion, the European Commission’s Payment Systems Market Expert Group acknowledged it and stated that would consider including CCs in the material scope of AMLD4, taking into account their anonymity feature and facing the challenge of balancing “fundamental rights [with] AML needs”</w:t>
      </w:r>
      <w:r w:rsidR="00924B52" w:rsidRPr="003412DB">
        <w:rPr>
          <w:rStyle w:val="FootnoteReference"/>
          <w:rFonts w:ascii="Times New Roman" w:hAnsi="Times New Roman" w:cs="Times New Roman"/>
          <w:sz w:val="24"/>
          <w:szCs w:val="24"/>
          <w:lang w:val="en-US"/>
        </w:rPr>
        <w:footnoteReference w:id="54"/>
      </w:r>
      <w:r w:rsidR="00510D59">
        <w:rPr>
          <w:rFonts w:ascii="Times New Roman" w:hAnsi="Times New Roman" w:cs="Times New Roman"/>
          <w:sz w:val="24"/>
          <w:szCs w:val="24"/>
        </w:rPr>
        <w:t>.</w:t>
      </w:r>
    </w:p>
    <w:p w14:paraId="664C33F3" w14:textId="1799267A" w:rsidR="00924B52" w:rsidRDefault="00924B52" w:rsidP="000E12A9">
      <w:pPr>
        <w:spacing w:after="120" w:line="360" w:lineRule="auto"/>
        <w:ind w:firstLine="709"/>
        <w:jc w:val="both"/>
        <w:rPr>
          <w:rFonts w:ascii="Times New Roman" w:hAnsi="Times New Roman" w:cs="Times New Roman"/>
          <w:sz w:val="24"/>
          <w:szCs w:val="24"/>
        </w:rPr>
      </w:pPr>
      <w:r w:rsidRPr="00924B52">
        <w:rPr>
          <w:rFonts w:ascii="Times New Roman" w:hAnsi="Times New Roman" w:cs="Times New Roman"/>
          <w:sz w:val="24"/>
          <w:szCs w:val="24"/>
        </w:rPr>
        <w:t>Moreover, both the ECB report</w:t>
      </w:r>
      <w:r w:rsidRPr="003412DB">
        <w:rPr>
          <w:rStyle w:val="FootnoteReference"/>
          <w:rFonts w:ascii="Times New Roman" w:hAnsi="Times New Roman" w:cs="Times New Roman"/>
          <w:sz w:val="24"/>
          <w:szCs w:val="24"/>
          <w:lang w:val="en-US"/>
        </w:rPr>
        <w:footnoteReference w:id="55"/>
      </w:r>
      <w:r w:rsidRPr="00924B52">
        <w:rPr>
          <w:rFonts w:ascii="Times New Roman" w:hAnsi="Times New Roman" w:cs="Times New Roman"/>
          <w:sz w:val="24"/>
          <w:szCs w:val="24"/>
        </w:rPr>
        <w:t xml:space="preserve"> and the EBA opinion</w:t>
      </w:r>
      <w:r w:rsidRPr="003412DB">
        <w:rPr>
          <w:rStyle w:val="FootnoteReference"/>
          <w:rFonts w:ascii="Times New Roman" w:hAnsi="Times New Roman" w:cs="Times New Roman"/>
          <w:sz w:val="24"/>
          <w:szCs w:val="24"/>
          <w:lang w:val="en-US"/>
        </w:rPr>
        <w:footnoteReference w:id="56"/>
      </w:r>
      <w:r w:rsidRPr="00924B52">
        <w:rPr>
          <w:rFonts w:ascii="Times New Roman" w:hAnsi="Times New Roman" w:cs="Times New Roman"/>
          <w:sz w:val="24"/>
          <w:szCs w:val="24"/>
        </w:rPr>
        <w:t xml:space="preserve"> stated that CCs present a risk for the prevention of terrorism financing for the same reasons that they do so regarding ML. In the aftermath of the terrorist attacks perpetrated in French territory in early 2015, the Council of the EU urged for the enhancement of AML standards and specifically stated the need to target CCs</w:t>
      </w:r>
      <w:r w:rsidR="00BF1A30" w:rsidRPr="003412DB">
        <w:rPr>
          <w:rStyle w:val="FootnoteReference"/>
          <w:rFonts w:ascii="Times New Roman" w:hAnsi="Times New Roman" w:cs="Times New Roman"/>
          <w:sz w:val="24"/>
          <w:szCs w:val="24"/>
          <w:lang w:val="en-US"/>
        </w:rPr>
        <w:footnoteReference w:id="57"/>
      </w:r>
      <w:r w:rsidRPr="00924B52">
        <w:rPr>
          <w:rFonts w:ascii="Times New Roman" w:hAnsi="Times New Roman" w:cs="Times New Roman"/>
          <w:sz w:val="24"/>
          <w:szCs w:val="24"/>
        </w:rPr>
        <w:t>. However, further positions did not expressly mention CCs. The latter were supported by the European Parliament and agreed upon by the European Commission, resulting in the final text of AMLD4, which did not refer to CCs</w:t>
      </w:r>
      <w:r w:rsidR="00BF1A30" w:rsidRPr="003412DB">
        <w:rPr>
          <w:rStyle w:val="FootnoteReference"/>
          <w:rFonts w:ascii="Times New Roman" w:hAnsi="Times New Roman" w:cs="Times New Roman"/>
          <w:sz w:val="24"/>
          <w:szCs w:val="24"/>
          <w:lang w:val="en-US"/>
        </w:rPr>
        <w:footnoteReference w:id="58"/>
      </w:r>
      <w:r w:rsidRPr="00924B52">
        <w:rPr>
          <w:rFonts w:ascii="Times New Roman" w:hAnsi="Times New Roman" w:cs="Times New Roman"/>
          <w:sz w:val="24"/>
          <w:szCs w:val="24"/>
        </w:rPr>
        <w:t xml:space="preserve">. Furthermore, “the inclusion of VCs </w:t>
      </w:r>
      <w:r w:rsidRPr="00924B52">
        <w:rPr>
          <w:rFonts w:ascii="Times New Roman" w:hAnsi="Times New Roman" w:cs="Times New Roman"/>
          <w:sz w:val="24"/>
          <w:szCs w:val="24"/>
        </w:rPr>
        <w:lastRenderedPageBreak/>
        <w:t>in 5AMLD was not in response to actual indication of their use in Europe for [terrorism financing] purposes, but rather general concern about the potential for [terrorism financing] risks to emerge”</w:t>
      </w:r>
      <w:r w:rsidR="00BF1A30" w:rsidRPr="003412DB">
        <w:rPr>
          <w:rStyle w:val="FootnoteReference"/>
          <w:rFonts w:ascii="Times New Roman" w:hAnsi="Times New Roman" w:cs="Times New Roman"/>
          <w:sz w:val="24"/>
          <w:szCs w:val="24"/>
          <w:lang w:val="en-US"/>
        </w:rPr>
        <w:footnoteReference w:id="59"/>
      </w:r>
      <w:r w:rsidRPr="00924B52">
        <w:rPr>
          <w:rFonts w:ascii="Times New Roman" w:hAnsi="Times New Roman" w:cs="Times New Roman"/>
          <w:sz w:val="24"/>
          <w:szCs w:val="24"/>
        </w:rPr>
        <w:t xml:space="preserve">. The </w:t>
      </w:r>
      <w:r w:rsidR="00BF1A30" w:rsidRPr="00BF1A30">
        <w:rPr>
          <w:rFonts w:ascii="Times New Roman" w:hAnsi="Times New Roman" w:cs="Times New Roman"/>
          <w:sz w:val="24"/>
          <w:szCs w:val="24"/>
        </w:rPr>
        <w:t>European Union Agency for Law Enforcement Cooperation</w:t>
      </w:r>
      <w:r w:rsidRPr="00924B52">
        <w:rPr>
          <w:rFonts w:ascii="Times New Roman" w:hAnsi="Times New Roman" w:cs="Times New Roman"/>
          <w:sz w:val="24"/>
          <w:szCs w:val="24"/>
        </w:rPr>
        <w:t xml:space="preserve"> also stated in its report on “[c]</w:t>
      </w:r>
      <w:proofErr w:type="spellStart"/>
      <w:r w:rsidRPr="00924B52">
        <w:rPr>
          <w:rFonts w:ascii="Times New Roman" w:hAnsi="Times New Roman" w:cs="Times New Roman"/>
          <w:sz w:val="24"/>
          <w:szCs w:val="24"/>
        </w:rPr>
        <w:t>hanges</w:t>
      </w:r>
      <w:proofErr w:type="spellEnd"/>
      <w:r w:rsidRPr="00924B52">
        <w:rPr>
          <w:rFonts w:ascii="Times New Roman" w:hAnsi="Times New Roman" w:cs="Times New Roman"/>
          <w:sz w:val="24"/>
          <w:szCs w:val="24"/>
        </w:rPr>
        <w:t xml:space="preserve"> in the [modus operandi] of Islamic State</w:t>
      </w:r>
      <w:r w:rsidR="00BF1A30">
        <w:rPr>
          <w:rFonts w:ascii="Times New Roman" w:hAnsi="Times New Roman" w:cs="Times New Roman"/>
          <w:sz w:val="24"/>
          <w:szCs w:val="24"/>
          <w:vertAlign w:val="superscript"/>
        </w:rPr>
        <w:t xml:space="preserve"> </w:t>
      </w:r>
      <w:r w:rsidRPr="00924B52">
        <w:rPr>
          <w:rFonts w:ascii="Times New Roman" w:hAnsi="Times New Roman" w:cs="Times New Roman"/>
          <w:sz w:val="24"/>
          <w:szCs w:val="24"/>
        </w:rPr>
        <w:t>terrorist attacks” that there is no evidence confirming the actual use of CCs to finance Islamic State terroris</w:t>
      </w:r>
      <w:r>
        <w:rPr>
          <w:rFonts w:ascii="Times New Roman" w:hAnsi="Times New Roman" w:cs="Times New Roman"/>
          <w:sz w:val="24"/>
          <w:szCs w:val="24"/>
        </w:rPr>
        <w:t>t</w:t>
      </w:r>
      <w:r w:rsidR="00BF1A30">
        <w:rPr>
          <w:rFonts w:ascii="Times New Roman" w:hAnsi="Times New Roman" w:cs="Times New Roman"/>
          <w:sz w:val="24"/>
          <w:szCs w:val="24"/>
        </w:rPr>
        <w:t xml:space="preserve"> attacks</w:t>
      </w:r>
      <w:r w:rsidR="00BF1A30" w:rsidRPr="003412DB">
        <w:rPr>
          <w:rStyle w:val="FootnoteReference"/>
          <w:rFonts w:ascii="Times New Roman" w:hAnsi="Times New Roman" w:cs="Times New Roman"/>
          <w:sz w:val="24"/>
          <w:szCs w:val="24"/>
          <w:lang w:val="en-US"/>
        </w:rPr>
        <w:footnoteReference w:id="60"/>
      </w:r>
      <w:r w:rsidR="00BF1A30">
        <w:rPr>
          <w:rFonts w:ascii="Times New Roman" w:hAnsi="Times New Roman" w:cs="Times New Roman"/>
          <w:sz w:val="24"/>
          <w:szCs w:val="24"/>
        </w:rPr>
        <w:t>.</w:t>
      </w:r>
      <w:r w:rsidR="00BF1A30">
        <w:t xml:space="preserve"> </w:t>
      </w:r>
      <w:r w:rsidR="00BF1A30" w:rsidRPr="00BF1A30">
        <w:rPr>
          <w:rFonts w:ascii="Times New Roman" w:hAnsi="Times New Roman" w:cs="Times New Roman"/>
          <w:sz w:val="24"/>
          <w:szCs w:val="24"/>
        </w:rPr>
        <w:t>Finally, the European Commission’s Supranational Risk Assessment of ML and Terrorist Financing Risks considered the level of terrorism financing threat posed by CCs to be “moderately significant”. The reason given is that, although law enforcement authorities had collected some evidence of the use of CCs for terrorism financing purposes, the hurdle of the technical complexity involving the use of CCs outweighs the benefit of anonymity</w:t>
      </w:r>
      <w:r w:rsidR="00BF1A30" w:rsidRPr="003412DB">
        <w:rPr>
          <w:rStyle w:val="FootnoteReference"/>
          <w:rFonts w:ascii="Times New Roman" w:hAnsi="Times New Roman" w:cs="Times New Roman"/>
          <w:sz w:val="24"/>
          <w:szCs w:val="24"/>
          <w:lang w:val="en-US"/>
        </w:rPr>
        <w:footnoteReference w:id="61"/>
      </w:r>
      <w:r w:rsidR="004A728E">
        <w:rPr>
          <w:rFonts w:ascii="Times New Roman" w:hAnsi="Times New Roman" w:cs="Times New Roman"/>
          <w:sz w:val="24"/>
          <w:szCs w:val="24"/>
        </w:rPr>
        <w:t>.</w:t>
      </w:r>
    </w:p>
    <w:p w14:paraId="359D1BE6" w14:textId="16C47870" w:rsidR="00BF1A30" w:rsidRDefault="00BF1A30" w:rsidP="000E12A9">
      <w:pPr>
        <w:spacing w:after="120" w:line="360" w:lineRule="auto"/>
        <w:ind w:firstLine="709"/>
        <w:jc w:val="both"/>
        <w:rPr>
          <w:rFonts w:ascii="Times New Roman" w:hAnsi="Times New Roman" w:cs="Times New Roman"/>
          <w:sz w:val="24"/>
          <w:szCs w:val="24"/>
        </w:rPr>
      </w:pPr>
      <w:r w:rsidRPr="00BF1A30">
        <w:rPr>
          <w:rFonts w:ascii="Times New Roman" w:hAnsi="Times New Roman" w:cs="Times New Roman"/>
          <w:sz w:val="24"/>
          <w:szCs w:val="24"/>
        </w:rPr>
        <w:t>Nevertheless, even before the amendments brought by AMLD5, AMLD4 contained provisions which could bring CCs under its scope. Although the Directive did not mention CCs, it also did not exclude them from being scrutinized. Therefore, Member States could include CCs under their own national AML frameworks</w:t>
      </w:r>
      <w:r w:rsidRPr="003412DB">
        <w:rPr>
          <w:rStyle w:val="FootnoteReference"/>
          <w:rFonts w:ascii="Times New Roman" w:hAnsi="Times New Roman" w:cs="Times New Roman"/>
          <w:sz w:val="24"/>
          <w:szCs w:val="24"/>
          <w:lang w:val="en-US"/>
        </w:rPr>
        <w:footnoteReference w:id="62"/>
      </w:r>
      <w:r w:rsidRPr="00BF1A30">
        <w:rPr>
          <w:rFonts w:ascii="Times New Roman" w:hAnsi="Times New Roman" w:cs="Times New Roman"/>
          <w:sz w:val="24"/>
          <w:szCs w:val="24"/>
        </w:rPr>
        <w:t>. Regarding AMLD4’s material scope, the rationale is the same as for AMLD3, as the notion of “property” under AMLD4 also entails “incorporeal” assets</w:t>
      </w:r>
      <w:r w:rsidRPr="003412DB">
        <w:rPr>
          <w:rStyle w:val="FootnoteReference"/>
          <w:rFonts w:ascii="Times New Roman" w:hAnsi="Times New Roman" w:cs="Times New Roman"/>
          <w:sz w:val="24"/>
          <w:szCs w:val="24"/>
          <w:lang w:val="en-US"/>
        </w:rPr>
        <w:footnoteReference w:id="63"/>
      </w:r>
      <w:r w:rsidRPr="00BF1A30">
        <w:rPr>
          <w:rFonts w:ascii="Times New Roman" w:hAnsi="Times New Roman" w:cs="Times New Roman"/>
          <w:sz w:val="24"/>
          <w:szCs w:val="24"/>
        </w:rPr>
        <w:t>.</w:t>
      </w:r>
    </w:p>
    <w:p w14:paraId="0A4D27F3" w14:textId="09062143" w:rsidR="00BF1A30" w:rsidRDefault="00BF1A30" w:rsidP="000E12A9">
      <w:pPr>
        <w:spacing w:after="120" w:line="360" w:lineRule="auto"/>
        <w:ind w:firstLine="709"/>
        <w:jc w:val="both"/>
        <w:rPr>
          <w:rFonts w:ascii="Times New Roman" w:hAnsi="Times New Roman" w:cs="Times New Roman"/>
          <w:sz w:val="24"/>
          <w:szCs w:val="24"/>
        </w:rPr>
      </w:pPr>
      <w:r w:rsidRPr="00BF1A30">
        <w:rPr>
          <w:rFonts w:ascii="Times New Roman" w:hAnsi="Times New Roman" w:cs="Times New Roman"/>
          <w:sz w:val="24"/>
          <w:szCs w:val="24"/>
        </w:rPr>
        <w:t>In terms of its personal scope, AMLD4 also applies to “Financial institutions” which, under such Directive, means, among others, “an undertaking other than a credit institution, which carries out one or more of the activities listed in points (2) to (12), (14) and (15) of Annex I to Directive 2013/36/EU of the European Parliament and of the Council”</w:t>
      </w:r>
      <w:r w:rsidR="00FC4FA3" w:rsidRPr="003412DB">
        <w:rPr>
          <w:rStyle w:val="FootnoteReference"/>
          <w:rFonts w:ascii="Times New Roman" w:hAnsi="Times New Roman" w:cs="Times New Roman"/>
          <w:sz w:val="24"/>
          <w:szCs w:val="24"/>
          <w:lang w:val="en-US"/>
        </w:rPr>
        <w:footnoteReference w:id="64"/>
      </w:r>
      <w:r w:rsidRPr="00BF1A30">
        <w:rPr>
          <w:rFonts w:ascii="Times New Roman" w:hAnsi="Times New Roman" w:cs="Times New Roman"/>
          <w:sz w:val="24"/>
          <w:szCs w:val="24"/>
        </w:rPr>
        <w:t xml:space="preserve">. Annex I to Directive 2013/36/EU (Capital Requirements Directive IV) includes the activity of </w:t>
      </w:r>
      <w:r w:rsidRPr="00BF1A30">
        <w:rPr>
          <w:rFonts w:ascii="Times New Roman" w:hAnsi="Times New Roman" w:cs="Times New Roman"/>
          <w:sz w:val="24"/>
          <w:szCs w:val="24"/>
        </w:rPr>
        <w:lastRenderedPageBreak/>
        <w:t>“[</w:t>
      </w:r>
      <w:proofErr w:type="spellStart"/>
      <w:r w:rsidRPr="00BF1A30">
        <w:rPr>
          <w:rFonts w:ascii="Times New Roman" w:hAnsi="Times New Roman" w:cs="Times New Roman"/>
          <w:sz w:val="24"/>
          <w:szCs w:val="24"/>
        </w:rPr>
        <w:t>i</w:t>
      </w:r>
      <w:proofErr w:type="spellEnd"/>
      <w:r w:rsidRPr="00BF1A30">
        <w:rPr>
          <w:rFonts w:ascii="Times New Roman" w:hAnsi="Times New Roman" w:cs="Times New Roman"/>
          <w:sz w:val="24"/>
          <w:szCs w:val="24"/>
        </w:rPr>
        <w:t>]</w:t>
      </w:r>
      <w:proofErr w:type="spellStart"/>
      <w:r w:rsidRPr="00BF1A30">
        <w:rPr>
          <w:rFonts w:ascii="Times New Roman" w:hAnsi="Times New Roman" w:cs="Times New Roman"/>
          <w:sz w:val="24"/>
          <w:szCs w:val="24"/>
        </w:rPr>
        <w:t>ssuing</w:t>
      </w:r>
      <w:proofErr w:type="spellEnd"/>
      <w:r w:rsidRPr="00BF1A30">
        <w:rPr>
          <w:rFonts w:ascii="Times New Roman" w:hAnsi="Times New Roman" w:cs="Times New Roman"/>
          <w:sz w:val="24"/>
          <w:szCs w:val="24"/>
        </w:rPr>
        <w:t xml:space="preserve"> and administering other means of payment (e.g. travellers' cheques and bankers' drafts) insofar as such activity is not covered by point 4”</w:t>
      </w:r>
      <w:r w:rsidR="00FC4FA3" w:rsidRPr="003412DB">
        <w:rPr>
          <w:rStyle w:val="FootnoteReference"/>
          <w:rFonts w:ascii="Times New Roman" w:hAnsi="Times New Roman" w:cs="Times New Roman"/>
          <w:sz w:val="24"/>
          <w:szCs w:val="24"/>
          <w:lang w:val="en-US"/>
        </w:rPr>
        <w:footnoteReference w:id="65"/>
      </w:r>
      <w:r w:rsidRPr="00BF1A30">
        <w:rPr>
          <w:rFonts w:ascii="Times New Roman" w:hAnsi="Times New Roman" w:cs="Times New Roman"/>
          <w:sz w:val="24"/>
          <w:szCs w:val="24"/>
        </w:rPr>
        <w:t>. “[P]</w:t>
      </w:r>
      <w:proofErr w:type="spellStart"/>
      <w:r w:rsidRPr="00BF1A30">
        <w:rPr>
          <w:rFonts w:ascii="Times New Roman" w:hAnsi="Times New Roman" w:cs="Times New Roman"/>
          <w:sz w:val="24"/>
          <w:szCs w:val="24"/>
        </w:rPr>
        <w:t>oint</w:t>
      </w:r>
      <w:proofErr w:type="spellEnd"/>
      <w:r w:rsidRPr="00BF1A30">
        <w:rPr>
          <w:rFonts w:ascii="Times New Roman" w:hAnsi="Times New Roman" w:cs="Times New Roman"/>
          <w:sz w:val="24"/>
          <w:szCs w:val="24"/>
        </w:rPr>
        <w:t xml:space="preserve"> 4” refers to “[p]</w:t>
      </w:r>
      <w:proofErr w:type="spellStart"/>
      <w:r w:rsidRPr="00BF1A30">
        <w:rPr>
          <w:rFonts w:ascii="Times New Roman" w:hAnsi="Times New Roman" w:cs="Times New Roman"/>
          <w:sz w:val="24"/>
          <w:szCs w:val="24"/>
        </w:rPr>
        <w:t>ayment</w:t>
      </w:r>
      <w:proofErr w:type="spellEnd"/>
      <w:r w:rsidRPr="00BF1A30">
        <w:rPr>
          <w:rFonts w:ascii="Times New Roman" w:hAnsi="Times New Roman" w:cs="Times New Roman"/>
          <w:sz w:val="24"/>
          <w:szCs w:val="24"/>
        </w:rPr>
        <w:t xml:space="preserve"> services”</w:t>
      </w:r>
      <w:r w:rsidR="00FC4FA3" w:rsidRPr="003412DB">
        <w:rPr>
          <w:rStyle w:val="FootnoteReference"/>
          <w:rFonts w:ascii="Times New Roman" w:hAnsi="Times New Roman" w:cs="Times New Roman"/>
          <w:sz w:val="24"/>
          <w:szCs w:val="24"/>
          <w:lang w:val="en-US"/>
        </w:rPr>
        <w:footnoteReference w:id="66"/>
      </w:r>
      <w:r w:rsidRPr="00BF1A30">
        <w:rPr>
          <w:rFonts w:ascii="Times New Roman" w:hAnsi="Times New Roman" w:cs="Times New Roman"/>
          <w:sz w:val="24"/>
          <w:szCs w:val="24"/>
        </w:rPr>
        <w:t>. From this perspective, a court</w:t>
      </w:r>
      <w:r w:rsidR="00FC4FA3">
        <w:rPr>
          <w:rFonts w:ascii="Times New Roman" w:hAnsi="Times New Roman" w:cs="Times New Roman"/>
          <w:sz w:val="24"/>
          <w:szCs w:val="24"/>
        </w:rPr>
        <w:t xml:space="preserve"> </w:t>
      </w:r>
      <w:r w:rsidR="00FC4FA3" w:rsidRPr="00FC4FA3">
        <w:rPr>
          <w:rFonts w:ascii="Times New Roman" w:hAnsi="Times New Roman" w:cs="Times New Roman"/>
          <w:sz w:val="24"/>
          <w:szCs w:val="24"/>
        </w:rPr>
        <w:t>in Estonia decided that CC exchange providers were covered by its national AML legislation, given the latter’s extension to services which deal with financial obligations involving resources that have a function like money</w:t>
      </w:r>
      <w:r w:rsidR="00FC4FA3" w:rsidRPr="003412DB">
        <w:rPr>
          <w:rStyle w:val="FootnoteReference"/>
          <w:rFonts w:ascii="Times New Roman" w:hAnsi="Times New Roman" w:cs="Times New Roman"/>
          <w:sz w:val="24"/>
          <w:szCs w:val="24"/>
          <w:lang w:val="en-US"/>
        </w:rPr>
        <w:footnoteReference w:id="67"/>
      </w:r>
      <w:r w:rsidR="00FC4FA3" w:rsidRPr="00FC4FA3">
        <w:rPr>
          <w:rFonts w:ascii="Times New Roman" w:hAnsi="Times New Roman" w:cs="Times New Roman"/>
          <w:sz w:val="24"/>
          <w:szCs w:val="24"/>
        </w:rPr>
        <w:t>. Moreover, the AMLD4 framework could be extended to CC exchange providers given the general rule of Article 4(1), according to which Member States should include ML-prone undertakings under their national AML legislations</w:t>
      </w:r>
      <w:r w:rsidR="00FC4FA3" w:rsidRPr="003412DB">
        <w:rPr>
          <w:rStyle w:val="FootnoteReference"/>
          <w:rFonts w:ascii="Times New Roman" w:hAnsi="Times New Roman" w:cs="Times New Roman"/>
          <w:sz w:val="24"/>
          <w:szCs w:val="24"/>
          <w:lang w:val="en-US"/>
        </w:rPr>
        <w:footnoteReference w:id="68"/>
      </w:r>
      <w:r w:rsidR="002E1D8F">
        <w:rPr>
          <w:rFonts w:ascii="Times New Roman" w:hAnsi="Times New Roman" w:cs="Times New Roman"/>
          <w:sz w:val="24"/>
          <w:szCs w:val="24"/>
        </w:rPr>
        <w:t>.</w:t>
      </w:r>
    </w:p>
    <w:p w14:paraId="75C84575" w14:textId="3DF0A122" w:rsidR="00FC4FA3" w:rsidRDefault="00FC4FA3" w:rsidP="000E12A9">
      <w:pPr>
        <w:spacing w:after="120" w:line="360" w:lineRule="auto"/>
        <w:ind w:firstLine="709"/>
        <w:jc w:val="both"/>
        <w:rPr>
          <w:rFonts w:ascii="Times New Roman" w:hAnsi="Times New Roman" w:cs="Times New Roman"/>
          <w:sz w:val="24"/>
          <w:szCs w:val="24"/>
        </w:rPr>
      </w:pPr>
    </w:p>
    <w:p w14:paraId="536269F2" w14:textId="2D14B815" w:rsidR="00FC4FA3" w:rsidRPr="00FC4FA3" w:rsidRDefault="00FC4FA3" w:rsidP="00FC4FA3">
      <w:pPr>
        <w:spacing w:after="120" w:line="360" w:lineRule="auto"/>
        <w:jc w:val="both"/>
        <w:rPr>
          <w:rFonts w:ascii="Times New Roman" w:hAnsi="Times New Roman" w:cs="Times New Roman"/>
          <w:b/>
          <w:bCs/>
          <w:sz w:val="24"/>
          <w:szCs w:val="24"/>
        </w:rPr>
      </w:pPr>
      <w:r w:rsidRPr="00245FC9">
        <w:rPr>
          <w:rFonts w:ascii="Times New Roman" w:hAnsi="Times New Roman" w:cs="Times New Roman"/>
          <w:b/>
          <w:bCs/>
          <w:sz w:val="24"/>
          <w:szCs w:val="24"/>
        </w:rPr>
        <w:t xml:space="preserve">Cryptocurrencies under the </w:t>
      </w:r>
      <w:r>
        <w:rPr>
          <w:rFonts w:ascii="Times New Roman" w:hAnsi="Times New Roman" w:cs="Times New Roman"/>
          <w:b/>
          <w:bCs/>
          <w:sz w:val="24"/>
          <w:szCs w:val="24"/>
        </w:rPr>
        <w:t>Fifth</w:t>
      </w:r>
      <w:r w:rsidRPr="00245FC9">
        <w:rPr>
          <w:rFonts w:ascii="Times New Roman" w:hAnsi="Times New Roman" w:cs="Times New Roman"/>
          <w:b/>
          <w:bCs/>
          <w:sz w:val="24"/>
          <w:szCs w:val="24"/>
        </w:rPr>
        <w:t xml:space="preserve"> Anti-Money Laundering Directive</w:t>
      </w:r>
    </w:p>
    <w:p w14:paraId="7BAFAFB9" w14:textId="24EC4C3B" w:rsidR="00FC4FA3" w:rsidRDefault="00FC4FA3" w:rsidP="000E12A9">
      <w:pPr>
        <w:spacing w:after="120" w:line="360" w:lineRule="auto"/>
        <w:ind w:firstLine="709"/>
        <w:jc w:val="both"/>
        <w:rPr>
          <w:rFonts w:ascii="Times New Roman" w:hAnsi="Times New Roman" w:cs="Times New Roman"/>
          <w:sz w:val="24"/>
          <w:szCs w:val="24"/>
        </w:rPr>
      </w:pPr>
      <w:r w:rsidRPr="00FC4FA3">
        <w:rPr>
          <w:rFonts w:ascii="Times New Roman" w:hAnsi="Times New Roman" w:cs="Times New Roman"/>
          <w:sz w:val="24"/>
          <w:szCs w:val="24"/>
        </w:rPr>
        <w:t>The legal framework outlined above shows that CCs were never expressly included in the EU legislative framework on AML. In this context, AMLD5</w:t>
      </w:r>
      <w:r w:rsidR="00021712">
        <w:rPr>
          <w:rFonts w:ascii="Times New Roman" w:hAnsi="Times New Roman" w:cs="Times New Roman"/>
          <w:sz w:val="24"/>
          <w:szCs w:val="24"/>
        </w:rPr>
        <w:t xml:space="preserve"> </w:t>
      </w:r>
      <w:r w:rsidRPr="00FC4FA3">
        <w:rPr>
          <w:rFonts w:ascii="Times New Roman" w:hAnsi="Times New Roman" w:cs="Times New Roman"/>
          <w:sz w:val="24"/>
          <w:szCs w:val="24"/>
        </w:rPr>
        <w:t>was enacted having as one of its main objectives to fill this gap</w:t>
      </w:r>
      <w:r w:rsidRPr="003412DB">
        <w:rPr>
          <w:rStyle w:val="FootnoteReference"/>
          <w:rFonts w:ascii="Times New Roman" w:hAnsi="Times New Roman" w:cs="Times New Roman"/>
          <w:sz w:val="24"/>
          <w:szCs w:val="24"/>
          <w:lang w:val="en-US"/>
        </w:rPr>
        <w:footnoteReference w:id="69"/>
      </w:r>
      <w:r w:rsidRPr="00FC4FA3">
        <w:rPr>
          <w:rFonts w:ascii="Times New Roman" w:hAnsi="Times New Roman" w:cs="Times New Roman"/>
          <w:sz w:val="24"/>
          <w:szCs w:val="24"/>
        </w:rPr>
        <w:t xml:space="preserve"> by amending AMLD4. AMLD5 refers to VCs which, as explained </w:t>
      </w:r>
      <w:r w:rsidR="00021712">
        <w:rPr>
          <w:rFonts w:ascii="Times New Roman" w:hAnsi="Times New Roman" w:cs="Times New Roman"/>
          <w:sz w:val="24"/>
          <w:szCs w:val="24"/>
        </w:rPr>
        <w:t>above</w:t>
      </w:r>
      <w:r w:rsidRPr="00FC4FA3">
        <w:rPr>
          <w:rFonts w:ascii="Times New Roman" w:hAnsi="Times New Roman" w:cs="Times New Roman"/>
          <w:sz w:val="24"/>
          <w:szCs w:val="24"/>
        </w:rPr>
        <w:t>, is a broader concept that includes CCs. The concept was framed as follows</w:t>
      </w:r>
      <w:r>
        <w:rPr>
          <w:rFonts w:ascii="Times New Roman" w:hAnsi="Times New Roman" w:cs="Times New Roman"/>
          <w:sz w:val="24"/>
          <w:szCs w:val="24"/>
        </w:rPr>
        <w:t>:</w:t>
      </w:r>
    </w:p>
    <w:p w14:paraId="64A5365D" w14:textId="381A3741" w:rsidR="00021712" w:rsidRPr="005F0EE0" w:rsidRDefault="00021712" w:rsidP="00021712">
      <w:pPr>
        <w:spacing w:after="120" w:line="360" w:lineRule="auto"/>
        <w:ind w:left="1440"/>
        <w:jc w:val="both"/>
        <w:rPr>
          <w:rFonts w:ascii="Times New Roman" w:hAnsi="Times New Roman" w:cs="Times New Roman"/>
        </w:rPr>
      </w:pPr>
      <w:r w:rsidRPr="00021712">
        <w:rPr>
          <w:rFonts w:ascii="Times New Roman" w:hAnsi="Times New Roman" w:cs="Times New Roman"/>
        </w:rPr>
        <w:t>“‘virtual currencies’ means a digital representation of value that is not issued or guaranteed by a central bank or a public authority, is not necessarily attached to a legally established currency and does not possess a legal status of currency or money, but is accepted by natural or legal persons as a means of exchange and which can be transferred, stored and traded electronically”</w:t>
      </w:r>
      <w:r w:rsidRPr="003412DB">
        <w:rPr>
          <w:rStyle w:val="FootnoteReference"/>
          <w:rFonts w:ascii="Times New Roman" w:hAnsi="Times New Roman" w:cs="Times New Roman"/>
          <w:lang w:val="en-US"/>
        </w:rPr>
        <w:footnoteReference w:id="70"/>
      </w:r>
      <w:r w:rsidRPr="005F0EE0">
        <w:rPr>
          <w:rFonts w:ascii="Times New Roman" w:hAnsi="Times New Roman" w:cs="Times New Roman"/>
        </w:rPr>
        <w:t>.</w:t>
      </w:r>
    </w:p>
    <w:p w14:paraId="6D311DFF" w14:textId="3B805B5C" w:rsidR="00FC4FA3" w:rsidRDefault="00021712" w:rsidP="000E12A9">
      <w:pPr>
        <w:spacing w:after="120" w:line="360" w:lineRule="auto"/>
        <w:ind w:firstLine="709"/>
        <w:jc w:val="both"/>
        <w:rPr>
          <w:rFonts w:ascii="Times New Roman" w:hAnsi="Times New Roman" w:cs="Times New Roman"/>
          <w:sz w:val="24"/>
          <w:szCs w:val="24"/>
        </w:rPr>
      </w:pPr>
      <w:r w:rsidRPr="00021712">
        <w:rPr>
          <w:rFonts w:ascii="Times New Roman" w:hAnsi="Times New Roman" w:cs="Times New Roman"/>
          <w:sz w:val="24"/>
          <w:szCs w:val="24"/>
        </w:rPr>
        <w:t>Recital 11 AMLD5 explains that VCs which are essentially local or dealt with by a limited number of users fall out of its scope</w:t>
      </w:r>
      <w:r w:rsidRPr="003412DB">
        <w:rPr>
          <w:rStyle w:val="FootnoteReference"/>
          <w:rFonts w:ascii="Times New Roman" w:hAnsi="Times New Roman" w:cs="Times New Roman"/>
          <w:sz w:val="24"/>
          <w:szCs w:val="24"/>
          <w:lang w:val="en-US"/>
        </w:rPr>
        <w:footnoteReference w:id="71"/>
      </w:r>
      <w:r w:rsidRPr="00021712">
        <w:rPr>
          <w:rFonts w:ascii="Times New Roman" w:hAnsi="Times New Roman" w:cs="Times New Roman"/>
          <w:sz w:val="24"/>
          <w:szCs w:val="24"/>
        </w:rPr>
        <w:t>. Recital 10 clarifies that VCs should not be confused with (a) in-game money; (b) e-money – difference</w:t>
      </w:r>
      <w:r>
        <w:rPr>
          <w:rFonts w:ascii="Times New Roman" w:hAnsi="Times New Roman" w:cs="Times New Roman"/>
          <w:sz w:val="24"/>
          <w:szCs w:val="24"/>
        </w:rPr>
        <w:t>s</w:t>
      </w:r>
      <w:r w:rsidRPr="00021712">
        <w:rPr>
          <w:rFonts w:ascii="Times New Roman" w:hAnsi="Times New Roman" w:cs="Times New Roman"/>
          <w:sz w:val="24"/>
          <w:szCs w:val="24"/>
        </w:rPr>
        <w:t xml:space="preserve"> which w</w:t>
      </w:r>
      <w:r>
        <w:rPr>
          <w:rFonts w:ascii="Times New Roman" w:hAnsi="Times New Roman" w:cs="Times New Roman"/>
          <w:sz w:val="24"/>
          <w:szCs w:val="24"/>
        </w:rPr>
        <w:t>ere</w:t>
      </w:r>
      <w:r w:rsidRPr="00021712">
        <w:rPr>
          <w:rFonts w:ascii="Times New Roman" w:hAnsi="Times New Roman" w:cs="Times New Roman"/>
          <w:sz w:val="24"/>
          <w:szCs w:val="24"/>
        </w:rPr>
        <w:t xml:space="preserve"> explained </w:t>
      </w:r>
      <w:r>
        <w:rPr>
          <w:rFonts w:ascii="Times New Roman" w:hAnsi="Times New Roman" w:cs="Times New Roman"/>
          <w:sz w:val="24"/>
          <w:szCs w:val="24"/>
        </w:rPr>
        <w:t>above</w:t>
      </w:r>
      <w:r w:rsidRPr="00021712">
        <w:rPr>
          <w:rFonts w:ascii="Times New Roman" w:hAnsi="Times New Roman" w:cs="Times New Roman"/>
          <w:sz w:val="24"/>
          <w:szCs w:val="24"/>
        </w:rPr>
        <w:t xml:space="preserve"> – nor with the broader notion “funds” entailing e-money under Article 4(25) Payment Services </w:t>
      </w:r>
      <w:r w:rsidRPr="00021712">
        <w:rPr>
          <w:rFonts w:ascii="Times New Roman" w:hAnsi="Times New Roman" w:cs="Times New Roman"/>
          <w:sz w:val="24"/>
          <w:szCs w:val="24"/>
        </w:rPr>
        <w:lastRenderedPageBreak/>
        <w:t>Directive 2 (PSD2”)</w:t>
      </w:r>
      <w:r w:rsidRPr="003412DB">
        <w:rPr>
          <w:rStyle w:val="FootnoteReference"/>
          <w:rFonts w:ascii="Times New Roman" w:hAnsi="Times New Roman" w:cs="Times New Roman"/>
          <w:sz w:val="24"/>
          <w:szCs w:val="24"/>
          <w:lang w:val="en-US"/>
        </w:rPr>
        <w:footnoteReference w:id="72"/>
      </w:r>
      <w:r w:rsidRPr="00021712">
        <w:rPr>
          <w:rFonts w:ascii="Times New Roman" w:hAnsi="Times New Roman" w:cs="Times New Roman"/>
          <w:sz w:val="24"/>
          <w:szCs w:val="24"/>
        </w:rPr>
        <w:t>. It should also not be confused with “services based on specific payment instruments that can be used only in a limited way”, i.e. accepted by its own issuer solely, as</w:t>
      </w:r>
      <w:r>
        <w:rPr>
          <w:rFonts w:ascii="Times New Roman" w:hAnsi="Times New Roman" w:cs="Times New Roman"/>
          <w:sz w:val="24"/>
          <w:szCs w:val="24"/>
        </w:rPr>
        <w:t xml:space="preserve"> </w:t>
      </w:r>
      <w:r w:rsidRPr="00021712">
        <w:rPr>
          <w:rFonts w:ascii="Times New Roman" w:hAnsi="Times New Roman" w:cs="Times New Roman"/>
          <w:sz w:val="24"/>
          <w:szCs w:val="24"/>
        </w:rPr>
        <w:t>defined in Article 3(1)(k) PSD2</w:t>
      </w:r>
      <w:r w:rsidR="00B40C99" w:rsidRPr="003412DB">
        <w:rPr>
          <w:rStyle w:val="FootnoteReference"/>
          <w:rFonts w:ascii="Times New Roman" w:hAnsi="Times New Roman" w:cs="Times New Roman"/>
          <w:sz w:val="24"/>
          <w:szCs w:val="24"/>
          <w:lang w:val="en-US"/>
        </w:rPr>
        <w:footnoteReference w:id="73"/>
      </w:r>
      <w:r w:rsidRPr="00021712">
        <w:rPr>
          <w:rFonts w:ascii="Times New Roman" w:hAnsi="Times New Roman" w:cs="Times New Roman"/>
          <w:sz w:val="24"/>
          <w:szCs w:val="24"/>
        </w:rPr>
        <w:t xml:space="preserve">. Recital 10 also mentions potential uses of VCs other than as “means of payment”. This part of Recital 10 and its implications will be further discussed </w:t>
      </w:r>
      <w:r>
        <w:rPr>
          <w:rFonts w:ascii="Times New Roman" w:hAnsi="Times New Roman" w:cs="Times New Roman"/>
          <w:sz w:val="24"/>
          <w:szCs w:val="24"/>
        </w:rPr>
        <w:t>below</w:t>
      </w:r>
      <w:r w:rsidR="00E70351">
        <w:rPr>
          <w:rFonts w:ascii="Times New Roman" w:hAnsi="Times New Roman" w:cs="Times New Roman"/>
          <w:sz w:val="24"/>
          <w:szCs w:val="24"/>
        </w:rPr>
        <w:t>.</w:t>
      </w:r>
    </w:p>
    <w:p w14:paraId="67E8F62D" w14:textId="5FACCAEF" w:rsidR="00145525" w:rsidRDefault="00145525" w:rsidP="000E12A9">
      <w:pPr>
        <w:spacing w:after="120" w:line="360" w:lineRule="auto"/>
        <w:ind w:firstLine="709"/>
        <w:jc w:val="both"/>
        <w:rPr>
          <w:rFonts w:ascii="Times New Roman" w:hAnsi="Times New Roman" w:cs="Times New Roman"/>
          <w:sz w:val="24"/>
          <w:szCs w:val="24"/>
        </w:rPr>
      </w:pPr>
      <w:r w:rsidRPr="00145525">
        <w:rPr>
          <w:rFonts w:ascii="Times New Roman" w:hAnsi="Times New Roman" w:cs="Times New Roman"/>
          <w:sz w:val="24"/>
          <w:szCs w:val="24"/>
        </w:rPr>
        <w:t xml:space="preserve">Therefore, when it comes to the three types of VCs outlined in the ECB report and explained </w:t>
      </w:r>
      <w:r>
        <w:rPr>
          <w:rFonts w:ascii="Times New Roman" w:hAnsi="Times New Roman" w:cs="Times New Roman"/>
          <w:sz w:val="24"/>
          <w:szCs w:val="24"/>
        </w:rPr>
        <w:t>above</w:t>
      </w:r>
      <w:r w:rsidRPr="00145525">
        <w:rPr>
          <w:rFonts w:ascii="Times New Roman" w:hAnsi="Times New Roman" w:cs="Times New Roman"/>
          <w:sz w:val="24"/>
          <w:szCs w:val="24"/>
        </w:rPr>
        <w:t>, we can say that AMLD5 focuses on VCs with bidirectional flow, since both closed VC schemes (which the Directive refers to as “in-game money”) and VC schemes with unidirectional flow (which the Directive refers to as those which “can be used only in a limited way”) are out of its scope.</w:t>
      </w:r>
    </w:p>
    <w:p w14:paraId="1D80290A" w14:textId="40E18162" w:rsidR="00145525" w:rsidRDefault="00145525" w:rsidP="003A256A">
      <w:pPr>
        <w:spacing w:after="120" w:line="360" w:lineRule="auto"/>
        <w:ind w:firstLine="709"/>
        <w:jc w:val="both"/>
        <w:rPr>
          <w:rFonts w:ascii="Times New Roman" w:hAnsi="Times New Roman" w:cs="Times New Roman"/>
          <w:sz w:val="24"/>
          <w:szCs w:val="24"/>
        </w:rPr>
      </w:pPr>
      <w:r w:rsidRPr="00145525">
        <w:rPr>
          <w:rFonts w:ascii="Times New Roman" w:hAnsi="Times New Roman" w:cs="Times New Roman"/>
          <w:sz w:val="24"/>
          <w:szCs w:val="24"/>
        </w:rPr>
        <w:t>Despite the possibilities of CCs falling under the scope of both AMLD3 and AMLD4 as mentioned above, AMLD5 delineates that, before its enactment, exchange and custodian wallet providers were not covered by the EU AML regulatory regime. This gap could allow criminals to take advantage of the anonymity/pseudonymity feature of CCs and transfer illicit resources to the EU via such platforms (nevertheless, it should be noted that, although CCs can provide anonymity/pseudonymity for their users, their use for concealing the illicit origin of resources is still marginal if compared to ordinary cash</w:t>
      </w:r>
      <w:r w:rsidRPr="003412DB">
        <w:rPr>
          <w:rStyle w:val="FootnoteReference"/>
          <w:rFonts w:ascii="Times New Roman" w:hAnsi="Times New Roman" w:cs="Times New Roman"/>
          <w:sz w:val="24"/>
          <w:szCs w:val="24"/>
          <w:lang w:val="en-US"/>
        </w:rPr>
        <w:footnoteReference w:id="74"/>
      </w:r>
      <w:r w:rsidRPr="00145525">
        <w:rPr>
          <w:rFonts w:ascii="Times New Roman" w:hAnsi="Times New Roman" w:cs="Times New Roman"/>
          <w:sz w:val="24"/>
          <w:szCs w:val="24"/>
        </w:rPr>
        <w:t>). Thus, both exchange and custodian wallet providers were brought under the scope of the EU AML regulatory regime. Under Recital 8 AMLD5, competent authorities should be able to, through such platforms, scrutinize the flow of CCs</w:t>
      </w:r>
      <w:r w:rsidRPr="003412DB">
        <w:rPr>
          <w:rStyle w:val="FootnoteReference"/>
          <w:rFonts w:ascii="Times New Roman" w:hAnsi="Times New Roman" w:cs="Times New Roman"/>
          <w:sz w:val="24"/>
          <w:szCs w:val="24"/>
          <w:lang w:val="en-US"/>
        </w:rPr>
        <w:footnoteReference w:id="75"/>
      </w:r>
      <w:r w:rsidR="00F42B49">
        <w:rPr>
          <w:rFonts w:ascii="Times New Roman" w:hAnsi="Times New Roman" w:cs="Times New Roman"/>
          <w:sz w:val="24"/>
          <w:szCs w:val="24"/>
        </w:rPr>
        <w:t>.</w:t>
      </w:r>
    </w:p>
    <w:p w14:paraId="3E41DFBA" w14:textId="12635564" w:rsidR="00EA4722" w:rsidRDefault="00EA4722" w:rsidP="003A256A">
      <w:pPr>
        <w:spacing w:after="120" w:line="360" w:lineRule="auto"/>
        <w:ind w:firstLine="709"/>
        <w:jc w:val="both"/>
        <w:rPr>
          <w:rFonts w:ascii="Times New Roman" w:hAnsi="Times New Roman" w:cs="Times New Roman"/>
          <w:sz w:val="24"/>
          <w:szCs w:val="24"/>
        </w:rPr>
      </w:pPr>
      <w:r w:rsidRPr="00EA4722">
        <w:rPr>
          <w:rFonts w:ascii="Times New Roman" w:hAnsi="Times New Roman" w:cs="Times New Roman"/>
          <w:sz w:val="24"/>
          <w:szCs w:val="24"/>
        </w:rPr>
        <w:t>Recital 9 states:</w:t>
      </w:r>
    </w:p>
    <w:p w14:paraId="362421DD" w14:textId="5A61F452" w:rsidR="00EA4722" w:rsidRPr="005F0EE0" w:rsidRDefault="00EA4722" w:rsidP="00EA4722">
      <w:pPr>
        <w:spacing w:after="120" w:line="360" w:lineRule="auto"/>
        <w:ind w:left="1440"/>
        <w:jc w:val="both"/>
        <w:rPr>
          <w:rFonts w:ascii="Times New Roman" w:hAnsi="Times New Roman" w:cs="Times New Roman"/>
        </w:rPr>
      </w:pPr>
      <w:r w:rsidRPr="00EA4722">
        <w:rPr>
          <w:rFonts w:ascii="Times New Roman" w:hAnsi="Times New Roman" w:cs="Times New Roman"/>
        </w:rPr>
        <w:t>“The inclusion of providers engaged in exchange services between virtual currencies and fiat currencies and custodian wallet providers will not entirely address the issue of anonymity attached to virtual currency transactions, as a large part of the virtual currency environment will remain anonymous because users can also transact without such providers”</w:t>
      </w:r>
      <w:r w:rsidRPr="003412DB">
        <w:rPr>
          <w:rStyle w:val="FootnoteReference"/>
          <w:rFonts w:ascii="Times New Roman" w:hAnsi="Times New Roman" w:cs="Times New Roman"/>
          <w:lang w:val="en-US"/>
        </w:rPr>
        <w:footnoteReference w:id="76"/>
      </w:r>
      <w:r w:rsidRPr="005F0EE0">
        <w:rPr>
          <w:rFonts w:ascii="Times New Roman" w:hAnsi="Times New Roman" w:cs="Times New Roman"/>
        </w:rPr>
        <w:t>.</w:t>
      </w:r>
    </w:p>
    <w:p w14:paraId="66D5EF8B" w14:textId="726E7248" w:rsidR="00EA4722" w:rsidRDefault="00EA4722" w:rsidP="00EA4722">
      <w:pPr>
        <w:spacing w:after="120" w:line="360" w:lineRule="auto"/>
        <w:ind w:firstLine="709"/>
        <w:jc w:val="both"/>
        <w:rPr>
          <w:rFonts w:ascii="Times New Roman" w:hAnsi="Times New Roman" w:cs="Times New Roman"/>
          <w:sz w:val="24"/>
          <w:szCs w:val="24"/>
        </w:rPr>
      </w:pPr>
      <w:r w:rsidRPr="00EA4722">
        <w:rPr>
          <w:rFonts w:ascii="Times New Roman" w:hAnsi="Times New Roman" w:cs="Times New Roman"/>
          <w:sz w:val="24"/>
          <w:szCs w:val="24"/>
        </w:rPr>
        <w:lastRenderedPageBreak/>
        <w:t xml:space="preserve">One can infer from Recitals 8 and 9 that – besides the overall goal of the EU AML regulatory regime stated by AG </w:t>
      </w:r>
      <w:proofErr w:type="spellStart"/>
      <w:r w:rsidRPr="00EA4722">
        <w:rPr>
          <w:rFonts w:ascii="Times New Roman" w:hAnsi="Times New Roman" w:cs="Times New Roman"/>
          <w:sz w:val="24"/>
          <w:szCs w:val="24"/>
        </w:rPr>
        <w:t>Saggio</w:t>
      </w:r>
      <w:proofErr w:type="spellEnd"/>
      <w:r w:rsidRPr="00EA4722">
        <w:rPr>
          <w:rFonts w:ascii="Times New Roman" w:hAnsi="Times New Roman" w:cs="Times New Roman"/>
          <w:sz w:val="24"/>
          <w:szCs w:val="24"/>
        </w:rPr>
        <w:t xml:space="preserve"> in </w:t>
      </w:r>
      <w:r w:rsidRPr="00EA4722">
        <w:rPr>
          <w:rFonts w:ascii="Times New Roman" w:hAnsi="Times New Roman" w:cs="Times New Roman"/>
          <w:i/>
          <w:iCs/>
          <w:sz w:val="24"/>
          <w:szCs w:val="24"/>
        </w:rPr>
        <w:t>Commission v Austria</w:t>
      </w:r>
      <w:r w:rsidRPr="003412DB">
        <w:rPr>
          <w:rStyle w:val="FootnoteReference"/>
          <w:rFonts w:ascii="Times New Roman" w:hAnsi="Times New Roman" w:cs="Times New Roman"/>
          <w:sz w:val="24"/>
          <w:szCs w:val="24"/>
          <w:lang w:val="en-US"/>
        </w:rPr>
        <w:footnoteReference w:id="77"/>
      </w:r>
      <w:r w:rsidRPr="00EA4722">
        <w:rPr>
          <w:rFonts w:ascii="Times New Roman" w:hAnsi="Times New Roman" w:cs="Times New Roman"/>
          <w:sz w:val="24"/>
          <w:szCs w:val="24"/>
        </w:rPr>
        <w:t xml:space="preserve"> – the reason why the harmonization of AML policies targeting CC transactions across the is EU necessary is that, as</w:t>
      </w:r>
      <w:r>
        <w:rPr>
          <w:rFonts w:ascii="Times New Roman" w:hAnsi="Times New Roman" w:cs="Times New Roman"/>
          <w:sz w:val="24"/>
          <w:szCs w:val="24"/>
        </w:rPr>
        <w:t xml:space="preserve"> </w:t>
      </w:r>
      <w:r w:rsidRPr="00EA4722">
        <w:rPr>
          <w:rFonts w:ascii="Times New Roman" w:hAnsi="Times New Roman" w:cs="Times New Roman"/>
          <w:sz w:val="24"/>
          <w:szCs w:val="24"/>
        </w:rPr>
        <w:t>just mentioned, remedying this gap was necessary to prevent, to the extent possible, criminals from taking advantage of the anonymity/pseudonymity feature of CCs to transfer illicit resources to the EU via custodia</w:t>
      </w:r>
      <w:r w:rsidR="00796771">
        <w:rPr>
          <w:rFonts w:ascii="Times New Roman" w:hAnsi="Times New Roman" w:cs="Times New Roman"/>
          <w:sz w:val="24"/>
          <w:szCs w:val="24"/>
        </w:rPr>
        <w:t>n</w:t>
      </w:r>
      <w:r w:rsidRPr="00EA4722">
        <w:rPr>
          <w:rFonts w:ascii="Times New Roman" w:hAnsi="Times New Roman" w:cs="Times New Roman"/>
          <w:sz w:val="24"/>
          <w:szCs w:val="24"/>
        </w:rPr>
        <w:t xml:space="preserve"> wallet and exchange service providers. This approach, taken by the EU, which consists in focusing in the intermediaries between the “virtual” and the “real” world regarding the flow of CCs is known as the “gatekeeper approach”</w:t>
      </w:r>
      <w:r w:rsidRPr="003412DB">
        <w:rPr>
          <w:rStyle w:val="FootnoteReference"/>
          <w:rFonts w:ascii="Times New Roman" w:hAnsi="Times New Roman" w:cs="Times New Roman"/>
          <w:sz w:val="24"/>
          <w:szCs w:val="24"/>
          <w:lang w:val="en-US"/>
        </w:rPr>
        <w:footnoteReference w:id="78"/>
      </w:r>
      <w:r w:rsidRPr="00EA4722">
        <w:rPr>
          <w:rFonts w:ascii="Times New Roman" w:hAnsi="Times New Roman" w:cs="Times New Roman"/>
          <w:sz w:val="24"/>
          <w:szCs w:val="24"/>
        </w:rPr>
        <w:t xml:space="preserve">, in line with the traditional method of AML policies to focus on intermediaries. However, this is only fruitful when there is an identifiable intermediary involved in the transaction. Nevertheless, when this is not the case, a blind spot in the fight against ML emerges, as will be explained </w:t>
      </w:r>
      <w:r>
        <w:rPr>
          <w:rFonts w:ascii="Times New Roman" w:hAnsi="Times New Roman" w:cs="Times New Roman"/>
          <w:sz w:val="24"/>
          <w:szCs w:val="24"/>
        </w:rPr>
        <w:t>below.</w:t>
      </w:r>
    </w:p>
    <w:p w14:paraId="66501FC0" w14:textId="55C82E0F" w:rsidR="004E6D60" w:rsidRDefault="004E6D60" w:rsidP="004E6D60">
      <w:pPr>
        <w:spacing w:after="120" w:line="360" w:lineRule="auto"/>
        <w:ind w:firstLine="709"/>
        <w:jc w:val="both"/>
        <w:rPr>
          <w:rFonts w:ascii="Times New Roman" w:hAnsi="Times New Roman" w:cs="Times New Roman"/>
          <w:sz w:val="24"/>
          <w:szCs w:val="24"/>
        </w:rPr>
      </w:pPr>
      <w:r w:rsidRPr="004E6D60">
        <w:rPr>
          <w:rFonts w:ascii="Times New Roman" w:hAnsi="Times New Roman" w:cs="Times New Roman"/>
          <w:sz w:val="24"/>
          <w:szCs w:val="24"/>
        </w:rPr>
        <w:t>Two intermediaries in the CCs ecosystem are defined in AMLD5. The Directive brings “custodian wallet providers” and “providers engaged in exchange services between virtual currencies and fiat currencies” under the heading of “obliged entities”</w:t>
      </w:r>
      <w:r w:rsidRPr="003412DB">
        <w:rPr>
          <w:rStyle w:val="FootnoteReference"/>
          <w:rFonts w:ascii="Times New Roman" w:hAnsi="Times New Roman" w:cs="Times New Roman"/>
          <w:sz w:val="24"/>
          <w:szCs w:val="24"/>
          <w:lang w:val="en-US"/>
        </w:rPr>
        <w:footnoteReference w:id="79"/>
      </w:r>
      <w:r w:rsidRPr="004E6D60">
        <w:rPr>
          <w:rFonts w:ascii="Times New Roman" w:hAnsi="Times New Roman" w:cs="Times New Roman"/>
          <w:sz w:val="24"/>
          <w:szCs w:val="24"/>
        </w:rPr>
        <w:t>. It defines “custodian wallet providers” as “an entity that provides services to safeguard private cryptographic keys on behalf of its customers, to hold, store and transfer virtual currencies”</w:t>
      </w:r>
      <w:r w:rsidRPr="003412DB">
        <w:rPr>
          <w:rStyle w:val="FootnoteReference"/>
          <w:rFonts w:ascii="Times New Roman" w:hAnsi="Times New Roman" w:cs="Times New Roman"/>
          <w:sz w:val="24"/>
          <w:szCs w:val="24"/>
          <w:lang w:val="en-US"/>
        </w:rPr>
        <w:footnoteReference w:id="80"/>
      </w:r>
      <w:r w:rsidRPr="004E6D60">
        <w:rPr>
          <w:rFonts w:ascii="Times New Roman" w:hAnsi="Times New Roman" w:cs="Times New Roman"/>
          <w:sz w:val="24"/>
          <w:szCs w:val="24"/>
        </w:rPr>
        <w:t>. Member States must ensure that both intermediaries are registered</w:t>
      </w:r>
      <w:r w:rsidRPr="003412DB">
        <w:rPr>
          <w:rStyle w:val="FootnoteReference"/>
          <w:rFonts w:ascii="Times New Roman" w:hAnsi="Times New Roman" w:cs="Times New Roman"/>
          <w:sz w:val="24"/>
          <w:szCs w:val="24"/>
          <w:lang w:val="en-US"/>
        </w:rPr>
        <w:footnoteReference w:id="81"/>
      </w:r>
      <w:r w:rsidR="00914922">
        <w:rPr>
          <w:rFonts w:ascii="Times New Roman" w:hAnsi="Times New Roman" w:cs="Times New Roman"/>
          <w:sz w:val="24"/>
          <w:szCs w:val="24"/>
        </w:rPr>
        <w:t>.</w:t>
      </w:r>
    </w:p>
    <w:p w14:paraId="01859DD9" w14:textId="655F0A6E" w:rsidR="00C06D0C" w:rsidRDefault="00C06D0C" w:rsidP="00F8502A">
      <w:pPr>
        <w:spacing w:after="120" w:line="360" w:lineRule="auto"/>
        <w:jc w:val="both"/>
        <w:rPr>
          <w:rFonts w:ascii="Times New Roman" w:hAnsi="Times New Roman" w:cs="Times New Roman"/>
          <w:sz w:val="24"/>
          <w:szCs w:val="24"/>
        </w:rPr>
      </w:pPr>
    </w:p>
    <w:p w14:paraId="0AB3DFA5" w14:textId="15BA31C3" w:rsidR="00C06D0C" w:rsidRPr="00FC4FA3" w:rsidRDefault="0008059A" w:rsidP="00C06D0C">
      <w:pPr>
        <w:spacing w:after="120" w:line="360" w:lineRule="auto"/>
        <w:jc w:val="both"/>
        <w:rPr>
          <w:rFonts w:ascii="Times New Roman" w:hAnsi="Times New Roman" w:cs="Times New Roman"/>
          <w:b/>
          <w:bCs/>
          <w:sz w:val="24"/>
          <w:szCs w:val="24"/>
        </w:rPr>
      </w:pPr>
      <w:r w:rsidRPr="0008059A">
        <w:rPr>
          <w:rFonts w:ascii="Times New Roman" w:hAnsi="Times New Roman" w:cs="Times New Roman"/>
          <w:b/>
          <w:bCs/>
          <w:sz w:val="24"/>
          <w:szCs w:val="24"/>
        </w:rPr>
        <w:t>Initial Token/Coin Offering</w:t>
      </w:r>
    </w:p>
    <w:p w14:paraId="2D6A76A8" w14:textId="7ECD50D9" w:rsidR="00AE718B" w:rsidRDefault="00A60018" w:rsidP="00AE718B">
      <w:pPr>
        <w:spacing w:after="120" w:line="360" w:lineRule="auto"/>
        <w:ind w:firstLine="709"/>
        <w:jc w:val="both"/>
        <w:rPr>
          <w:rFonts w:ascii="Times New Roman" w:hAnsi="Times New Roman" w:cs="Times New Roman"/>
          <w:sz w:val="24"/>
          <w:szCs w:val="24"/>
        </w:rPr>
      </w:pPr>
      <w:r w:rsidRPr="00A60018">
        <w:rPr>
          <w:rFonts w:ascii="Times New Roman" w:hAnsi="Times New Roman" w:cs="Times New Roman"/>
          <w:sz w:val="24"/>
          <w:szCs w:val="24"/>
        </w:rPr>
        <w:t xml:space="preserve">As explained </w:t>
      </w:r>
      <w:r>
        <w:rPr>
          <w:rFonts w:ascii="Times New Roman" w:hAnsi="Times New Roman" w:cs="Times New Roman"/>
          <w:sz w:val="24"/>
          <w:szCs w:val="24"/>
        </w:rPr>
        <w:t>above</w:t>
      </w:r>
      <w:r w:rsidRPr="00A60018">
        <w:rPr>
          <w:rFonts w:ascii="Times New Roman" w:hAnsi="Times New Roman" w:cs="Times New Roman"/>
          <w:sz w:val="24"/>
          <w:szCs w:val="24"/>
        </w:rPr>
        <w:t>, “CCs” is a term that refers to currency tokens. Tokens, however, can also have the function of investment</w:t>
      </w:r>
      <w:r w:rsidRPr="003412DB">
        <w:rPr>
          <w:rStyle w:val="FootnoteReference"/>
          <w:rFonts w:ascii="Times New Roman" w:hAnsi="Times New Roman" w:cs="Times New Roman"/>
          <w:sz w:val="24"/>
          <w:szCs w:val="24"/>
          <w:lang w:val="en-US"/>
        </w:rPr>
        <w:footnoteReference w:id="82"/>
      </w:r>
      <w:r w:rsidRPr="00A60018">
        <w:rPr>
          <w:rFonts w:ascii="Times New Roman" w:hAnsi="Times New Roman" w:cs="Times New Roman"/>
          <w:sz w:val="24"/>
          <w:szCs w:val="24"/>
        </w:rPr>
        <w:t xml:space="preserve"> (investment tokens). ITOs and, as a part of them, ICOs, are the act whereby entrepreneurs looking for investors and CCs issuers, respectively, </w:t>
      </w:r>
      <w:r w:rsidRPr="00A60018">
        <w:rPr>
          <w:rFonts w:ascii="Times New Roman" w:hAnsi="Times New Roman" w:cs="Times New Roman"/>
          <w:sz w:val="24"/>
          <w:szCs w:val="24"/>
        </w:rPr>
        <w:lastRenderedPageBreak/>
        <w:t>publicly offer these tokens</w:t>
      </w:r>
      <w:r w:rsidRPr="003412DB">
        <w:rPr>
          <w:rStyle w:val="FootnoteReference"/>
          <w:rFonts w:ascii="Times New Roman" w:hAnsi="Times New Roman" w:cs="Times New Roman"/>
          <w:sz w:val="24"/>
          <w:szCs w:val="24"/>
          <w:lang w:val="en-US"/>
        </w:rPr>
        <w:footnoteReference w:id="83"/>
      </w:r>
      <w:r w:rsidRPr="00A60018">
        <w:rPr>
          <w:rFonts w:ascii="Times New Roman" w:hAnsi="Times New Roman" w:cs="Times New Roman"/>
          <w:sz w:val="24"/>
          <w:szCs w:val="24"/>
        </w:rPr>
        <w:t>. ITO transactions take place through smart contracts</w:t>
      </w:r>
      <w:r w:rsidRPr="003412DB">
        <w:rPr>
          <w:rStyle w:val="FootnoteReference"/>
          <w:rFonts w:ascii="Times New Roman" w:hAnsi="Times New Roman" w:cs="Times New Roman"/>
          <w:sz w:val="24"/>
          <w:szCs w:val="24"/>
          <w:lang w:val="en-US"/>
        </w:rPr>
        <w:footnoteReference w:id="84"/>
      </w:r>
      <w:r w:rsidRPr="00A60018">
        <w:rPr>
          <w:rFonts w:ascii="Times New Roman" w:hAnsi="Times New Roman" w:cs="Times New Roman"/>
          <w:sz w:val="24"/>
          <w:szCs w:val="24"/>
        </w:rPr>
        <w:t>.</w:t>
      </w:r>
      <w:r>
        <w:rPr>
          <w:rFonts w:ascii="Times New Roman" w:hAnsi="Times New Roman" w:cs="Times New Roman"/>
          <w:sz w:val="24"/>
          <w:szCs w:val="24"/>
        </w:rPr>
        <w:t xml:space="preserve"> </w:t>
      </w:r>
      <w:r w:rsidRPr="00A60018">
        <w:rPr>
          <w:rFonts w:ascii="Times New Roman" w:hAnsi="Times New Roman" w:cs="Times New Roman"/>
          <w:sz w:val="24"/>
          <w:szCs w:val="24"/>
        </w:rPr>
        <w:t>Smart contracts record the</w:t>
      </w:r>
      <w:r>
        <w:rPr>
          <w:rFonts w:ascii="Times New Roman" w:hAnsi="Times New Roman" w:cs="Times New Roman"/>
          <w:sz w:val="24"/>
          <w:szCs w:val="24"/>
        </w:rPr>
        <w:t xml:space="preserve"> </w:t>
      </w:r>
      <w:r w:rsidRPr="00A60018">
        <w:rPr>
          <w:rFonts w:ascii="Times New Roman" w:hAnsi="Times New Roman" w:cs="Times New Roman"/>
          <w:sz w:val="24"/>
          <w:szCs w:val="24"/>
        </w:rPr>
        <w:t>terms of the agreement reached by the parties, in the form of a code, in the blockchain. The</w:t>
      </w:r>
      <w:r>
        <w:rPr>
          <w:rFonts w:ascii="Times New Roman" w:hAnsi="Times New Roman" w:cs="Times New Roman"/>
          <w:sz w:val="24"/>
          <w:szCs w:val="24"/>
        </w:rPr>
        <w:t xml:space="preserve"> </w:t>
      </w:r>
      <w:r w:rsidRPr="00A60018">
        <w:rPr>
          <w:rFonts w:ascii="Times New Roman" w:hAnsi="Times New Roman" w:cs="Times New Roman"/>
          <w:sz w:val="24"/>
          <w:szCs w:val="24"/>
        </w:rPr>
        <w:t>performance of the contract is then automatically carried out by the code, without the need of intervention by the parties</w:t>
      </w:r>
      <w:r w:rsidRPr="003412DB">
        <w:rPr>
          <w:rStyle w:val="FootnoteReference"/>
          <w:rFonts w:ascii="Times New Roman" w:hAnsi="Times New Roman" w:cs="Times New Roman"/>
          <w:sz w:val="24"/>
          <w:szCs w:val="24"/>
          <w:lang w:val="en-US"/>
        </w:rPr>
        <w:footnoteReference w:id="85"/>
      </w:r>
      <w:r>
        <w:rPr>
          <w:rFonts w:ascii="Times New Roman" w:hAnsi="Times New Roman" w:cs="Times New Roman"/>
          <w:sz w:val="24"/>
          <w:szCs w:val="24"/>
        </w:rPr>
        <w:t>.</w:t>
      </w:r>
      <w:r w:rsidRPr="00A60018">
        <w:rPr>
          <w:rFonts w:ascii="Times New Roman" w:hAnsi="Times New Roman" w:cs="Times New Roman"/>
          <w:sz w:val="24"/>
          <w:szCs w:val="24"/>
        </w:rPr>
        <w:t xml:space="preserve"> An analogy often made to illustrate the functioning of a smart contract is to compare it with that of a vending machine.</w:t>
      </w:r>
      <w:r>
        <w:rPr>
          <w:rFonts w:ascii="Times New Roman" w:hAnsi="Times New Roman" w:cs="Times New Roman"/>
          <w:sz w:val="24"/>
          <w:szCs w:val="24"/>
        </w:rPr>
        <w:t xml:space="preserve"> </w:t>
      </w:r>
      <w:r w:rsidRPr="00A60018">
        <w:rPr>
          <w:rFonts w:ascii="Times New Roman" w:hAnsi="Times New Roman" w:cs="Times New Roman"/>
          <w:sz w:val="24"/>
          <w:szCs w:val="24"/>
        </w:rPr>
        <w:t>The anonymity/pseudonymity issue of CCs is equally present in the context of ICOs, leaving them also prone to ML risks</w:t>
      </w:r>
      <w:r w:rsidR="00AE718B" w:rsidRPr="003412DB">
        <w:rPr>
          <w:rStyle w:val="FootnoteReference"/>
          <w:rFonts w:ascii="Times New Roman" w:hAnsi="Times New Roman" w:cs="Times New Roman"/>
          <w:sz w:val="24"/>
          <w:szCs w:val="24"/>
          <w:lang w:val="en-US"/>
        </w:rPr>
        <w:footnoteReference w:id="86"/>
      </w:r>
      <w:r w:rsidR="00495D22">
        <w:rPr>
          <w:rFonts w:ascii="Times New Roman" w:hAnsi="Times New Roman" w:cs="Times New Roman"/>
          <w:sz w:val="24"/>
          <w:szCs w:val="24"/>
        </w:rPr>
        <w:t>.</w:t>
      </w:r>
    </w:p>
    <w:p w14:paraId="17582263" w14:textId="0667E1AC" w:rsidR="00AE718B" w:rsidRPr="00AE718B" w:rsidRDefault="00AE718B" w:rsidP="00AE718B">
      <w:pPr>
        <w:spacing w:after="120" w:line="360" w:lineRule="auto"/>
        <w:ind w:firstLine="709"/>
        <w:jc w:val="both"/>
        <w:rPr>
          <w:rFonts w:ascii="Times New Roman" w:hAnsi="Times New Roman" w:cs="Times New Roman"/>
          <w:sz w:val="24"/>
          <w:szCs w:val="24"/>
        </w:rPr>
      </w:pPr>
      <w:r w:rsidRPr="00AE718B">
        <w:rPr>
          <w:rFonts w:ascii="Times New Roman" w:hAnsi="Times New Roman" w:cs="Times New Roman"/>
          <w:sz w:val="24"/>
          <w:szCs w:val="24"/>
        </w:rPr>
        <w:t>There are two parameters in AMLD5 against which its coverage of these public offers can be ascertained: the definition of VCs enacted in AMLD5 and the definition of obliged exchange services as those operating fiat-to-crypto trade</w:t>
      </w:r>
      <w:r w:rsidRPr="003412DB">
        <w:rPr>
          <w:rStyle w:val="FootnoteReference"/>
          <w:rFonts w:ascii="Times New Roman" w:hAnsi="Times New Roman" w:cs="Times New Roman"/>
          <w:sz w:val="24"/>
          <w:szCs w:val="24"/>
          <w:lang w:val="en-US"/>
        </w:rPr>
        <w:footnoteReference w:id="87"/>
      </w:r>
      <w:r w:rsidRPr="00AE718B">
        <w:rPr>
          <w:rFonts w:ascii="Times New Roman" w:hAnsi="Times New Roman" w:cs="Times New Roman"/>
          <w:sz w:val="24"/>
          <w:szCs w:val="24"/>
        </w:rPr>
        <w:t>. The latter approach was taken by the European Securities and Markets Authority (hereafter “ESMA”) regarding ICOs. According to ESMA, under such definition, ICO issuers are not obliged entities under the EU AML regulatory regime</w:t>
      </w:r>
      <w:r w:rsidRPr="003412DB">
        <w:rPr>
          <w:rStyle w:val="FootnoteReference"/>
          <w:rFonts w:ascii="Times New Roman" w:hAnsi="Times New Roman" w:cs="Times New Roman"/>
          <w:sz w:val="24"/>
          <w:szCs w:val="24"/>
          <w:lang w:val="en-US"/>
        </w:rPr>
        <w:footnoteReference w:id="88"/>
      </w:r>
      <w:r w:rsidRPr="00AE718B">
        <w:rPr>
          <w:rFonts w:ascii="Times New Roman" w:hAnsi="Times New Roman" w:cs="Times New Roman"/>
          <w:sz w:val="24"/>
          <w:szCs w:val="24"/>
        </w:rPr>
        <w:t>. The reason for this view is that the consideration for ICOs can be any asset, especially other CCs, and not just fiat currencies</w:t>
      </w:r>
      <w:r w:rsidRPr="003412DB">
        <w:rPr>
          <w:rStyle w:val="FootnoteReference"/>
          <w:rFonts w:ascii="Times New Roman" w:hAnsi="Times New Roman" w:cs="Times New Roman"/>
          <w:sz w:val="24"/>
          <w:szCs w:val="24"/>
          <w:lang w:val="en-US"/>
        </w:rPr>
        <w:footnoteReference w:id="89"/>
      </w:r>
      <w:r w:rsidRPr="00AE718B">
        <w:rPr>
          <w:rFonts w:ascii="Times New Roman" w:hAnsi="Times New Roman" w:cs="Times New Roman"/>
          <w:sz w:val="24"/>
          <w:szCs w:val="24"/>
        </w:rPr>
        <w:t>. Therefore, ESMA recommends the explicit inclusion of ICOs under</w:t>
      </w:r>
      <w:r>
        <w:rPr>
          <w:rFonts w:ascii="Times New Roman" w:hAnsi="Times New Roman" w:cs="Times New Roman"/>
          <w:sz w:val="24"/>
          <w:szCs w:val="24"/>
        </w:rPr>
        <w:t xml:space="preserve"> </w:t>
      </w:r>
      <w:r w:rsidRPr="00AE718B">
        <w:rPr>
          <w:rFonts w:ascii="Times New Roman" w:hAnsi="Times New Roman" w:cs="Times New Roman"/>
          <w:sz w:val="24"/>
          <w:szCs w:val="24"/>
        </w:rPr>
        <w:t>the EU AML regulatory regime not only for the risks they present but also to align the regime with</w:t>
      </w:r>
      <w:r>
        <w:rPr>
          <w:rFonts w:ascii="Times New Roman" w:hAnsi="Times New Roman" w:cs="Times New Roman"/>
          <w:sz w:val="24"/>
          <w:szCs w:val="24"/>
        </w:rPr>
        <w:t xml:space="preserve"> </w:t>
      </w:r>
      <w:r w:rsidRPr="00AE718B">
        <w:rPr>
          <w:rFonts w:ascii="Times New Roman" w:hAnsi="Times New Roman" w:cs="Times New Roman"/>
          <w:sz w:val="24"/>
          <w:szCs w:val="24"/>
        </w:rPr>
        <w:t>the updated FATF Recommendations</w:t>
      </w:r>
      <w:r w:rsidR="004D76B1" w:rsidRPr="003412DB">
        <w:rPr>
          <w:rStyle w:val="FootnoteReference"/>
          <w:rFonts w:ascii="Times New Roman" w:hAnsi="Times New Roman" w:cs="Times New Roman"/>
          <w:sz w:val="24"/>
          <w:szCs w:val="24"/>
          <w:lang w:val="en-US"/>
        </w:rPr>
        <w:footnoteReference w:id="90"/>
      </w:r>
      <w:r w:rsidR="00982315">
        <w:rPr>
          <w:rFonts w:ascii="Times New Roman" w:hAnsi="Times New Roman" w:cs="Times New Roman"/>
          <w:sz w:val="24"/>
          <w:szCs w:val="24"/>
        </w:rPr>
        <w:t>.</w:t>
      </w:r>
    </w:p>
    <w:p w14:paraId="7AA6C88F" w14:textId="61783A69" w:rsidR="00AE718B" w:rsidRDefault="006622AA" w:rsidP="00AE718B">
      <w:pPr>
        <w:spacing w:after="120" w:line="360" w:lineRule="auto"/>
        <w:ind w:firstLine="709"/>
        <w:jc w:val="both"/>
        <w:rPr>
          <w:rFonts w:ascii="Times New Roman" w:hAnsi="Times New Roman" w:cs="Times New Roman"/>
          <w:sz w:val="24"/>
          <w:szCs w:val="24"/>
        </w:rPr>
      </w:pPr>
      <w:proofErr w:type="spellStart"/>
      <w:r w:rsidRPr="006622AA">
        <w:rPr>
          <w:rFonts w:ascii="Times New Roman" w:hAnsi="Times New Roman" w:cs="Times New Roman"/>
          <w:sz w:val="24"/>
          <w:szCs w:val="24"/>
        </w:rPr>
        <w:t>Haffke</w:t>
      </w:r>
      <w:proofErr w:type="spellEnd"/>
      <w:r w:rsidRPr="006622AA">
        <w:rPr>
          <w:rFonts w:ascii="Times New Roman" w:hAnsi="Times New Roman" w:cs="Times New Roman"/>
          <w:sz w:val="24"/>
          <w:szCs w:val="24"/>
        </w:rPr>
        <w:t xml:space="preserve">, </w:t>
      </w:r>
      <w:proofErr w:type="spellStart"/>
      <w:r w:rsidRPr="006622AA">
        <w:rPr>
          <w:rFonts w:ascii="Times New Roman" w:hAnsi="Times New Roman" w:cs="Times New Roman"/>
          <w:sz w:val="24"/>
          <w:szCs w:val="24"/>
        </w:rPr>
        <w:t>Fromberger</w:t>
      </w:r>
      <w:proofErr w:type="spellEnd"/>
      <w:r w:rsidRPr="006622AA">
        <w:rPr>
          <w:rFonts w:ascii="Times New Roman" w:hAnsi="Times New Roman" w:cs="Times New Roman"/>
          <w:sz w:val="24"/>
          <w:szCs w:val="24"/>
        </w:rPr>
        <w:t xml:space="preserve"> and Zimmermann argue that, given the plural “services” found in Article 2(1)(g) AMLD4, only ICOs that, besides accepting fiat currency as a means of payment, </w:t>
      </w:r>
      <w:r w:rsidRPr="006622AA">
        <w:rPr>
          <w:rFonts w:ascii="Times New Roman" w:hAnsi="Times New Roman" w:cs="Times New Roman"/>
          <w:i/>
          <w:iCs/>
          <w:sz w:val="24"/>
          <w:szCs w:val="24"/>
        </w:rPr>
        <w:t>are multi-staged</w:t>
      </w:r>
      <w:r w:rsidRPr="006622AA">
        <w:rPr>
          <w:rFonts w:ascii="Times New Roman" w:hAnsi="Times New Roman" w:cs="Times New Roman"/>
          <w:sz w:val="24"/>
          <w:szCs w:val="24"/>
        </w:rPr>
        <w:t xml:space="preserve"> could fall under the scope of AMLD4, since such wording would indicate that one-time transactions are not covered by this provision</w:t>
      </w:r>
      <w:r w:rsidR="00E86DCD" w:rsidRPr="003412DB">
        <w:rPr>
          <w:rStyle w:val="FootnoteReference"/>
          <w:rFonts w:ascii="Times New Roman" w:hAnsi="Times New Roman" w:cs="Times New Roman"/>
          <w:sz w:val="24"/>
          <w:szCs w:val="24"/>
          <w:lang w:val="en-US"/>
        </w:rPr>
        <w:footnoteReference w:id="91"/>
      </w:r>
      <w:r w:rsidRPr="006622AA">
        <w:rPr>
          <w:rFonts w:ascii="Times New Roman" w:hAnsi="Times New Roman" w:cs="Times New Roman"/>
          <w:sz w:val="24"/>
          <w:szCs w:val="24"/>
        </w:rPr>
        <w:t xml:space="preserve">. I do not agree with this overly </w:t>
      </w:r>
      <w:r w:rsidRPr="006622AA">
        <w:rPr>
          <w:rFonts w:ascii="Times New Roman" w:hAnsi="Times New Roman" w:cs="Times New Roman"/>
          <w:sz w:val="24"/>
          <w:szCs w:val="24"/>
        </w:rPr>
        <w:lastRenderedPageBreak/>
        <w:t>simplistic and grammatical interpretation. Article 3(5) AMLD4 is very clear in stating that the restrictions to the transaction-based exemption granted by Article 3(3)(b) AMLD4 are applicable “whether the transaction is carried out in a single operation or in several operations which appear to be linked”</w:t>
      </w:r>
      <w:r w:rsidR="00E86DCD" w:rsidRPr="003412DB">
        <w:rPr>
          <w:rStyle w:val="FootnoteReference"/>
          <w:rFonts w:ascii="Times New Roman" w:hAnsi="Times New Roman" w:cs="Times New Roman"/>
          <w:sz w:val="24"/>
          <w:szCs w:val="24"/>
          <w:lang w:val="en-US"/>
        </w:rPr>
        <w:footnoteReference w:id="92"/>
      </w:r>
      <w:r w:rsidRPr="006622AA">
        <w:rPr>
          <w:rFonts w:ascii="Times New Roman" w:hAnsi="Times New Roman" w:cs="Times New Roman"/>
          <w:sz w:val="24"/>
          <w:szCs w:val="24"/>
        </w:rPr>
        <w:t>. Therefore, in my understanding, the remaining criteria of Article 3(3)(b) – and not whether the ICO is multi-staged or not – should be the parameter against which to scrutinize whether a particular ICO, and the respective transactions which it would involve, can fall out of the scope of AMLD4, namely: the amount of money concerned, the type of financial activity and the ML risks involved</w:t>
      </w:r>
      <w:r w:rsidR="00E86DCD" w:rsidRPr="003412DB">
        <w:rPr>
          <w:rStyle w:val="FootnoteReference"/>
          <w:rFonts w:ascii="Times New Roman" w:hAnsi="Times New Roman" w:cs="Times New Roman"/>
          <w:sz w:val="24"/>
          <w:szCs w:val="24"/>
          <w:lang w:val="en-US"/>
        </w:rPr>
        <w:footnoteReference w:id="93"/>
      </w:r>
      <w:r w:rsidR="004B41CE">
        <w:rPr>
          <w:rFonts w:ascii="Times New Roman" w:hAnsi="Times New Roman" w:cs="Times New Roman"/>
          <w:sz w:val="24"/>
          <w:szCs w:val="24"/>
        </w:rPr>
        <w:t>.</w:t>
      </w:r>
    </w:p>
    <w:p w14:paraId="6BBFFB87" w14:textId="2DD87A1C" w:rsidR="00A60018" w:rsidRDefault="00E86DCD" w:rsidP="00B12A7B">
      <w:pPr>
        <w:spacing w:after="120" w:line="360" w:lineRule="auto"/>
        <w:ind w:firstLine="709"/>
        <w:jc w:val="both"/>
        <w:rPr>
          <w:rFonts w:ascii="Times New Roman" w:hAnsi="Times New Roman" w:cs="Times New Roman"/>
          <w:sz w:val="24"/>
          <w:szCs w:val="24"/>
        </w:rPr>
      </w:pPr>
      <w:r w:rsidRPr="00E86DCD">
        <w:rPr>
          <w:rFonts w:ascii="Times New Roman" w:hAnsi="Times New Roman" w:cs="Times New Roman"/>
          <w:sz w:val="24"/>
          <w:szCs w:val="24"/>
        </w:rPr>
        <w:t>This uncertainty is clearly a problem for harmonization and the fight against CC-related ML. Nevertheless, national legislatures may address this issue by going beyond the minimum required by AMLD5. The UK did so by clarifying in the implementing legislation that the category of “</w:t>
      </w:r>
      <w:proofErr w:type="spellStart"/>
      <w:r w:rsidRPr="00E86DCD">
        <w:rPr>
          <w:rFonts w:ascii="Times New Roman" w:hAnsi="Times New Roman" w:cs="Times New Roman"/>
          <w:sz w:val="24"/>
          <w:szCs w:val="24"/>
        </w:rPr>
        <w:t>cryptoasset</w:t>
      </w:r>
      <w:proofErr w:type="spellEnd"/>
      <w:r w:rsidRPr="00E86DCD">
        <w:rPr>
          <w:rFonts w:ascii="Times New Roman" w:hAnsi="Times New Roman" w:cs="Times New Roman"/>
          <w:sz w:val="24"/>
          <w:szCs w:val="24"/>
        </w:rPr>
        <w:t xml:space="preserve"> exchange provider” includes the “creator or issuer of any of the </w:t>
      </w:r>
      <w:proofErr w:type="spellStart"/>
      <w:r w:rsidRPr="00E86DCD">
        <w:rPr>
          <w:rFonts w:ascii="Times New Roman" w:hAnsi="Times New Roman" w:cs="Times New Roman"/>
          <w:sz w:val="24"/>
          <w:szCs w:val="24"/>
        </w:rPr>
        <w:t>cryptoassets</w:t>
      </w:r>
      <w:proofErr w:type="spellEnd"/>
      <w:r>
        <w:rPr>
          <w:rFonts w:ascii="Times New Roman" w:hAnsi="Times New Roman" w:cs="Times New Roman"/>
          <w:sz w:val="24"/>
          <w:szCs w:val="24"/>
        </w:rPr>
        <w:t xml:space="preserve"> </w:t>
      </w:r>
      <w:r w:rsidRPr="00E86DCD">
        <w:rPr>
          <w:rFonts w:ascii="Times New Roman" w:hAnsi="Times New Roman" w:cs="Times New Roman"/>
          <w:sz w:val="24"/>
          <w:szCs w:val="24"/>
        </w:rPr>
        <w:t>involved”</w:t>
      </w:r>
      <w:r w:rsidRPr="003412DB">
        <w:rPr>
          <w:rStyle w:val="FootnoteReference"/>
          <w:rFonts w:ascii="Times New Roman" w:hAnsi="Times New Roman" w:cs="Times New Roman"/>
          <w:sz w:val="24"/>
          <w:szCs w:val="24"/>
          <w:lang w:val="en-US"/>
        </w:rPr>
        <w:footnoteReference w:id="94"/>
      </w:r>
      <w:r w:rsidRPr="00E86DCD">
        <w:rPr>
          <w:rFonts w:ascii="Times New Roman" w:hAnsi="Times New Roman" w:cs="Times New Roman"/>
          <w:sz w:val="24"/>
          <w:szCs w:val="24"/>
        </w:rPr>
        <w:t>. France</w:t>
      </w:r>
      <w:r w:rsidRPr="003412DB">
        <w:rPr>
          <w:rStyle w:val="FootnoteReference"/>
          <w:rFonts w:ascii="Times New Roman" w:hAnsi="Times New Roman" w:cs="Times New Roman"/>
          <w:sz w:val="24"/>
          <w:szCs w:val="24"/>
          <w:lang w:val="en-US"/>
        </w:rPr>
        <w:footnoteReference w:id="95"/>
      </w:r>
      <w:r w:rsidRPr="00E86DCD">
        <w:rPr>
          <w:rFonts w:ascii="Times New Roman" w:hAnsi="Times New Roman" w:cs="Times New Roman"/>
          <w:sz w:val="24"/>
          <w:szCs w:val="24"/>
        </w:rPr>
        <w:t xml:space="preserve"> and Italy</w:t>
      </w:r>
      <w:r w:rsidRPr="003412DB">
        <w:rPr>
          <w:rStyle w:val="FootnoteReference"/>
          <w:rFonts w:ascii="Times New Roman" w:hAnsi="Times New Roman" w:cs="Times New Roman"/>
          <w:sz w:val="24"/>
          <w:szCs w:val="24"/>
          <w:lang w:val="en-US"/>
        </w:rPr>
        <w:footnoteReference w:id="96"/>
      </w:r>
      <w:r w:rsidRPr="00E86DCD">
        <w:rPr>
          <w:rFonts w:ascii="Times New Roman" w:hAnsi="Times New Roman" w:cs="Times New Roman"/>
          <w:sz w:val="24"/>
          <w:szCs w:val="24"/>
        </w:rPr>
        <w:t xml:space="preserve"> also included issuers. On the other hand, Bulgaria did not make such inclusion</w:t>
      </w:r>
      <w:r w:rsidRPr="003412DB">
        <w:rPr>
          <w:rStyle w:val="FootnoteReference"/>
          <w:rFonts w:ascii="Times New Roman" w:hAnsi="Times New Roman" w:cs="Times New Roman"/>
          <w:sz w:val="24"/>
          <w:szCs w:val="24"/>
          <w:lang w:val="en-US"/>
        </w:rPr>
        <w:footnoteReference w:id="97"/>
      </w:r>
      <w:r w:rsidRPr="00E86DCD">
        <w:rPr>
          <w:rFonts w:ascii="Times New Roman" w:hAnsi="Times New Roman" w:cs="Times New Roman"/>
          <w:sz w:val="24"/>
          <w:szCs w:val="24"/>
        </w:rPr>
        <w:t>.</w:t>
      </w:r>
    </w:p>
    <w:p w14:paraId="64D148BB" w14:textId="39765694" w:rsidR="00B12A7B" w:rsidRDefault="00AC3A6B" w:rsidP="00B12A7B">
      <w:pPr>
        <w:spacing w:after="120" w:line="360" w:lineRule="auto"/>
        <w:ind w:firstLine="709"/>
        <w:jc w:val="both"/>
        <w:rPr>
          <w:rFonts w:ascii="Times New Roman" w:hAnsi="Times New Roman" w:cs="Times New Roman"/>
          <w:sz w:val="24"/>
          <w:szCs w:val="24"/>
        </w:rPr>
      </w:pPr>
      <w:r w:rsidRPr="00AC3A6B">
        <w:rPr>
          <w:rFonts w:ascii="Times New Roman" w:hAnsi="Times New Roman" w:cs="Times New Roman"/>
          <w:sz w:val="24"/>
          <w:szCs w:val="24"/>
        </w:rPr>
        <w:t>Regarding the other approach – which is more relevant for investment tokens – based on the definition of VCs enacted in AMLD5, Bal argues, with reference to Recital 10 AMLD5, that such definition is broad enough to cover the use of investment tokens</w:t>
      </w:r>
      <w:r w:rsidR="00016205" w:rsidRPr="003412DB">
        <w:rPr>
          <w:rStyle w:val="FootnoteReference"/>
          <w:rFonts w:ascii="Times New Roman" w:hAnsi="Times New Roman" w:cs="Times New Roman"/>
          <w:sz w:val="24"/>
          <w:szCs w:val="24"/>
          <w:lang w:val="en-US"/>
        </w:rPr>
        <w:footnoteReference w:id="98"/>
      </w:r>
      <w:r w:rsidR="00016205">
        <w:rPr>
          <w:rFonts w:ascii="Times New Roman" w:hAnsi="Times New Roman" w:cs="Times New Roman"/>
          <w:sz w:val="24"/>
          <w:szCs w:val="24"/>
        </w:rPr>
        <w:t>.</w:t>
      </w:r>
      <w:r w:rsidRPr="00AC3A6B">
        <w:rPr>
          <w:rFonts w:ascii="Times New Roman" w:hAnsi="Times New Roman" w:cs="Times New Roman"/>
          <w:sz w:val="24"/>
          <w:szCs w:val="24"/>
        </w:rPr>
        <w:t xml:space="preserve"> Under such Recital:</w:t>
      </w:r>
    </w:p>
    <w:p w14:paraId="06B5D3DB" w14:textId="088D3C26" w:rsidR="00AC3A6B" w:rsidRPr="00AC3A6B" w:rsidRDefault="00AC3A6B" w:rsidP="00AC3A6B">
      <w:pPr>
        <w:spacing w:after="120" w:line="360" w:lineRule="auto"/>
        <w:ind w:left="1416"/>
        <w:jc w:val="both"/>
        <w:rPr>
          <w:rFonts w:ascii="Times New Roman" w:hAnsi="Times New Roman" w:cs="Times New Roman"/>
        </w:rPr>
      </w:pPr>
      <w:r w:rsidRPr="003412DB">
        <w:rPr>
          <w:rFonts w:ascii="Times New Roman" w:hAnsi="Times New Roman" w:cs="Times New Roman"/>
        </w:rPr>
        <w:t xml:space="preserve">“… virtual currencies can frequently be used as a means of payment, they could also be used for other purposes and find broader applications such as means of exchange, </w:t>
      </w:r>
      <w:r w:rsidRPr="003412DB">
        <w:rPr>
          <w:rFonts w:ascii="Times New Roman" w:hAnsi="Times New Roman" w:cs="Times New Roman"/>
          <w:i/>
          <w:iCs/>
        </w:rPr>
        <w:t>investment</w:t>
      </w:r>
      <w:r w:rsidRPr="003412DB">
        <w:rPr>
          <w:rFonts w:ascii="Times New Roman" w:hAnsi="Times New Roman" w:cs="Times New Roman"/>
        </w:rPr>
        <w:t>, store-of-value products or use in online casinos. The objective of this Directive is to cover all the potential uses of virtual currencies”</w:t>
      </w:r>
      <w:r w:rsidRPr="003412DB">
        <w:rPr>
          <w:rStyle w:val="FootnoteReference"/>
          <w:rFonts w:ascii="Times New Roman" w:hAnsi="Times New Roman" w:cs="Times New Roman"/>
          <w:lang w:val="en-US"/>
        </w:rPr>
        <w:footnoteReference w:id="99"/>
      </w:r>
      <w:r w:rsidRPr="003412DB">
        <w:rPr>
          <w:rFonts w:ascii="Times New Roman" w:hAnsi="Times New Roman" w:cs="Times New Roman"/>
        </w:rPr>
        <w:t>.</w:t>
      </w:r>
    </w:p>
    <w:p w14:paraId="6B08B36E" w14:textId="7BBE18F7" w:rsidR="00AC3A6B" w:rsidRDefault="00AC3A6B" w:rsidP="003A256A">
      <w:pPr>
        <w:spacing w:after="120" w:line="360" w:lineRule="auto"/>
        <w:ind w:firstLine="709"/>
        <w:jc w:val="both"/>
        <w:rPr>
          <w:rFonts w:ascii="Times New Roman" w:hAnsi="Times New Roman" w:cs="Times New Roman"/>
          <w:sz w:val="24"/>
          <w:szCs w:val="24"/>
        </w:rPr>
      </w:pPr>
      <w:r w:rsidRPr="00AC3A6B">
        <w:rPr>
          <w:rFonts w:ascii="Times New Roman" w:hAnsi="Times New Roman" w:cs="Times New Roman"/>
          <w:sz w:val="24"/>
          <w:szCs w:val="24"/>
        </w:rPr>
        <w:lastRenderedPageBreak/>
        <w:t xml:space="preserve">However, a further issue is that, as explained </w:t>
      </w:r>
      <w:r>
        <w:rPr>
          <w:rFonts w:ascii="Times New Roman" w:hAnsi="Times New Roman" w:cs="Times New Roman"/>
          <w:sz w:val="24"/>
          <w:szCs w:val="24"/>
        </w:rPr>
        <w:t>above</w:t>
      </w:r>
      <w:r w:rsidRPr="00AC3A6B">
        <w:rPr>
          <w:rFonts w:ascii="Times New Roman" w:hAnsi="Times New Roman" w:cs="Times New Roman"/>
          <w:sz w:val="24"/>
          <w:szCs w:val="24"/>
        </w:rPr>
        <w:t xml:space="preserve">, the definition of VCs enacted in AMLD5 requires that, </w:t>
      </w:r>
      <w:r w:rsidR="00016205" w:rsidRPr="00AC3A6B">
        <w:rPr>
          <w:rFonts w:ascii="Times New Roman" w:hAnsi="Times New Roman" w:cs="Times New Roman"/>
          <w:sz w:val="24"/>
          <w:szCs w:val="24"/>
        </w:rPr>
        <w:t>to</w:t>
      </w:r>
      <w:r w:rsidRPr="00AC3A6B">
        <w:rPr>
          <w:rFonts w:ascii="Times New Roman" w:hAnsi="Times New Roman" w:cs="Times New Roman"/>
          <w:sz w:val="24"/>
          <w:szCs w:val="24"/>
        </w:rPr>
        <w:t xml:space="preserve"> fall under such definition, a VC must be usable as a “means of exchange”. Considering this aspect, </w:t>
      </w:r>
      <w:proofErr w:type="spellStart"/>
      <w:r w:rsidRPr="00AC3A6B">
        <w:rPr>
          <w:rFonts w:ascii="Times New Roman" w:hAnsi="Times New Roman" w:cs="Times New Roman"/>
          <w:sz w:val="24"/>
          <w:szCs w:val="24"/>
        </w:rPr>
        <w:t>Haffke</w:t>
      </w:r>
      <w:proofErr w:type="spellEnd"/>
      <w:r w:rsidRPr="00AC3A6B">
        <w:rPr>
          <w:rFonts w:ascii="Times New Roman" w:hAnsi="Times New Roman" w:cs="Times New Roman"/>
          <w:sz w:val="24"/>
          <w:szCs w:val="24"/>
        </w:rPr>
        <w:t xml:space="preserve">, </w:t>
      </w:r>
      <w:proofErr w:type="spellStart"/>
      <w:r w:rsidRPr="00AC3A6B">
        <w:rPr>
          <w:rFonts w:ascii="Times New Roman" w:hAnsi="Times New Roman" w:cs="Times New Roman"/>
          <w:sz w:val="24"/>
          <w:szCs w:val="24"/>
        </w:rPr>
        <w:t>Fromberger</w:t>
      </w:r>
      <w:proofErr w:type="spellEnd"/>
      <w:r w:rsidRPr="00AC3A6B">
        <w:rPr>
          <w:rFonts w:ascii="Times New Roman" w:hAnsi="Times New Roman" w:cs="Times New Roman"/>
          <w:sz w:val="24"/>
          <w:szCs w:val="24"/>
        </w:rPr>
        <w:t xml:space="preserve"> and Zimmermann argue that a broad interpretation such as that advanced by Bal cannot be accepted, pointing two main reasons</w:t>
      </w:r>
      <w:r w:rsidR="00A4291D" w:rsidRPr="003412DB">
        <w:rPr>
          <w:rStyle w:val="FootnoteReference"/>
          <w:rFonts w:ascii="Times New Roman" w:hAnsi="Times New Roman" w:cs="Times New Roman"/>
          <w:sz w:val="24"/>
          <w:szCs w:val="24"/>
          <w:lang w:val="en-US"/>
        </w:rPr>
        <w:footnoteReference w:id="100"/>
      </w:r>
      <w:r w:rsidR="00A4291D">
        <w:rPr>
          <w:rFonts w:ascii="Times New Roman" w:hAnsi="Times New Roman" w:cs="Times New Roman"/>
          <w:sz w:val="24"/>
          <w:szCs w:val="24"/>
        </w:rPr>
        <w:t>.</w:t>
      </w:r>
    </w:p>
    <w:p w14:paraId="3DCE6DBC" w14:textId="6A2E6D0F" w:rsidR="00EA6FBC" w:rsidRDefault="00A84B07" w:rsidP="00EA6FBC">
      <w:pPr>
        <w:spacing w:after="120" w:line="360" w:lineRule="auto"/>
        <w:ind w:firstLine="709"/>
        <w:jc w:val="both"/>
        <w:rPr>
          <w:rFonts w:ascii="Times New Roman" w:hAnsi="Times New Roman" w:cs="Times New Roman"/>
          <w:sz w:val="24"/>
          <w:szCs w:val="24"/>
        </w:rPr>
      </w:pPr>
      <w:r w:rsidRPr="00A84B07">
        <w:rPr>
          <w:rFonts w:ascii="Times New Roman" w:hAnsi="Times New Roman" w:cs="Times New Roman"/>
          <w:sz w:val="24"/>
          <w:szCs w:val="24"/>
        </w:rPr>
        <w:t>The first reason is that Recital 10 itself uses the introducing transition “such as” before mentioning the applications of, e.g., means of exchange and investment, and Article 3(18) did not repeat such examples when defining VCs. Thus, it would be inconsistent to interpret the Recital as being more far-reaching than the legislation itself. I add to that the CJEU’s understanding regarding the (absence of) legal force in Recitals</w:t>
      </w:r>
      <w:r w:rsidR="00275BA5" w:rsidRPr="003412DB">
        <w:rPr>
          <w:rStyle w:val="FootnoteReference"/>
          <w:rFonts w:ascii="Times New Roman" w:hAnsi="Times New Roman" w:cs="Times New Roman"/>
          <w:sz w:val="24"/>
          <w:szCs w:val="24"/>
          <w:lang w:val="en-US"/>
        </w:rPr>
        <w:footnoteReference w:id="101"/>
      </w:r>
      <w:r w:rsidRPr="00A84B07">
        <w:rPr>
          <w:rFonts w:ascii="Times New Roman" w:hAnsi="Times New Roman" w:cs="Times New Roman"/>
          <w:sz w:val="24"/>
          <w:szCs w:val="24"/>
        </w:rPr>
        <w:t>. The second reason is that a “means of exchange”, in economic terms, is an “intermediary object” with the primary aim to make trade possible without having to recur to the practice of trading goods themselves. Since</w:t>
      </w:r>
      <w:r>
        <w:rPr>
          <w:rFonts w:ascii="Times New Roman" w:hAnsi="Times New Roman" w:cs="Times New Roman"/>
          <w:sz w:val="24"/>
          <w:szCs w:val="24"/>
        </w:rPr>
        <w:t xml:space="preserve"> </w:t>
      </w:r>
      <w:r w:rsidRPr="00A84B07">
        <w:rPr>
          <w:rFonts w:ascii="Times New Roman" w:hAnsi="Times New Roman" w:cs="Times New Roman"/>
          <w:sz w:val="24"/>
          <w:szCs w:val="24"/>
        </w:rPr>
        <w:t>such a function is only a characteristic of currency tokens (CCs) and not investment tokens, the latter cannot be deemed to fall under the definition of VCs enacted in AMLD5</w:t>
      </w:r>
      <w:r w:rsidRPr="003412DB">
        <w:rPr>
          <w:rStyle w:val="FootnoteReference"/>
          <w:rFonts w:ascii="Times New Roman" w:hAnsi="Times New Roman" w:cs="Times New Roman"/>
          <w:sz w:val="24"/>
          <w:szCs w:val="24"/>
          <w:lang w:val="en-US"/>
        </w:rPr>
        <w:footnoteReference w:id="102"/>
      </w:r>
      <w:r w:rsidR="000326EA">
        <w:rPr>
          <w:rFonts w:ascii="Times New Roman" w:hAnsi="Times New Roman" w:cs="Times New Roman"/>
          <w:sz w:val="24"/>
          <w:szCs w:val="24"/>
        </w:rPr>
        <w:t>.</w:t>
      </w:r>
    </w:p>
    <w:p w14:paraId="16F52ECB" w14:textId="05EE72FB" w:rsidR="00385FAC" w:rsidRDefault="00404FD6" w:rsidP="00385FAC">
      <w:pPr>
        <w:spacing w:after="120" w:line="360" w:lineRule="auto"/>
        <w:ind w:firstLine="709"/>
        <w:jc w:val="both"/>
        <w:rPr>
          <w:rFonts w:ascii="Times New Roman" w:hAnsi="Times New Roman" w:cs="Times New Roman"/>
          <w:sz w:val="24"/>
          <w:szCs w:val="24"/>
        </w:rPr>
      </w:pPr>
      <w:r w:rsidRPr="00404FD6">
        <w:rPr>
          <w:rFonts w:ascii="Times New Roman" w:hAnsi="Times New Roman" w:cs="Times New Roman"/>
          <w:sz w:val="24"/>
          <w:szCs w:val="24"/>
        </w:rPr>
        <w:t>This is another uncertainty that can create problems for harmonization. For example, in this matter, Bulgaria’s legislation implements the minimum required by AMLD5, the former’s definition of VCs being identical to that of the latter</w:t>
      </w:r>
      <w:r w:rsidR="00075B11" w:rsidRPr="003412DB">
        <w:rPr>
          <w:rStyle w:val="FootnoteReference"/>
          <w:rFonts w:ascii="Times New Roman" w:hAnsi="Times New Roman" w:cs="Times New Roman"/>
          <w:sz w:val="24"/>
          <w:szCs w:val="24"/>
          <w:lang w:val="en-US"/>
        </w:rPr>
        <w:footnoteReference w:id="103"/>
      </w:r>
      <w:r w:rsidRPr="00404FD6">
        <w:rPr>
          <w:rFonts w:ascii="Times New Roman" w:hAnsi="Times New Roman" w:cs="Times New Roman"/>
          <w:sz w:val="24"/>
          <w:szCs w:val="24"/>
        </w:rPr>
        <w:t>. However, also here there are examples of national legislatures taking a step further in avoiding this definitional backsliding. Italy</w:t>
      </w:r>
      <w:r w:rsidR="00075B11" w:rsidRPr="003412DB">
        <w:rPr>
          <w:rStyle w:val="FootnoteReference"/>
          <w:rFonts w:ascii="Times New Roman" w:hAnsi="Times New Roman" w:cs="Times New Roman"/>
          <w:sz w:val="24"/>
          <w:szCs w:val="24"/>
          <w:lang w:val="en-US"/>
        </w:rPr>
        <w:footnoteReference w:id="104"/>
      </w:r>
      <w:r w:rsidRPr="00404FD6">
        <w:rPr>
          <w:rFonts w:ascii="Times New Roman" w:hAnsi="Times New Roman" w:cs="Times New Roman"/>
          <w:sz w:val="24"/>
          <w:szCs w:val="24"/>
        </w:rPr>
        <w:t xml:space="preserve"> and Germany</w:t>
      </w:r>
      <w:r w:rsidR="00A7203C" w:rsidRPr="003412DB">
        <w:rPr>
          <w:rStyle w:val="FootnoteReference"/>
          <w:rFonts w:ascii="Times New Roman" w:hAnsi="Times New Roman" w:cs="Times New Roman"/>
          <w:sz w:val="24"/>
          <w:szCs w:val="24"/>
          <w:lang w:val="en-US"/>
        </w:rPr>
        <w:footnoteReference w:id="105"/>
      </w:r>
      <w:r w:rsidRPr="00404FD6">
        <w:rPr>
          <w:rFonts w:ascii="Times New Roman" w:hAnsi="Times New Roman" w:cs="Times New Roman"/>
          <w:sz w:val="24"/>
          <w:szCs w:val="24"/>
        </w:rPr>
        <w:t xml:space="preserve"> both include the possibility of the instruments concerned to be used for investment purposes in their definitions equivalent to that of VCs under AMLD5. The UK enacted an even more technologically neutral definition, giving to “</w:t>
      </w:r>
      <w:proofErr w:type="spellStart"/>
      <w:r w:rsidRPr="00404FD6">
        <w:rPr>
          <w:rFonts w:ascii="Times New Roman" w:hAnsi="Times New Roman" w:cs="Times New Roman"/>
          <w:sz w:val="24"/>
          <w:szCs w:val="24"/>
        </w:rPr>
        <w:t>cryptoassets</w:t>
      </w:r>
      <w:proofErr w:type="spellEnd"/>
      <w:r w:rsidRPr="00404FD6">
        <w:rPr>
          <w:rFonts w:ascii="Times New Roman" w:hAnsi="Times New Roman" w:cs="Times New Roman"/>
          <w:sz w:val="24"/>
          <w:szCs w:val="24"/>
        </w:rPr>
        <w:t>” the meaning of “cryptographically secured digital representation of value or contractual rights that uses a form of distributed ledger technology and can be transferred, stored or traded electronically”</w:t>
      </w:r>
      <w:r w:rsidR="003A5BA3" w:rsidRPr="003412DB">
        <w:rPr>
          <w:rStyle w:val="FootnoteReference"/>
          <w:rFonts w:ascii="Times New Roman" w:hAnsi="Times New Roman" w:cs="Times New Roman"/>
          <w:sz w:val="24"/>
          <w:szCs w:val="24"/>
          <w:lang w:val="en-US"/>
        </w:rPr>
        <w:footnoteReference w:id="106"/>
      </w:r>
      <w:r w:rsidRPr="00404FD6">
        <w:rPr>
          <w:rFonts w:ascii="Times New Roman" w:hAnsi="Times New Roman" w:cs="Times New Roman"/>
          <w:sz w:val="24"/>
          <w:szCs w:val="24"/>
        </w:rPr>
        <w:t xml:space="preserve">. In my view, this latter definition is not function-driven and therefore able to, in the future, cover </w:t>
      </w:r>
      <w:r w:rsidRPr="00404FD6">
        <w:rPr>
          <w:rFonts w:ascii="Times New Roman" w:hAnsi="Times New Roman" w:cs="Times New Roman"/>
          <w:sz w:val="24"/>
          <w:szCs w:val="24"/>
        </w:rPr>
        <w:lastRenderedPageBreak/>
        <w:t xml:space="preserve">tokens used for other purposes than those outlined </w:t>
      </w:r>
      <w:r w:rsidR="00A7203C">
        <w:rPr>
          <w:rFonts w:ascii="Times New Roman" w:hAnsi="Times New Roman" w:cs="Times New Roman"/>
          <w:sz w:val="24"/>
          <w:szCs w:val="24"/>
        </w:rPr>
        <w:t>above</w:t>
      </w:r>
      <w:r w:rsidRPr="00404FD6">
        <w:rPr>
          <w:rFonts w:ascii="Times New Roman" w:hAnsi="Times New Roman" w:cs="Times New Roman"/>
          <w:sz w:val="24"/>
          <w:szCs w:val="24"/>
        </w:rPr>
        <w:t>, which gives it an advantage in terms of fitness to regulate</w:t>
      </w:r>
      <w:r w:rsidR="003A5BA3" w:rsidRPr="003412DB">
        <w:rPr>
          <w:rStyle w:val="FootnoteReference"/>
          <w:rFonts w:ascii="Times New Roman" w:hAnsi="Times New Roman" w:cs="Times New Roman"/>
          <w:sz w:val="24"/>
          <w:szCs w:val="24"/>
          <w:lang w:val="en-US"/>
        </w:rPr>
        <w:footnoteReference w:id="107"/>
      </w:r>
      <w:r w:rsidR="00CD332B">
        <w:rPr>
          <w:rFonts w:ascii="Times New Roman" w:hAnsi="Times New Roman" w:cs="Times New Roman"/>
          <w:sz w:val="24"/>
          <w:szCs w:val="24"/>
        </w:rPr>
        <w:t>.</w:t>
      </w:r>
    </w:p>
    <w:p w14:paraId="40D316BF" w14:textId="77777777" w:rsidR="009E2B71" w:rsidRDefault="009E2B71" w:rsidP="00385FAC">
      <w:pPr>
        <w:spacing w:after="120" w:line="360" w:lineRule="auto"/>
        <w:ind w:firstLine="709"/>
        <w:jc w:val="both"/>
        <w:rPr>
          <w:rFonts w:ascii="Times New Roman" w:hAnsi="Times New Roman" w:cs="Times New Roman"/>
          <w:sz w:val="24"/>
          <w:szCs w:val="24"/>
        </w:rPr>
      </w:pPr>
    </w:p>
    <w:p w14:paraId="3E26A27B" w14:textId="5DA492EB" w:rsidR="00385FAC" w:rsidRPr="00385FAC" w:rsidRDefault="00385FAC" w:rsidP="00385FAC">
      <w:pPr>
        <w:spacing w:after="120" w:line="360" w:lineRule="auto"/>
        <w:jc w:val="both"/>
        <w:rPr>
          <w:rFonts w:ascii="Times New Roman" w:hAnsi="Times New Roman" w:cs="Times New Roman"/>
          <w:b/>
          <w:bCs/>
          <w:sz w:val="24"/>
          <w:szCs w:val="24"/>
        </w:rPr>
      </w:pPr>
      <w:r w:rsidRPr="00385FAC">
        <w:rPr>
          <w:rFonts w:ascii="Times New Roman" w:hAnsi="Times New Roman" w:cs="Times New Roman"/>
          <w:b/>
          <w:bCs/>
          <w:sz w:val="24"/>
          <w:szCs w:val="24"/>
        </w:rPr>
        <w:t>Crypto-to-crypto exchanges and Tumblers</w:t>
      </w:r>
    </w:p>
    <w:p w14:paraId="166CDF47" w14:textId="3D5ABA7D" w:rsidR="0036715D" w:rsidRDefault="00385FAC" w:rsidP="0036715D">
      <w:pPr>
        <w:spacing w:after="120" w:line="360" w:lineRule="auto"/>
        <w:ind w:firstLine="709"/>
        <w:jc w:val="both"/>
        <w:rPr>
          <w:rFonts w:ascii="Times New Roman" w:hAnsi="Times New Roman" w:cs="Times New Roman"/>
          <w:sz w:val="24"/>
          <w:szCs w:val="24"/>
        </w:rPr>
      </w:pPr>
      <w:r w:rsidRPr="00385FAC">
        <w:rPr>
          <w:rFonts w:ascii="Times New Roman" w:hAnsi="Times New Roman" w:cs="Times New Roman"/>
          <w:sz w:val="24"/>
          <w:szCs w:val="24"/>
        </w:rPr>
        <w:t>As AMLD5 only targets exchange services as far</w:t>
      </w:r>
      <w:r w:rsidR="00192390">
        <w:rPr>
          <w:rFonts w:ascii="Times New Roman" w:hAnsi="Times New Roman" w:cs="Times New Roman"/>
          <w:sz w:val="24"/>
          <w:szCs w:val="24"/>
        </w:rPr>
        <w:t xml:space="preserve"> as</w:t>
      </w:r>
      <w:r w:rsidRPr="00385FAC">
        <w:rPr>
          <w:rFonts w:ascii="Times New Roman" w:hAnsi="Times New Roman" w:cs="Times New Roman"/>
          <w:sz w:val="24"/>
          <w:szCs w:val="24"/>
        </w:rPr>
        <w:t xml:space="preserve"> those provide fiat-to-crypto exchanges, crypto-to-crypto exchange services are out of its scope</w:t>
      </w:r>
      <w:r w:rsidR="0036715D" w:rsidRPr="003412DB">
        <w:rPr>
          <w:rStyle w:val="FootnoteReference"/>
          <w:rFonts w:ascii="Times New Roman" w:hAnsi="Times New Roman" w:cs="Times New Roman"/>
          <w:sz w:val="24"/>
          <w:szCs w:val="24"/>
          <w:lang w:val="en-US"/>
        </w:rPr>
        <w:footnoteReference w:id="108"/>
      </w:r>
      <w:r w:rsidRPr="00385FAC">
        <w:rPr>
          <w:rFonts w:ascii="Times New Roman" w:hAnsi="Times New Roman" w:cs="Times New Roman"/>
          <w:sz w:val="24"/>
          <w:szCs w:val="24"/>
        </w:rPr>
        <w:t>. This curbs the combat on ML, given that users engaging in criminal activities can simply receive illicit resources in CCs and later convert them to another CC, thereby avoiding supervision based on AMLD5. Inclusion of exchange services operating crypto-to-crypto trade under the heading of obliged entities would extend to them the CDD obligations to which those entities currently regulated under AMLD5 are</w:t>
      </w:r>
      <w:r>
        <w:rPr>
          <w:rFonts w:ascii="Times New Roman" w:hAnsi="Times New Roman" w:cs="Times New Roman"/>
          <w:sz w:val="24"/>
          <w:szCs w:val="24"/>
        </w:rPr>
        <w:t xml:space="preserve"> </w:t>
      </w:r>
      <w:r w:rsidRPr="00385FAC">
        <w:rPr>
          <w:rFonts w:ascii="Times New Roman" w:hAnsi="Times New Roman" w:cs="Times New Roman"/>
          <w:sz w:val="24"/>
          <w:szCs w:val="24"/>
        </w:rPr>
        <w:t xml:space="preserve">already bound, thereby enhancing </w:t>
      </w:r>
      <w:r w:rsidR="0036715D">
        <w:rPr>
          <w:rFonts w:ascii="Times New Roman" w:hAnsi="Times New Roman" w:cs="Times New Roman"/>
          <w:sz w:val="24"/>
          <w:szCs w:val="24"/>
        </w:rPr>
        <w:t>Financial Intelligence Unit</w:t>
      </w:r>
      <w:r w:rsidRPr="00385FAC">
        <w:rPr>
          <w:rFonts w:ascii="Times New Roman" w:hAnsi="Times New Roman" w:cs="Times New Roman"/>
          <w:sz w:val="24"/>
          <w:szCs w:val="24"/>
        </w:rPr>
        <w:t>s’</w:t>
      </w:r>
      <w:r w:rsidR="0036715D">
        <w:rPr>
          <w:rFonts w:ascii="Times New Roman" w:hAnsi="Times New Roman" w:cs="Times New Roman"/>
          <w:sz w:val="24"/>
          <w:szCs w:val="24"/>
        </w:rPr>
        <w:t xml:space="preserve"> (FIU)</w:t>
      </w:r>
      <w:r w:rsidRPr="00385FAC">
        <w:rPr>
          <w:rFonts w:ascii="Times New Roman" w:hAnsi="Times New Roman" w:cs="Times New Roman"/>
          <w:sz w:val="24"/>
          <w:szCs w:val="24"/>
        </w:rPr>
        <w:t xml:space="preserve"> ability to investigate possibly correlated offences</w:t>
      </w:r>
      <w:r w:rsidR="00C44ABE" w:rsidRPr="003412DB">
        <w:rPr>
          <w:rStyle w:val="FootnoteReference"/>
          <w:rFonts w:ascii="Times New Roman" w:hAnsi="Times New Roman" w:cs="Times New Roman"/>
          <w:sz w:val="24"/>
          <w:szCs w:val="24"/>
          <w:lang w:val="en-US"/>
        </w:rPr>
        <w:footnoteReference w:id="109"/>
      </w:r>
      <w:r w:rsidRPr="00385FAC">
        <w:rPr>
          <w:rFonts w:ascii="Times New Roman" w:hAnsi="Times New Roman" w:cs="Times New Roman"/>
          <w:sz w:val="24"/>
          <w:szCs w:val="24"/>
        </w:rPr>
        <w:t>. Such amendment would also include some CC miners under the AML radar, given that part of them sell the mined CCs for other CCs</w:t>
      </w:r>
      <w:r w:rsidR="00C44ABE" w:rsidRPr="003412DB">
        <w:rPr>
          <w:rStyle w:val="FootnoteReference"/>
          <w:rFonts w:ascii="Times New Roman" w:hAnsi="Times New Roman" w:cs="Times New Roman"/>
          <w:sz w:val="24"/>
          <w:szCs w:val="24"/>
          <w:lang w:val="en-US"/>
        </w:rPr>
        <w:footnoteReference w:id="110"/>
      </w:r>
      <w:r w:rsidR="00C44ABE">
        <w:rPr>
          <w:rFonts w:ascii="Times New Roman" w:hAnsi="Times New Roman" w:cs="Times New Roman"/>
          <w:sz w:val="24"/>
          <w:szCs w:val="24"/>
        </w:rPr>
        <w:t>.</w:t>
      </w:r>
    </w:p>
    <w:p w14:paraId="18EB6964" w14:textId="573F6546" w:rsidR="00C44ABE" w:rsidRDefault="00C44ABE" w:rsidP="0036715D">
      <w:pPr>
        <w:spacing w:after="120" w:line="360" w:lineRule="auto"/>
        <w:ind w:firstLine="709"/>
        <w:jc w:val="both"/>
        <w:rPr>
          <w:rFonts w:ascii="Times New Roman" w:hAnsi="Times New Roman" w:cs="Times New Roman"/>
          <w:sz w:val="24"/>
          <w:szCs w:val="24"/>
        </w:rPr>
      </w:pPr>
      <w:r w:rsidRPr="00C44ABE">
        <w:rPr>
          <w:rFonts w:ascii="Times New Roman" w:hAnsi="Times New Roman" w:cs="Times New Roman"/>
          <w:sz w:val="24"/>
          <w:szCs w:val="24"/>
        </w:rPr>
        <w:t xml:space="preserve">This limitation is a major shortcoming of AMLD5. </w:t>
      </w:r>
      <w:r w:rsidR="00A3243A" w:rsidRPr="00C44ABE">
        <w:rPr>
          <w:rFonts w:ascii="Times New Roman" w:hAnsi="Times New Roman" w:cs="Times New Roman"/>
          <w:sz w:val="24"/>
          <w:szCs w:val="24"/>
        </w:rPr>
        <w:t>Even though</w:t>
      </w:r>
      <w:r w:rsidRPr="00C44ABE">
        <w:rPr>
          <w:rFonts w:ascii="Times New Roman" w:hAnsi="Times New Roman" w:cs="Times New Roman"/>
          <w:sz w:val="24"/>
          <w:szCs w:val="24"/>
        </w:rPr>
        <w:t xml:space="preserve"> Article 1(18) AMLD4 does not use the word “investment”, including this term in the provision would only bring ICOs that receive fiat currency as consideration under the scope of AMLD4. Or, in other words, just changing AMLD5’s definition of VCs is insufficient for bringing ICOs under its scope – a broader definition of exchange service providers beyond only those operating fiat-to-crypto trade is also necessary. Most ICOs receive CCs as consideration. Thus, such ICOs would fall out of the scope of AMLD5, since there is no fiat-to-crypto exchange involved</w:t>
      </w:r>
      <w:r w:rsidR="00A3243A" w:rsidRPr="003412DB">
        <w:rPr>
          <w:rStyle w:val="FootnoteReference"/>
          <w:rFonts w:ascii="Times New Roman" w:hAnsi="Times New Roman" w:cs="Times New Roman"/>
          <w:sz w:val="24"/>
          <w:szCs w:val="24"/>
          <w:lang w:val="en-US"/>
        </w:rPr>
        <w:footnoteReference w:id="111"/>
      </w:r>
      <w:r w:rsidRPr="00C44ABE">
        <w:rPr>
          <w:rFonts w:ascii="Times New Roman" w:hAnsi="Times New Roman" w:cs="Times New Roman"/>
          <w:sz w:val="24"/>
          <w:szCs w:val="24"/>
        </w:rPr>
        <w:t xml:space="preserve">. On the other hand, </w:t>
      </w:r>
      <w:proofErr w:type="spellStart"/>
      <w:r w:rsidRPr="00C44ABE">
        <w:rPr>
          <w:rFonts w:ascii="Times New Roman" w:hAnsi="Times New Roman" w:cs="Times New Roman"/>
          <w:sz w:val="24"/>
          <w:szCs w:val="24"/>
        </w:rPr>
        <w:t>Snyers</w:t>
      </w:r>
      <w:proofErr w:type="spellEnd"/>
      <w:r w:rsidRPr="00C44ABE">
        <w:rPr>
          <w:rFonts w:ascii="Times New Roman" w:hAnsi="Times New Roman" w:cs="Times New Roman"/>
          <w:sz w:val="24"/>
          <w:szCs w:val="24"/>
        </w:rPr>
        <w:t xml:space="preserve"> and Pauwels argue:</w:t>
      </w:r>
    </w:p>
    <w:p w14:paraId="361D0845" w14:textId="48B9E6CF" w:rsidR="00A3243A" w:rsidRPr="00A3243A" w:rsidRDefault="00A3243A" w:rsidP="00A3243A">
      <w:pPr>
        <w:spacing w:after="120" w:line="360" w:lineRule="auto"/>
        <w:ind w:left="1416"/>
        <w:jc w:val="both"/>
        <w:rPr>
          <w:rFonts w:ascii="Times New Roman" w:hAnsi="Times New Roman" w:cs="Times New Roman"/>
        </w:rPr>
      </w:pPr>
      <w:r w:rsidRPr="003412DB">
        <w:rPr>
          <w:rFonts w:ascii="Times New Roman" w:hAnsi="Times New Roman" w:cs="Times New Roman"/>
        </w:rPr>
        <w:t xml:space="preserve">“One could argue that the European legislator has not gone far enough as platforms that exchange virtual currency for other virtual currency do not fall within the scope of AMLD5 and most ITOs ask for a contribution in virtual currency. However, unless they </w:t>
      </w:r>
      <w:r w:rsidRPr="003412DB">
        <w:rPr>
          <w:rFonts w:ascii="Times New Roman" w:hAnsi="Times New Roman" w:cs="Times New Roman"/>
        </w:rPr>
        <w:lastRenderedPageBreak/>
        <w:t>have mined their virtual currency (which is becoming increasingly difficult), one cannot deny that even illicit investors must have acquired virtual currency at some point in time. If they have done so via a provider of exchange services or a custodian wallet provider, they will have been identified pursuant to AMLD5”</w:t>
      </w:r>
      <w:r w:rsidRPr="003412DB">
        <w:rPr>
          <w:rStyle w:val="FootnoteReference"/>
          <w:rFonts w:ascii="Times New Roman" w:hAnsi="Times New Roman" w:cs="Times New Roman"/>
          <w:lang w:val="en-US"/>
        </w:rPr>
        <w:footnoteReference w:id="112"/>
      </w:r>
      <w:r w:rsidRPr="003412DB">
        <w:rPr>
          <w:rFonts w:ascii="Times New Roman" w:hAnsi="Times New Roman" w:cs="Times New Roman"/>
        </w:rPr>
        <w:t>.</w:t>
      </w:r>
    </w:p>
    <w:p w14:paraId="1BA27816" w14:textId="5DD8D716" w:rsidR="00C44ABE" w:rsidRDefault="000C1821" w:rsidP="0036715D">
      <w:pPr>
        <w:spacing w:after="120" w:line="360" w:lineRule="auto"/>
        <w:ind w:firstLine="709"/>
        <w:jc w:val="both"/>
        <w:rPr>
          <w:rFonts w:ascii="Times New Roman" w:hAnsi="Times New Roman" w:cs="Times New Roman"/>
          <w:sz w:val="24"/>
          <w:szCs w:val="24"/>
        </w:rPr>
      </w:pPr>
      <w:r w:rsidRPr="000C1821">
        <w:rPr>
          <w:rFonts w:ascii="Times New Roman" w:hAnsi="Times New Roman" w:cs="Times New Roman"/>
          <w:sz w:val="24"/>
          <w:szCs w:val="24"/>
        </w:rPr>
        <w:t>However, such argument, in my view, ignores two important aspects. The first is that some CCs are easier to mine than others and these more easily mined CCs can thus equally be converted to another CC</w:t>
      </w:r>
      <w:r w:rsidRPr="003412DB">
        <w:rPr>
          <w:rStyle w:val="FootnoteReference"/>
          <w:rFonts w:ascii="Times New Roman" w:hAnsi="Times New Roman" w:cs="Times New Roman"/>
          <w:sz w:val="24"/>
          <w:szCs w:val="24"/>
          <w:lang w:val="en-US"/>
        </w:rPr>
        <w:footnoteReference w:id="113"/>
      </w:r>
      <w:r w:rsidRPr="000C1821">
        <w:rPr>
          <w:rFonts w:ascii="Times New Roman" w:hAnsi="Times New Roman" w:cs="Times New Roman"/>
          <w:sz w:val="24"/>
          <w:szCs w:val="24"/>
        </w:rPr>
        <w:t>. The second is that, alternatively, even if at some point a mainstream CC had to be acquired at an exchange service, it could have been bought at a foreign (non-EU) jurisdiction with more lax AML standards and later converted to another mainstream CC by transferring them to the public key of an EU-based crypto-to-crypto exchange service</w:t>
      </w:r>
      <w:r w:rsidRPr="003412DB">
        <w:rPr>
          <w:rStyle w:val="FootnoteReference"/>
          <w:rFonts w:ascii="Times New Roman" w:hAnsi="Times New Roman" w:cs="Times New Roman"/>
          <w:sz w:val="24"/>
          <w:szCs w:val="24"/>
          <w:lang w:val="en-US"/>
        </w:rPr>
        <w:footnoteReference w:id="114"/>
      </w:r>
      <w:r w:rsidRPr="000C1821">
        <w:rPr>
          <w:rFonts w:ascii="Times New Roman" w:hAnsi="Times New Roman" w:cs="Times New Roman"/>
          <w:sz w:val="24"/>
          <w:szCs w:val="24"/>
        </w:rPr>
        <w:t>. This issue is aggravated</w:t>
      </w:r>
      <w:r>
        <w:rPr>
          <w:rFonts w:ascii="Times New Roman" w:hAnsi="Times New Roman" w:cs="Times New Roman"/>
          <w:sz w:val="24"/>
          <w:szCs w:val="24"/>
        </w:rPr>
        <w:t xml:space="preserve"> </w:t>
      </w:r>
      <w:r w:rsidRPr="000C1821">
        <w:rPr>
          <w:rFonts w:ascii="Times New Roman" w:hAnsi="Times New Roman" w:cs="Times New Roman"/>
          <w:sz w:val="24"/>
          <w:szCs w:val="24"/>
        </w:rPr>
        <w:t>considering how easier it is for CCs to be used on a cross-border basis in comparison with fiat currencies</w:t>
      </w:r>
      <w:r w:rsidRPr="003412DB">
        <w:rPr>
          <w:rStyle w:val="FootnoteReference"/>
          <w:rFonts w:ascii="Times New Roman" w:hAnsi="Times New Roman" w:cs="Times New Roman"/>
          <w:sz w:val="24"/>
          <w:szCs w:val="24"/>
          <w:lang w:val="en-US"/>
        </w:rPr>
        <w:footnoteReference w:id="115"/>
      </w:r>
      <w:r w:rsidRPr="000C1821">
        <w:rPr>
          <w:rFonts w:ascii="Times New Roman" w:hAnsi="Times New Roman" w:cs="Times New Roman"/>
          <w:sz w:val="24"/>
          <w:szCs w:val="24"/>
        </w:rPr>
        <w:t>.</w:t>
      </w:r>
    </w:p>
    <w:p w14:paraId="7C7DAD6F" w14:textId="1C8AB702" w:rsidR="00C44ABE" w:rsidRDefault="000C1821" w:rsidP="0036715D">
      <w:pPr>
        <w:spacing w:after="120" w:line="360" w:lineRule="auto"/>
        <w:ind w:firstLine="709"/>
        <w:jc w:val="both"/>
        <w:rPr>
          <w:rFonts w:ascii="Times New Roman" w:hAnsi="Times New Roman" w:cs="Times New Roman"/>
          <w:sz w:val="24"/>
          <w:szCs w:val="24"/>
        </w:rPr>
      </w:pPr>
      <w:r w:rsidRPr="000C1821">
        <w:rPr>
          <w:rFonts w:ascii="Times New Roman" w:hAnsi="Times New Roman" w:cs="Times New Roman"/>
          <w:sz w:val="24"/>
          <w:szCs w:val="24"/>
        </w:rPr>
        <w:t xml:space="preserve">Finally, including crypto-to-crypto transactions in the scope of AMLD5 would be a step further, although not the only one necessary, to entail the work of Tumbler services. Tumbler services are entities that collect CCs from their costumers and distribute them among diverse keys they own. They charge a fee for this service and return the CCs back to their original owners. This process adds extra layers to the anonymity/pseudonymity of the CC and further curbs traceability. As </w:t>
      </w:r>
      <w:proofErr w:type="spellStart"/>
      <w:r w:rsidRPr="000C1821">
        <w:rPr>
          <w:rFonts w:ascii="Times New Roman" w:hAnsi="Times New Roman" w:cs="Times New Roman"/>
          <w:sz w:val="24"/>
          <w:szCs w:val="24"/>
        </w:rPr>
        <w:t>Haffke</w:t>
      </w:r>
      <w:proofErr w:type="spellEnd"/>
      <w:r w:rsidRPr="000C1821">
        <w:rPr>
          <w:rFonts w:ascii="Times New Roman" w:hAnsi="Times New Roman" w:cs="Times New Roman"/>
          <w:sz w:val="24"/>
          <w:szCs w:val="24"/>
        </w:rPr>
        <w:t xml:space="preserve">, </w:t>
      </w:r>
      <w:proofErr w:type="spellStart"/>
      <w:r w:rsidRPr="000C1821">
        <w:rPr>
          <w:rFonts w:ascii="Times New Roman" w:hAnsi="Times New Roman" w:cs="Times New Roman"/>
          <w:sz w:val="24"/>
          <w:szCs w:val="24"/>
        </w:rPr>
        <w:t>Fromberger</w:t>
      </w:r>
      <w:proofErr w:type="spellEnd"/>
      <w:r w:rsidRPr="000C1821">
        <w:rPr>
          <w:rFonts w:ascii="Times New Roman" w:hAnsi="Times New Roman" w:cs="Times New Roman"/>
          <w:sz w:val="24"/>
          <w:szCs w:val="24"/>
        </w:rPr>
        <w:t xml:space="preserve"> and Zimmermann explain, Tumbler services “exchange” a CC token “for” the same CC token. Thus, they recommend the inclusion, in AMLD5, of a complement to the definition of exchange providers to include “providers of services that exchange one virtual currency into the same virtual currency”</w:t>
      </w:r>
      <w:r w:rsidR="00AF69C4" w:rsidRPr="003412DB">
        <w:rPr>
          <w:rStyle w:val="FootnoteReference"/>
          <w:rFonts w:ascii="Times New Roman" w:hAnsi="Times New Roman" w:cs="Times New Roman"/>
          <w:sz w:val="24"/>
          <w:szCs w:val="24"/>
          <w:lang w:val="en-US"/>
        </w:rPr>
        <w:footnoteReference w:id="116"/>
      </w:r>
      <w:r w:rsidRPr="000C1821">
        <w:rPr>
          <w:rFonts w:ascii="Times New Roman" w:hAnsi="Times New Roman" w:cs="Times New Roman"/>
          <w:sz w:val="24"/>
          <w:szCs w:val="24"/>
        </w:rPr>
        <w:t>.</w:t>
      </w:r>
    </w:p>
    <w:p w14:paraId="2ACE4B02" w14:textId="7C0C96C9" w:rsidR="00AF69C4" w:rsidRDefault="00AF69C4" w:rsidP="003A256A">
      <w:pPr>
        <w:spacing w:after="120" w:line="360" w:lineRule="auto"/>
        <w:ind w:firstLine="709"/>
        <w:jc w:val="both"/>
        <w:rPr>
          <w:rFonts w:ascii="Times New Roman" w:hAnsi="Times New Roman" w:cs="Times New Roman"/>
          <w:sz w:val="24"/>
          <w:szCs w:val="24"/>
        </w:rPr>
      </w:pPr>
      <w:r w:rsidRPr="00AF69C4">
        <w:rPr>
          <w:rFonts w:ascii="Times New Roman" w:hAnsi="Times New Roman" w:cs="Times New Roman"/>
          <w:sz w:val="24"/>
          <w:szCs w:val="24"/>
        </w:rPr>
        <w:t>Also, here the definitional backsliding of AMLD5 may undermine harmonization, as this is another issue on which some national legislatures are working around to address and go beyond the minimum required by AMLD5. Italy</w:t>
      </w:r>
      <w:r w:rsidRPr="003412DB">
        <w:rPr>
          <w:rStyle w:val="FootnoteReference"/>
          <w:rFonts w:ascii="Times New Roman" w:hAnsi="Times New Roman" w:cs="Times New Roman"/>
          <w:sz w:val="24"/>
          <w:szCs w:val="24"/>
          <w:lang w:val="en-US"/>
        </w:rPr>
        <w:footnoteReference w:id="117"/>
      </w:r>
      <w:r w:rsidR="0044045F">
        <w:rPr>
          <w:rFonts w:ascii="Times New Roman" w:hAnsi="Times New Roman" w:cs="Times New Roman"/>
          <w:sz w:val="24"/>
          <w:szCs w:val="24"/>
        </w:rPr>
        <w:t>,</w:t>
      </w:r>
      <w:r>
        <w:rPr>
          <w:rFonts w:ascii="Times New Roman" w:hAnsi="Times New Roman" w:cs="Times New Roman"/>
          <w:sz w:val="24"/>
          <w:szCs w:val="24"/>
        </w:rPr>
        <w:t xml:space="preserve"> </w:t>
      </w:r>
      <w:r w:rsidRPr="00AF69C4">
        <w:rPr>
          <w:rFonts w:ascii="Times New Roman" w:hAnsi="Times New Roman" w:cs="Times New Roman"/>
          <w:sz w:val="24"/>
          <w:szCs w:val="24"/>
        </w:rPr>
        <w:t>France</w:t>
      </w:r>
      <w:r w:rsidRPr="003412DB">
        <w:rPr>
          <w:rStyle w:val="FootnoteReference"/>
          <w:rFonts w:ascii="Times New Roman" w:hAnsi="Times New Roman" w:cs="Times New Roman"/>
          <w:sz w:val="24"/>
          <w:szCs w:val="24"/>
          <w:lang w:val="en-US"/>
        </w:rPr>
        <w:footnoteReference w:id="118"/>
      </w:r>
      <w:r w:rsidRPr="00AF69C4">
        <w:rPr>
          <w:rFonts w:ascii="Times New Roman" w:hAnsi="Times New Roman" w:cs="Times New Roman"/>
          <w:sz w:val="24"/>
          <w:szCs w:val="24"/>
        </w:rPr>
        <w:t>, and the UK</w:t>
      </w:r>
      <w:r w:rsidRPr="003412DB">
        <w:rPr>
          <w:rStyle w:val="FootnoteReference"/>
          <w:rFonts w:ascii="Times New Roman" w:hAnsi="Times New Roman" w:cs="Times New Roman"/>
          <w:sz w:val="24"/>
          <w:szCs w:val="24"/>
          <w:lang w:val="en-US"/>
        </w:rPr>
        <w:footnoteReference w:id="119"/>
      </w:r>
      <w:r w:rsidRPr="00AF69C4">
        <w:rPr>
          <w:rFonts w:ascii="Times New Roman" w:hAnsi="Times New Roman" w:cs="Times New Roman"/>
          <w:sz w:val="24"/>
          <w:szCs w:val="24"/>
        </w:rPr>
        <w:t xml:space="preserve"> all have included </w:t>
      </w:r>
      <w:r w:rsidRPr="00AF69C4">
        <w:rPr>
          <w:rFonts w:ascii="Times New Roman" w:hAnsi="Times New Roman" w:cs="Times New Roman"/>
          <w:sz w:val="24"/>
          <w:szCs w:val="24"/>
        </w:rPr>
        <w:lastRenderedPageBreak/>
        <w:t>exchange services operating crypto-to-crypto trade in their respective national AML legislations when implementing AMLD5. Bulgaria for example, however, did not</w:t>
      </w:r>
      <w:r w:rsidRPr="003412DB">
        <w:rPr>
          <w:rStyle w:val="FootnoteReference"/>
          <w:rFonts w:ascii="Times New Roman" w:hAnsi="Times New Roman" w:cs="Times New Roman"/>
          <w:sz w:val="24"/>
          <w:szCs w:val="24"/>
          <w:lang w:val="en-US"/>
        </w:rPr>
        <w:footnoteReference w:id="120"/>
      </w:r>
      <w:r w:rsidR="00E16091">
        <w:rPr>
          <w:rFonts w:ascii="Times New Roman" w:hAnsi="Times New Roman" w:cs="Times New Roman"/>
          <w:sz w:val="24"/>
          <w:szCs w:val="24"/>
        </w:rPr>
        <w:t>.</w:t>
      </w:r>
    </w:p>
    <w:p w14:paraId="0670E59B" w14:textId="77777777" w:rsidR="00994006" w:rsidRDefault="00994006" w:rsidP="0044045F">
      <w:pPr>
        <w:spacing w:after="120" w:line="360" w:lineRule="auto"/>
        <w:jc w:val="both"/>
        <w:rPr>
          <w:rFonts w:ascii="Times New Roman" w:hAnsi="Times New Roman" w:cs="Times New Roman"/>
          <w:b/>
          <w:bCs/>
          <w:sz w:val="24"/>
          <w:szCs w:val="24"/>
        </w:rPr>
      </w:pPr>
    </w:p>
    <w:p w14:paraId="51C3F80C" w14:textId="03FC771D" w:rsidR="00AF69C4" w:rsidRDefault="0044045F" w:rsidP="0044045F">
      <w:pPr>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Enforcement</w:t>
      </w:r>
    </w:p>
    <w:p w14:paraId="4B66F87B" w14:textId="7C223EF1" w:rsidR="00487B7B" w:rsidRPr="00487B7B" w:rsidRDefault="0044045F" w:rsidP="00487B7B">
      <w:pPr>
        <w:spacing w:after="120" w:line="360" w:lineRule="auto"/>
        <w:ind w:firstLine="709"/>
        <w:jc w:val="both"/>
        <w:rPr>
          <w:rFonts w:ascii="Times New Roman" w:hAnsi="Times New Roman" w:cs="Times New Roman"/>
          <w:sz w:val="24"/>
          <w:szCs w:val="24"/>
          <w:lang w:val="en-US"/>
        </w:rPr>
      </w:pPr>
      <w:r w:rsidRPr="0044045F">
        <w:rPr>
          <w:rFonts w:ascii="Times New Roman" w:hAnsi="Times New Roman" w:cs="Times New Roman"/>
          <w:sz w:val="24"/>
          <w:szCs w:val="24"/>
        </w:rPr>
        <w:t xml:space="preserve">In the view of the ECB, AMLD5 does not cover decentralized exchanges. As explained </w:t>
      </w:r>
      <w:r>
        <w:rPr>
          <w:rFonts w:ascii="Times New Roman" w:hAnsi="Times New Roman" w:cs="Times New Roman"/>
          <w:sz w:val="24"/>
          <w:szCs w:val="24"/>
        </w:rPr>
        <w:t>above</w:t>
      </w:r>
      <w:r w:rsidRPr="0044045F">
        <w:rPr>
          <w:rFonts w:ascii="Times New Roman" w:hAnsi="Times New Roman" w:cs="Times New Roman"/>
          <w:sz w:val="24"/>
          <w:szCs w:val="24"/>
        </w:rPr>
        <w:t>, exchange platforms can be both centralized and decentralized, the latter being known as “peer-to-peer trading platforms”. These platforms perform a merely technical, neutral, and passive role of attempting to meet the demand and supply of CCs owners. Therefore, the ECB understands that, since they do not involve the role of an “identifiable intermediary”, they currently fall out of the scope of AMLD</w:t>
      </w:r>
      <w:r>
        <w:rPr>
          <w:rFonts w:ascii="Times New Roman" w:hAnsi="Times New Roman" w:cs="Times New Roman"/>
          <w:sz w:val="24"/>
          <w:szCs w:val="24"/>
        </w:rPr>
        <w:t>5</w:t>
      </w:r>
      <w:r w:rsidRPr="003412DB">
        <w:rPr>
          <w:rStyle w:val="FootnoteReference"/>
          <w:rFonts w:ascii="Times New Roman" w:hAnsi="Times New Roman" w:cs="Times New Roman"/>
          <w:sz w:val="24"/>
          <w:szCs w:val="24"/>
          <w:lang w:val="en-US"/>
        </w:rPr>
        <w:footnoteReference w:id="121"/>
      </w:r>
      <w:r>
        <w:rPr>
          <w:rFonts w:ascii="Times New Roman" w:hAnsi="Times New Roman" w:cs="Times New Roman"/>
          <w:sz w:val="24"/>
          <w:szCs w:val="24"/>
        </w:rPr>
        <w:t>.</w:t>
      </w:r>
      <w:r w:rsidRPr="0044045F">
        <w:rPr>
          <w:rFonts w:ascii="Times New Roman" w:hAnsi="Times New Roman" w:cs="Times New Roman"/>
          <w:sz w:val="24"/>
          <w:szCs w:val="24"/>
        </w:rPr>
        <w:t xml:space="preserve"> Like crypto-to-crypto exchange service providers, this is a blind spot in the fight against CC-related ML</w:t>
      </w:r>
      <w:r w:rsidRPr="003412DB">
        <w:rPr>
          <w:rStyle w:val="FootnoteReference"/>
          <w:rFonts w:ascii="Times New Roman" w:hAnsi="Times New Roman" w:cs="Times New Roman"/>
          <w:sz w:val="24"/>
          <w:szCs w:val="24"/>
          <w:lang w:val="en-US"/>
        </w:rPr>
        <w:footnoteReference w:id="122"/>
      </w:r>
      <w:r w:rsidRPr="0044045F">
        <w:rPr>
          <w:rFonts w:ascii="Times New Roman" w:hAnsi="Times New Roman" w:cs="Times New Roman"/>
          <w:sz w:val="24"/>
          <w:szCs w:val="24"/>
        </w:rPr>
        <w:t>. Thus, the ECB recommends that decentralized exchanges should be submitted to a number of principles, amongst which is</w:t>
      </w:r>
      <w:r w:rsidR="00487B7B">
        <w:rPr>
          <w:rFonts w:ascii="Times New Roman" w:hAnsi="Times New Roman" w:cs="Times New Roman"/>
          <w:sz w:val="24"/>
          <w:szCs w:val="24"/>
        </w:rPr>
        <w:t xml:space="preserve"> </w:t>
      </w:r>
      <w:r w:rsidRPr="0044045F">
        <w:rPr>
          <w:rFonts w:ascii="Times New Roman" w:hAnsi="Times New Roman" w:cs="Times New Roman"/>
          <w:sz w:val="24"/>
          <w:szCs w:val="24"/>
        </w:rPr>
        <w:t>“technological integrity, meaning, inter alia, no back doors/loopholes or hidden functionalities, no white listing of malware, no fraudulent collusion, responsible cryptographic key management, and the pursuit of the state of the art”</w:t>
      </w:r>
      <w:r w:rsidR="001814F5" w:rsidRPr="003412DB">
        <w:rPr>
          <w:rStyle w:val="FootnoteReference"/>
          <w:rFonts w:ascii="Times New Roman" w:hAnsi="Times New Roman" w:cs="Times New Roman"/>
          <w:sz w:val="24"/>
          <w:szCs w:val="24"/>
          <w:lang w:val="en-US"/>
        </w:rPr>
        <w:footnoteReference w:id="123"/>
      </w:r>
      <w:r w:rsidR="00F574C8">
        <w:rPr>
          <w:rFonts w:ascii="Times New Roman" w:hAnsi="Times New Roman" w:cs="Times New Roman"/>
          <w:sz w:val="24"/>
          <w:szCs w:val="24"/>
          <w:lang w:val="en-US"/>
        </w:rPr>
        <w:t>.</w:t>
      </w:r>
    </w:p>
    <w:p w14:paraId="165FE218" w14:textId="77716D9C" w:rsidR="00BA0FC6" w:rsidRDefault="001814F5" w:rsidP="00BA0FC6">
      <w:pPr>
        <w:spacing w:after="120" w:line="360" w:lineRule="auto"/>
        <w:ind w:firstLine="709"/>
        <w:jc w:val="both"/>
        <w:rPr>
          <w:rFonts w:ascii="Times New Roman" w:hAnsi="Times New Roman" w:cs="Times New Roman"/>
          <w:sz w:val="24"/>
          <w:szCs w:val="24"/>
        </w:rPr>
      </w:pPr>
      <w:r w:rsidRPr="001814F5">
        <w:rPr>
          <w:rFonts w:ascii="Times New Roman" w:hAnsi="Times New Roman" w:cs="Times New Roman"/>
          <w:sz w:val="24"/>
          <w:szCs w:val="24"/>
        </w:rPr>
        <w:t xml:space="preserve">Anonymity and pseudonymity have been described </w:t>
      </w:r>
      <w:r w:rsidR="00573CA1">
        <w:rPr>
          <w:rFonts w:ascii="Times New Roman" w:hAnsi="Times New Roman" w:cs="Times New Roman"/>
          <w:sz w:val="24"/>
          <w:szCs w:val="24"/>
        </w:rPr>
        <w:t>above</w:t>
      </w:r>
      <w:r w:rsidRPr="001814F5">
        <w:rPr>
          <w:rFonts w:ascii="Times New Roman" w:hAnsi="Times New Roman" w:cs="Times New Roman"/>
          <w:sz w:val="24"/>
          <w:szCs w:val="24"/>
        </w:rPr>
        <w:t xml:space="preserve"> as one of the main sources of ML risks posed</w:t>
      </w:r>
      <w:r w:rsidR="0041454B">
        <w:rPr>
          <w:rFonts w:ascii="Times New Roman" w:hAnsi="Times New Roman" w:cs="Times New Roman"/>
          <w:sz w:val="24"/>
          <w:szCs w:val="24"/>
        </w:rPr>
        <w:t xml:space="preserve"> by</w:t>
      </w:r>
      <w:r w:rsidRPr="001814F5">
        <w:rPr>
          <w:rFonts w:ascii="Times New Roman" w:hAnsi="Times New Roman" w:cs="Times New Roman"/>
          <w:sz w:val="24"/>
          <w:szCs w:val="24"/>
        </w:rPr>
        <w:t xml:space="preserve"> CCs. As explained then, CCs vary in their degree of anonymity/pseudonymity. AMLD5 is “technologically neutral” on this point: both CCs which provide anonymity – i.e., privacy coins – and CCs which provide pseudonymity for their users are covered. </w:t>
      </w:r>
      <w:proofErr w:type="spellStart"/>
      <w:r w:rsidRPr="001814F5">
        <w:rPr>
          <w:rFonts w:ascii="Times New Roman" w:hAnsi="Times New Roman" w:cs="Times New Roman"/>
          <w:sz w:val="24"/>
          <w:szCs w:val="24"/>
        </w:rPr>
        <w:t>Covolo</w:t>
      </w:r>
      <w:proofErr w:type="spellEnd"/>
      <w:r w:rsidRPr="001814F5">
        <w:rPr>
          <w:rFonts w:ascii="Times New Roman" w:hAnsi="Times New Roman" w:cs="Times New Roman"/>
          <w:sz w:val="24"/>
          <w:szCs w:val="24"/>
        </w:rPr>
        <w:t xml:space="preserve"> suggests that the CDD obligations imposed by AMLD4 make it illegal for obliged</w:t>
      </w:r>
      <w:r>
        <w:rPr>
          <w:rFonts w:ascii="Times New Roman" w:hAnsi="Times New Roman" w:cs="Times New Roman"/>
          <w:sz w:val="24"/>
          <w:szCs w:val="24"/>
        </w:rPr>
        <w:t xml:space="preserve"> </w:t>
      </w:r>
      <w:r w:rsidRPr="001814F5">
        <w:rPr>
          <w:rFonts w:ascii="Times New Roman" w:hAnsi="Times New Roman" w:cs="Times New Roman"/>
          <w:sz w:val="24"/>
          <w:szCs w:val="24"/>
        </w:rPr>
        <w:t>entities to operate with privacy coins</w:t>
      </w:r>
      <w:bookmarkStart w:id="28" w:name="_Hlk36365042"/>
      <w:r w:rsidRPr="003412DB">
        <w:rPr>
          <w:rStyle w:val="FootnoteReference"/>
          <w:rFonts w:ascii="Times New Roman" w:hAnsi="Times New Roman" w:cs="Times New Roman"/>
          <w:sz w:val="24"/>
          <w:szCs w:val="24"/>
          <w:lang w:val="en-US"/>
        </w:rPr>
        <w:footnoteReference w:id="124"/>
      </w:r>
      <w:bookmarkEnd w:id="28"/>
      <w:r>
        <w:rPr>
          <w:rFonts w:ascii="Times New Roman" w:hAnsi="Times New Roman" w:cs="Times New Roman"/>
          <w:sz w:val="24"/>
          <w:szCs w:val="24"/>
        </w:rPr>
        <w:t xml:space="preserve">. </w:t>
      </w:r>
      <w:r w:rsidRPr="001814F5">
        <w:rPr>
          <w:rFonts w:ascii="Times New Roman" w:hAnsi="Times New Roman" w:cs="Times New Roman"/>
          <w:sz w:val="24"/>
          <w:szCs w:val="24"/>
        </w:rPr>
        <w:t>In my view, this is precisely the case considering Article 14(4) AMLD4, which provides that Member States shall prevent obliged entities from either carrying out a transaction and/or establishing a business relationship if they cannot perform the relevant CDD</w:t>
      </w:r>
      <w:r w:rsidRPr="003412DB">
        <w:rPr>
          <w:rStyle w:val="FootnoteReference"/>
          <w:rFonts w:ascii="Times New Roman" w:hAnsi="Times New Roman" w:cs="Times New Roman"/>
          <w:sz w:val="24"/>
          <w:szCs w:val="24"/>
          <w:lang w:val="en-US"/>
        </w:rPr>
        <w:footnoteReference w:id="125"/>
      </w:r>
      <w:r w:rsidRPr="001814F5">
        <w:rPr>
          <w:rFonts w:ascii="Times New Roman" w:hAnsi="Times New Roman" w:cs="Times New Roman"/>
          <w:sz w:val="24"/>
          <w:szCs w:val="24"/>
        </w:rPr>
        <w:t xml:space="preserve">. Again, according to the aforementioned study conducted for the European Parliament, referring to how ALMD5 treats privacy coins, exchanging them “will no longer be possible to the fullest extent: the [CCs] users that want to convert their [CCs] </w:t>
      </w:r>
      <w:r w:rsidRPr="001814F5">
        <w:rPr>
          <w:rFonts w:ascii="Times New Roman" w:hAnsi="Times New Roman" w:cs="Times New Roman"/>
          <w:sz w:val="24"/>
          <w:szCs w:val="24"/>
        </w:rPr>
        <w:lastRenderedPageBreak/>
        <w:t>into fiat currency via a virtual currency exchange or hold their portfolio via a custodian wallet provider, will be subject to [CDD]”</w:t>
      </w:r>
      <w:r w:rsidRPr="003412DB">
        <w:rPr>
          <w:rStyle w:val="FootnoteReference"/>
          <w:rFonts w:ascii="Times New Roman" w:hAnsi="Times New Roman" w:cs="Times New Roman"/>
          <w:sz w:val="24"/>
          <w:szCs w:val="24"/>
          <w:lang w:val="en-US"/>
        </w:rPr>
        <w:footnoteReference w:id="126"/>
      </w:r>
      <w:r w:rsidR="00813521">
        <w:rPr>
          <w:rFonts w:ascii="Times New Roman" w:hAnsi="Times New Roman" w:cs="Times New Roman"/>
          <w:sz w:val="24"/>
          <w:szCs w:val="24"/>
        </w:rPr>
        <w:t>.</w:t>
      </w:r>
    </w:p>
    <w:p w14:paraId="0A50BBFF" w14:textId="139B8C2E" w:rsidR="001814F5" w:rsidRDefault="001814F5" w:rsidP="00FC0A1E">
      <w:pPr>
        <w:spacing w:after="120" w:line="360" w:lineRule="auto"/>
        <w:jc w:val="both"/>
        <w:rPr>
          <w:rFonts w:ascii="Times New Roman" w:hAnsi="Times New Roman" w:cs="Times New Roman"/>
          <w:sz w:val="24"/>
          <w:szCs w:val="24"/>
        </w:rPr>
      </w:pPr>
    </w:p>
    <w:p w14:paraId="3114CEF6" w14:textId="0F5F5914" w:rsidR="00FC0A1E" w:rsidRPr="00FC0A1E" w:rsidRDefault="00FC0A1E" w:rsidP="00FC0A1E">
      <w:pPr>
        <w:spacing w:after="120" w:line="360" w:lineRule="auto"/>
        <w:jc w:val="both"/>
        <w:rPr>
          <w:rFonts w:ascii="Times New Roman" w:hAnsi="Times New Roman" w:cs="Times New Roman"/>
          <w:b/>
          <w:bCs/>
          <w:sz w:val="24"/>
          <w:szCs w:val="24"/>
        </w:rPr>
      </w:pPr>
      <w:r w:rsidRPr="00FC0A1E">
        <w:rPr>
          <w:rFonts w:ascii="Times New Roman" w:hAnsi="Times New Roman" w:cs="Times New Roman"/>
          <w:b/>
          <w:bCs/>
          <w:sz w:val="24"/>
          <w:szCs w:val="24"/>
        </w:rPr>
        <w:t>Jurisdiction</w:t>
      </w:r>
    </w:p>
    <w:p w14:paraId="54846D00" w14:textId="686FCABC" w:rsidR="00FC0A1E" w:rsidRDefault="00FC0A1E" w:rsidP="00FC0A1E">
      <w:pPr>
        <w:spacing w:after="120" w:line="360" w:lineRule="auto"/>
        <w:ind w:firstLine="709"/>
        <w:jc w:val="both"/>
        <w:rPr>
          <w:rFonts w:ascii="Times New Roman" w:hAnsi="Times New Roman" w:cs="Times New Roman"/>
          <w:sz w:val="24"/>
          <w:szCs w:val="24"/>
        </w:rPr>
      </w:pPr>
      <w:r w:rsidRPr="00FC0A1E">
        <w:rPr>
          <w:rFonts w:ascii="Times New Roman" w:hAnsi="Times New Roman" w:cs="Times New Roman"/>
          <w:sz w:val="24"/>
          <w:szCs w:val="24"/>
        </w:rPr>
        <w:t>The system for cooperation between FIUs of EU Member States for exchange of information is set up by Council Decision 2000/642</w:t>
      </w:r>
      <w:r w:rsidR="007E7E3F" w:rsidRPr="003412DB">
        <w:rPr>
          <w:rStyle w:val="FootnoteReference"/>
          <w:rFonts w:ascii="Times New Roman" w:hAnsi="Times New Roman" w:cs="Times New Roman"/>
          <w:sz w:val="24"/>
          <w:szCs w:val="24"/>
          <w:lang w:val="en-US"/>
        </w:rPr>
        <w:footnoteReference w:id="127"/>
      </w:r>
      <w:r w:rsidRPr="00FC0A1E">
        <w:rPr>
          <w:rFonts w:ascii="Times New Roman" w:hAnsi="Times New Roman" w:cs="Times New Roman"/>
          <w:sz w:val="24"/>
          <w:szCs w:val="24"/>
        </w:rPr>
        <w:t>. The designation of the competent FIU to receive and process the S</w:t>
      </w:r>
      <w:r w:rsidR="007E7E3F">
        <w:rPr>
          <w:rFonts w:ascii="Times New Roman" w:hAnsi="Times New Roman" w:cs="Times New Roman"/>
          <w:sz w:val="24"/>
          <w:szCs w:val="24"/>
        </w:rPr>
        <w:t xml:space="preserve">uspicious </w:t>
      </w:r>
      <w:r w:rsidRPr="00FC0A1E">
        <w:rPr>
          <w:rFonts w:ascii="Times New Roman" w:hAnsi="Times New Roman" w:cs="Times New Roman"/>
          <w:sz w:val="24"/>
          <w:szCs w:val="24"/>
        </w:rPr>
        <w:t>T</w:t>
      </w:r>
      <w:r w:rsidR="007E7E3F">
        <w:rPr>
          <w:rFonts w:ascii="Times New Roman" w:hAnsi="Times New Roman" w:cs="Times New Roman"/>
          <w:sz w:val="24"/>
          <w:szCs w:val="24"/>
        </w:rPr>
        <w:t xml:space="preserve">ransaction </w:t>
      </w:r>
      <w:r w:rsidRPr="00FC0A1E">
        <w:rPr>
          <w:rFonts w:ascii="Times New Roman" w:hAnsi="Times New Roman" w:cs="Times New Roman"/>
          <w:sz w:val="24"/>
          <w:szCs w:val="24"/>
        </w:rPr>
        <w:t>R</w:t>
      </w:r>
      <w:r w:rsidR="007E7E3F">
        <w:rPr>
          <w:rFonts w:ascii="Times New Roman" w:hAnsi="Times New Roman" w:cs="Times New Roman"/>
          <w:sz w:val="24"/>
          <w:szCs w:val="24"/>
        </w:rPr>
        <w:t>eport</w:t>
      </w:r>
      <w:r w:rsidRPr="00FC0A1E">
        <w:rPr>
          <w:rFonts w:ascii="Times New Roman" w:hAnsi="Times New Roman" w:cs="Times New Roman"/>
          <w:sz w:val="24"/>
          <w:szCs w:val="24"/>
        </w:rPr>
        <w:t>s</w:t>
      </w:r>
      <w:r w:rsidR="00751305">
        <w:rPr>
          <w:rFonts w:ascii="Times New Roman" w:hAnsi="Times New Roman" w:cs="Times New Roman"/>
          <w:sz w:val="24"/>
          <w:szCs w:val="24"/>
        </w:rPr>
        <w:t xml:space="preserve"> (STR)</w:t>
      </w:r>
      <w:r w:rsidR="00161DDA">
        <w:rPr>
          <w:rFonts w:ascii="Times New Roman" w:hAnsi="Times New Roman" w:cs="Times New Roman"/>
          <w:sz w:val="24"/>
          <w:szCs w:val="24"/>
        </w:rPr>
        <w:t xml:space="preserve"> </w:t>
      </w:r>
      <w:r w:rsidRPr="00FC0A1E">
        <w:rPr>
          <w:rFonts w:ascii="Times New Roman" w:hAnsi="Times New Roman" w:cs="Times New Roman"/>
          <w:sz w:val="24"/>
          <w:szCs w:val="24"/>
        </w:rPr>
        <w:t>submitted by obliged entities (whether CC-related or not) is provided by Article 33(2) AMLD4 as being “the FIU of the Member State in whose territory the obliged entity transmitting the information is established”</w:t>
      </w:r>
      <w:r w:rsidR="007E7E3F" w:rsidRPr="003412DB">
        <w:rPr>
          <w:rStyle w:val="FootnoteReference"/>
          <w:rFonts w:ascii="Times New Roman" w:hAnsi="Times New Roman" w:cs="Times New Roman"/>
          <w:sz w:val="24"/>
          <w:szCs w:val="24"/>
          <w:lang w:val="en-US"/>
        </w:rPr>
        <w:footnoteReference w:id="128"/>
      </w:r>
      <w:r w:rsidRPr="00FC0A1E">
        <w:rPr>
          <w:rFonts w:ascii="Times New Roman" w:hAnsi="Times New Roman" w:cs="Times New Roman"/>
          <w:sz w:val="24"/>
          <w:szCs w:val="24"/>
        </w:rPr>
        <w:t xml:space="preserve">. The reach of the corresponding provision in AMLD3 (Article 22(2)), in light of the right to free provision of services provided for by </w:t>
      </w:r>
      <w:bookmarkStart w:id="29" w:name="_Hlk51511312"/>
      <w:r w:rsidRPr="00FC0A1E">
        <w:rPr>
          <w:rFonts w:ascii="Times New Roman" w:hAnsi="Times New Roman" w:cs="Times New Roman"/>
          <w:sz w:val="24"/>
          <w:szCs w:val="24"/>
        </w:rPr>
        <w:t>Articles 56 and 57</w:t>
      </w:r>
      <w:bookmarkEnd w:id="29"/>
      <w:r w:rsidRPr="00FC0A1E">
        <w:rPr>
          <w:rFonts w:ascii="Times New Roman" w:hAnsi="Times New Roman" w:cs="Times New Roman"/>
          <w:sz w:val="24"/>
          <w:szCs w:val="24"/>
        </w:rPr>
        <w:t xml:space="preserve"> TFEU</w:t>
      </w:r>
      <w:r w:rsidR="007E7E3F" w:rsidRPr="003412DB">
        <w:rPr>
          <w:rStyle w:val="FootnoteReference"/>
          <w:rFonts w:ascii="Times New Roman" w:hAnsi="Times New Roman" w:cs="Times New Roman"/>
          <w:sz w:val="24"/>
          <w:szCs w:val="24"/>
          <w:lang w:val="en-US"/>
        </w:rPr>
        <w:footnoteReference w:id="129"/>
      </w:r>
      <w:r w:rsidRPr="00FC0A1E">
        <w:rPr>
          <w:rFonts w:ascii="Times New Roman" w:hAnsi="Times New Roman" w:cs="Times New Roman"/>
          <w:sz w:val="24"/>
          <w:szCs w:val="24"/>
        </w:rPr>
        <w:t xml:space="preserve">, was interpreted by the CJEU in Case C-212/11 </w:t>
      </w:r>
      <w:proofErr w:type="spellStart"/>
      <w:r w:rsidRPr="00FC0A1E">
        <w:rPr>
          <w:rFonts w:ascii="Times New Roman" w:hAnsi="Times New Roman" w:cs="Times New Roman"/>
          <w:i/>
          <w:iCs/>
          <w:sz w:val="24"/>
          <w:szCs w:val="24"/>
        </w:rPr>
        <w:t>Jyske</w:t>
      </w:r>
      <w:proofErr w:type="spellEnd"/>
      <w:r w:rsidRPr="00FC0A1E">
        <w:rPr>
          <w:rFonts w:ascii="Times New Roman" w:hAnsi="Times New Roman" w:cs="Times New Roman"/>
          <w:i/>
          <w:iCs/>
          <w:sz w:val="24"/>
          <w:szCs w:val="24"/>
        </w:rPr>
        <w:t xml:space="preserve"> Bank Gibraltar Ltd v </w:t>
      </w:r>
      <w:proofErr w:type="spellStart"/>
      <w:r w:rsidRPr="00FC0A1E">
        <w:rPr>
          <w:rFonts w:ascii="Times New Roman" w:hAnsi="Times New Roman" w:cs="Times New Roman"/>
          <w:i/>
          <w:iCs/>
          <w:sz w:val="24"/>
          <w:szCs w:val="24"/>
        </w:rPr>
        <w:t>Administración</w:t>
      </w:r>
      <w:proofErr w:type="spellEnd"/>
      <w:r w:rsidRPr="00FC0A1E">
        <w:rPr>
          <w:rFonts w:ascii="Times New Roman" w:hAnsi="Times New Roman" w:cs="Times New Roman"/>
          <w:i/>
          <w:iCs/>
          <w:sz w:val="24"/>
          <w:szCs w:val="24"/>
        </w:rPr>
        <w:t xml:space="preserve"> del Estado</w:t>
      </w:r>
      <w:r w:rsidR="007E7E3F" w:rsidRPr="003412DB">
        <w:rPr>
          <w:rStyle w:val="FootnoteReference"/>
          <w:rFonts w:ascii="Times New Roman" w:hAnsi="Times New Roman" w:cs="Times New Roman"/>
          <w:sz w:val="24"/>
          <w:szCs w:val="24"/>
          <w:lang w:val="en-US"/>
        </w:rPr>
        <w:footnoteReference w:id="130"/>
      </w:r>
      <w:r w:rsidR="007E7E3F">
        <w:rPr>
          <w:rFonts w:ascii="Times New Roman" w:hAnsi="Times New Roman" w:cs="Times New Roman"/>
          <w:sz w:val="24"/>
          <w:szCs w:val="24"/>
        </w:rPr>
        <w:t>.</w:t>
      </w:r>
    </w:p>
    <w:p w14:paraId="69C89915" w14:textId="0012575F" w:rsidR="00BD7026" w:rsidRDefault="007B193C" w:rsidP="00BD7026">
      <w:pPr>
        <w:spacing w:after="120" w:line="360" w:lineRule="auto"/>
        <w:ind w:firstLine="709"/>
        <w:jc w:val="both"/>
        <w:rPr>
          <w:rFonts w:ascii="Times New Roman" w:hAnsi="Times New Roman" w:cs="Times New Roman"/>
          <w:sz w:val="24"/>
          <w:szCs w:val="24"/>
        </w:rPr>
      </w:pPr>
      <w:r w:rsidRPr="007B193C">
        <w:rPr>
          <w:rFonts w:ascii="Times New Roman" w:hAnsi="Times New Roman" w:cs="Times New Roman"/>
          <w:sz w:val="24"/>
          <w:szCs w:val="24"/>
        </w:rPr>
        <w:t>This case concerned whether Member States were allowed to bindingly require that credit institutions providing services in their territory submitted STRs directly to their own FIUs when</w:t>
      </w:r>
      <w:r>
        <w:rPr>
          <w:rFonts w:ascii="Times New Roman" w:hAnsi="Times New Roman" w:cs="Times New Roman"/>
          <w:sz w:val="24"/>
          <w:szCs w:val="24"/>
        </w:rPr>
        <w:t xml:space="preserve"> </w:t>
      </w:r>
      <w:r w:rsidRPr="007B193C">
        <w:rPr>
          <w:rFonts w:ascii="Times New Roman" w:hAnsi="Times New Roman" w:cs="Times New Roman"/>
          <w:sz w:val="24"/>
          <w:szCs w:val="24"/>
        </w:rPr>
        <w:t>requested or if, on the other hand, such request should be directed to the FIU of the home Member State</w:t>
      </w:r>
      <w:r w:rsidRPr="003412DB">
        <w:rPr>
          <w:rStyle w:val="FootnoteReference"/>
          <w:rFonts w:ascii="Times New Roman" w:hAnsi="Times New Roman" w:cs="Times New Roman"/>
          <w:sz w:val="24"/>
          <w:szCs w:val="24"/>
          <w:lang w:val="en-US"/>
        </w:rPr>
        <w:footnoteReference w:id="131"/>
      </w:r>
      <w:r>
        <w:rPr>
          <w:rFonts w:ascii="Times New Roman" w:hAnsi="Times New Roman" w:cs="Times New Roman"/>
          <w:sz w:val="24"/>
          <w:szCs w:val="24"/>
        </w:rPr>
        <w:t>.</w:t>
      </w:r>
      <w:r w:rsidRPr="007B193C">
        <w:rPr>
          <w:rFonts w:ascii="Times New Roman" w:hAnsi="Times New Roman" w:cs="Times New Roman"/>
          <w:sz w:val="24"/>
          <w:szCs w:val="24"/>
        </w:rPr>
        <w:t xml:space="preserve"> Although the case concerns credit institutions specifically, in my view it applied to all obliged entities, given the scope of application of Article 22(2) AMLD3, according to its own wording</w:t>
      </w:r>
      <w:r w:rsidRPr="003412DB">
        <w:rPr>
          <w:rStyle w:val="FootnoteReference"/>
          <w:rFonts w:ascii="Times New Roman" w:hAnsi="Times New Roman" w:cs="Times New Roman"/>
          <w:sz w:val="24"/>
          <w:szCs w:val="24"/>
          <w:lang w:val="en-US"/>
        </w:rPr>
        <w:footnoteReference w:id="132"/>
      </w:r>
      <w:r w:rsidRPr="007B193C">
        <w:rPr>
          <w:rFonts w:ascii="Times New Roman" w:hAnsi="Times New Roman" w:cs="Times New Roman"/>
          <w:sz w:val="24"/>
          <w:szCs w:val="24"/>
        </w:rPr>
        <w:t>, was defined by Article 34 AMLD3, which did not discriminate between the types of obliged entities regulated by AMLD3</w:t>
      </w:r>
      <w:r w:rsidRPr="003412DB">
        <w:rPr>
          <w:rStyle w:val="FootnoteReference"/>
          <w:rFonts w:ascii="Times New Roman" w:hAnsi="Times New Roman" w:cs="Times New Roman"/>
          <w:sz w:val="24"/>
          <w:szCs w:val="24"/>
          <w:lang w:val="en-US"/>
        </w:rPr>
        <w:footnoteReference w:id="133"/>
      </w:r>
      <w:r w:rsidRPr="007B193C">
        <w:rPr>
          <w:rFonts w:ascii="Times New Roman" w:hAnsi="Times New Roman" w:cs="Times New Roman"/>
          <w:sz w:val="24"/>
          <w:szCs w:val="24"/>
        </w:rPr>
        <w:t xml:space="preserve">. The same can be said about </w:t>
      </w:r>
      <w:r w:rsidR="007A489D">
        <w:rPr>
          <w:rFonts w:ascii="Times New Roman" w:hAnsi="Times New Roman" w:cs="Times New Roman"/>
          <w:sz w:val="24"/>
          <w:szCs w:val="24"/>
        </w:rPr>
        <w:t xml:space="preserve">the </w:t>
      </w:r>
      <w:r w:rsidRPr="007B193C">
        <w:rPr>
          <w:rFonts w:ascii="Times New Roman" w:hAnsi="Times New Roman" w:cs="Times New Roman"/>
          <w:sz w:val="24"/>
          <w:szCs w:val="24"/>
        </w:rPr>
        <w:t>definition of the scope of application of Article 33(2) AMLD4 by Article 8(4) AMLD4</w:t>
      </w:r>
      <w:r w:rsidRPr="003412DB">
        <w:rPr>
          <w:rStyle w:val="FootnoteReference"/>
          <w:rFonts w:ascii="Times New Roman" w:hAnsi="Times New Roman" w:cs="Times New Roman"/>
          <w:sz w:val="24"/>
          <w:szCs w:val="24"/>
          <w:lang w:val="en-US"/>
        </w:rPr>
        <w:footnoteReference w:id="134"/>
      </w:r>
      <w:r w:rsidR="00B01DB3">
        <w:rPr>
          <w:rFonts w:ascii="Times New Roman" w:hAnsi="Times New Roman" w:cs="Times New Roman"/>
          <w:sz w:val="24"/>
          <w:szCs w:val="24"/>
        </w:rPr>
        <w:t>.</w:t>
      </w:r>
    </w:p>
    <w:p w14:paraId="6B3BD47F" w14:textId="512911E5" w:rsidR="007B193C" w:rsidRDefault="007B193C" w:rsidP="003A256A">
      <w:pPr>
        <w:spacing w:after="120" w:line="360" w:lineRule="auto"/>
        <w:ind w:firstLine="709"/>
        <w:jc w:val="both"/>
        <w:rPr>
          <w:rFonts w:ascii="Times New Roman" w:hAnsi="Times New Roman" w:cs="Times New Roman"/>
          <w:sz w:val="24"/>
          <w:szCs w:val="24"/>
        </w:rPr>
      </w:pPr>
      <w:r w:rsidRPr="007B193C">
        <w:rPr>
          <w:rFonts w:ascii="Times New Roman" w:hAnsi="Times New Roman" w:cs="Times New Roman"/>
          <w:sz w:val="24"/>
          <w:szCs w:val="24"/>
        </w:rPr>
        <w:lastRenderedPageBreak/>
        <w:t xml:space="preserve">On grounds that: (a) the wording of Article 22(2) AMLD3 did not “expressly prohibit such a possibility”; (b) although the enactment of AMLD3 (like that of AMLD1 and </w:t>
      </w:r>
      <w:r w:rsidR="001D6DC2">
        <w:rPr>
          <w:rFonts w:ascii="Times New Roman" w:hAnsi="Times New Roman" w:cs="Times New Roman"/>
          <w:sz w:val="24"/>
          <w:szCs w:val="24"/>
        </w:rPr>
        <w:t xml:space="preserve">of the Second AML Directive – </w:t>
      </w:r>
      <w:r w:rsidR="001D6DC2" w:rsidRPr="001D6DC2">
        <w:rPr>
          <w:rFonts w:ascii="Times New Roman" w:hAnsi="Times New Roman" w:cs="Times New Roman"/>
          <w:sz w:val="24"/>
          <w:szCs w:val="24"/>
        </w:rPr>
        <w:t>Directive 2001/97</w:t>
      </w:r>
      <w:r w:rsidRPr="007B193C">
        <w:rPr>
          <w:rFonts w:ascii="Times New Roman" w:hAnsi="Times New Roman" w:cs="Times New Roman"/>
          <w:sz w:val="24"/>
          <w:szCs w:val="24"/>
        </w:rPr>
        <w:t>) was based on the internal market provision of Article 114 TFEU, its main aim was to tackle ML “</w:t>
      </w:r>
      <w:r w:rsidRPr="007B193C">
        <w:rPr>
          <w:rFonts w:ascii="Times New Roman" w:hAnsi="Times New Roman" w:cs="Times New Roman"/>
          <w:i/>
          <w:iCs/>
          <w:sz w:val="24"/>
          <w:szCs w:val="24"/>
        </w:rPr>
        <w:t>in an international context</w:t>
      </w:r>
      <w:r w:rsidRPr="007B193C">
        <w:rPr>
          <w:rFonts w:ascii="Times New Roman" w:hAnsi="Times New Roman" w:cs="Times New Roman"/>
          <w:sz w:val="24"/>
          <w:szCs w:val="24"/>
        </w:rPr>
        <w:t xml:space="preserve">” for the purpose of implementing the FATF Recommendations; (c) in light of the latter assessment, one of the goals of AMLD3 </w:t>
      </w:r>
      <w:r w:rsidR="00BD7026">
        <w:rPr>
          <w:rFonts w:ascii="Times New Roman" w:hAnsi="Times New Roman" w:cs="Times New Roman"/>
          <w:sz w:val="24"/>
          <w:szCs w:val="24"/>
        </w:rPr>
        <w:t xml:space="preserve">was </w:t>
      </w:r>
      <w:r w:rsidRPr="007B193C">
        <w:rPr>
          <w:rFonts w:ascii="Times New Roman" w:hAnsi="Times New Roman" w:cs="Times New Roman"/>
          <w:sz w:val="24"/>
          <w:szCs w:val="24"/>
        </w:rPr>
        <w:t>to enhance the surveillance power of FIUs to effectively tackle ML; (d) AMLD3 did not prevent Member States from prosecuting ML</w:t>
      </w:r>
      <w:r>
        <w:rPr>
          <w:rFonts w:ascii="Times New Roman" w:hAnsi="Times New Roman" w:cs="Times New Roman"/>
          <w:sz w:val="24"/>
          <w:szCs w:val="24"/>
        </w:rPr>
        <w:t>-</w:t>
      </w:r>
      <w:r w:rsidRPr="007B193C">
        <w:rPr>
          <w:rFonts w:ascii="Times New Roman" w:hAnsi="Times New Roman" w:cs="Times New Roman"/>
          <w:sz w:val="24"/>
          <w:szCs w:val="24"/>
        </w:rPr>
        <w:t>suspicious cases in their territory even if the respective activities were carried under the right to free provision of services, the CJEU decided that Member States were allowed to bindingly require that credit institutions providing services in their territory submitted STRs directly to their own FIUs when requested</w:t>
      </w:r>
      <w:r w:rsidRPr="003412DB">
        <w:rPr>
          <w:rStyle w:val="FootnoteReference"/>
          <w:rFonts w:ascii="Times New Roman" w:hAnsi="Times New Roman" w:cs="Times New Roman"/>
          <w:sz w:val="24"/>
          <w:szCs w:val="24"/>
          <w:lang w:val="en-US"/>
        </w:rPr>
        <w:footnoteReference w:id="135"/>
      </w:r>
      <w:r w:rsidR="00BD7026">
        <w:rPr>
          <w:rFonts w:ascii="Times New Roman" w:hAnsi="Times New Roman" w:cs="Times New Roman"/>
          <w:sz w:val="24"/>
          <w:szCs w:val="24"/>
        </w:rPr>
        <w:t>.</w:t>
      </w:r>
    </w:p>
    <w:p w14:paraId="2F5DD435" w14:textId="51908F97" w:rsidR="007B193C" w:rsidRDefault="007B193C" w:rsidP="007B193C">
      <w:pPr>
        <w:spacing w:after="120" w:line="360" w:lineRule="auto"/>
        <w:ind w:firstLine="709"/>
        <w:jc w:val="both"/>
        <w:rPr>
          <w:rFonts w:ascii="Times New Roman" w:hAnsi="Times New Roman" w:cs="Times New Roman"/>
          <w:sz w:val="24"/>
          <w:szCs w:val="24"/>
        </w:rPr>
      </w:pPr>
      <w:r w:rsidRPr="007B193C">
        <w:rPr>
          <w:rFonts w:ascii="Times New Roman" w:hAnsi="Times New Roman" w:cs="Times New Roman"/>
          <w:sz w:val="24"/>
          <w:szCs w:val="24"/>
        </w:rPr>
        <w:t>However, this judgement was</w:t>
      </w:r>
      <w:r>
        <w:rPr>
          <w:rFonts w:ascii="Times New Roman" w:hAnsi="Times New Roman" w:cs="Times New Roman"/>
          <w:sz w:val="24"/>
          <w:szCs w:val="24"/>
        </w:rPr>
        <w:t xml:space="preserve"> </w:t>
      </w:r>
      <w:r w:rsidRPr="007B193C">
        <w:rPr>
          <w:rFonts w:ascii="Times New Roman" w:hAnsi="Times New Roman" w:cs="Times New Roman"/>
          <w:sz w:val="24"/>
          <w:szCs w:val="24"/>
        </w:rPr>
        <w:t>made obsolete by AMLD4. Article 53(2) AMLD4, as amended by AMLD5, provides that “[w]hen an FIU seeks to obtain additional information from an obliged entity established in another Member State which operates on its territory, the request shall be addressed to the FIU of the Member State in whose territory the obliged entity is established”</w:t>
      </w:r>
      <w:r w:rsidR="009A2094" w:rsidRPr="003412DB">
        <w:rPr>
          <w:rStyle w:val="FootnoteReference"/>
          <w:rFonts w:ascii="Times New Roman" w:hAnsi="Times New Roman" w:cs="Times New Roman"/>
          <w:sz w:val="24"/>
          <w:szCs w:val="24"/>
          <w:lang w:val="en-US"/>
        </w:rPr>
        <w:footnoteReference w:id="136"/>
      </w:r>
      <w:r w:rsidRPr="007B193C">
        <w:rPr>
          <w:rFonts w:ascii="Times New Roman" w:hAnsi="Times New Roman" w:cs="Times New Roman"/>
          <w:sz w:val="24"/>
          <w:szCs w:val="24"/>
        </w:rPr>
        <w:t xml:space="preserve">. According to </w:t>
      </w:r>
      <w:proofErr w:type="spellStart"/>
      <w:r w:rsidRPr="007B193C">
        <w:rPr>
          <w:rFonts w:ascii="Times New Roman" w:hAnsi="Times New Roman" w:cs="Times New Roman"/>
          <w:sz w:val="24"/>
          <w:szCs w:val="24"/>
        </w:rPr>
        <w:t>Incalza</w:t>
      </w:r>
      <w:proofErr w:type="spellEnd"/>
      <w:r w:rsidRPr="007B193C">
        <w:rPr>
          <w:rFonts w:ascii="Times New Roman" w:hAnsi="Times New Roman" w:cs="Times New Roman"/>
          <w:sz w:val="24"/>
          <w:szCs w:val="24"/>
        </w:rPr>
        <w:t xml:space="preserve">, such provision prevents the CJEU from applying the reasoning construed in </w:t>
      </w:r>
      <w:proofErr w:type="spellStart"/>
      <w:r w:rsidRPr="007B193C">
        <w:rPr>
          <w:rFonts w:ascii="Times New Roman" w:hAnsi="Times New Roman" w:cs="Times New Roman"/>
          <w:i/>
          <w:iCs/>
          <w:sz w:val="24"/>
          <w:szCs w:val="24"/>
        </w:rPr>
        <w:t>Jyske</w:t>
      </w:r>
      <w:proofErr w:type="spellEnd"/>
      <w:r w:rsidRPr="007B193C">
        <w:rPr>
          <w:rFonts w:ascii="Times New Roman" w:hAnsi="Times New Roman" w:cs="Times New Roman"/>
          <w:sz w:val="24"/>
          <w:szCs w:val="24"/>
        </w:rPr>
        <w:t xml:space="preserve"> to interpret Article 33(2) AMLD4</w:t>
      </w:r>
      <w:r w:rsidR="009A2094" w:rsidRPr="003412DB">
        <w:rPr>
          <w:rStyle w:val="FootnoteReference"/>
          <w:rFonts w:ascii="Times New Roman" w:hAnsi="Times New Roman" w:cs="Times New Roman"/>
          <w:sz w:val="24"/>
          <w:szCs w:val="24"/>
          <w:lang w:val="en-US"/>
        </w:rPr>
        <w:footnoteReference w:id="137"/>
      </w:r>
      <w:r w:rsidR="001863C4">
        <w:rPr>
          <w:rFonts w:ascii="Times New Roman" w:hAnsi="Times New Roman" w:cs="Times New Roman"/>
          <w:sz w:val="24"/>
          <w:szCs w:val="24"/>
        </w:rPr>
        <w:t>.</w:t>
      </w:r>
    </w:p>
    <w:p w14:paraId="3FE8DD3F" w14:textId="7934900D" w:rsidR="007B193C" w:rsidRDefault="009A2094" w:rsidP="009A2094">
      <w:pPr>
        <w:spacing w:after="120" w:line="360" w:lineRule="auto"/>
        <w:ind w:firstLine="709"/>
        <w:jc w:val="both"/>
        <w:rPr>
          <w:rFonts w:ascii="Times New Roman" w:hAnsi="Times New Roman" w:cs="Times New Roman"/>
          <w:sz w:val="24"/>
          <w:szCs w:val="24"/>
        </w:rPr>
      </w:pPr>
      <w:r w:rsidRPr="009A2094">
        <w:rPr>
          <w:rFonts w:ascii="Times New Roman" w:hAnsi="Times New Roman" w:cs="Times New Roman"/>
          <w:sz w:val="24"/>
          <w:szCs w:val="24"/>
        </w:rPr>
        <w:t xml:space="preserve">The overriding of </w:t>
      </w:r>
      <w:proofErr w:type="spellStart"/>
      <w:r w:rsidRPr="009A2094">
        <w:rPr>
          <w:rFonts w:ascii="Times New Roman" w:hAnsi="Times New Roman" w:cs="Times New Roman"/>
          <w:i/>
          <w:iCs/>
          <w:sz w:val="24"/>
          <w:szCs w:val="24"/>
        </w:rPr>
        <w:t>Jyske</w:t>
      </w:r>
      <w:proofErr w:type="spellEnd"/>
      <w:r w:rsidRPr="009A2094">
        <w:rPr>
          <w:rFonts w:ascii="Times New Roman" w:hAnsi="Times New Roman" w:cs="Times New Roman"/>
          <w:sz w:val="24"/>
          <w:szCs w:val="24"/>
        </w:rPr>
        <w:t xml:space="preserve"> by AMLD4 has sensible consequences for the effectiveness AML measures in the EU, whether CCs-related or not. In </w:t>
      </w:r>
      <w:proofErr w:type="spellStart"/>
      <w:r w:rsidRPr="009A2094">
        <w:rPr>
          <w:rFonts w:ascii="Times New Roman" w:hAnsi="Times New Roman" w:cs="Times New Roman"/>
          <w:i/>
          <w:iCs/>
          <w:sz w:val="24"/>
          <w:szCs w:val="24"/>
        </w:rPr>
        <w:t>Jyske</w:t>
      </w:r>
      <w:proofErr w:type="spellEnd"/>
      <w:r w:rsidRPr="009A2094">
        <w:rPr>
          <w:rFonts w:ascii="Times New Roman" w:hAnsi="Times New Roman" w:cs="Times New Roman"/>
          <w:sz w:val="24"/>
          <w:szCs w:val="24"/>
        </w:rPr>
        <w:t>, the CJEU pointed two major limitations to the system of exchange of information by FIUs in respect of obliged entities operating in another Member State under the right to free provision of services. Firstly, the FIU of the host Member State is more adequately placed to assess the elements potentially linked to ML activities in relation to both the obliged entities and its respective supervisory authorities</w:t>
      </w:r>
      <w:r w:rsidRPr="003412DB">
        <w:rPr>
          <w:rStyle w:val="FootnoteReference"/>
          <w:rFonts w:ascii="Times New Roman" w:hAnsi="Times New Roman" w:cs="Times New Roman"/>
          <w:sz w:val="24"/>
          <w:szCs w:val="24"/>
          <w:lang w:val="en-US"/>
        </w:rPr>
        <w:footnoteReference w:id="138"/>
      </w:r>
      <w:r w:rsidRPr="009A2094">
        <w:rPr>
          <w:rFonts w:ascii="Times New Roman" w:hAnsi="Times New Roman" w:cs="Times New Roman"/>
          <w:sz w:val="24"/>
          <w:szCs w:val="24"/>
        </w:rPr>
        <w:t>. Secondly:</w:t>
      </w:r>
    </w:p>
    <w:p w14:paraId="3E500BD4" w14:textId="1C0519EE" w:rsidR="007B193C" w:rsidRPr="009A2094" w:rsidRDefault="009A2094" w:rsidP="009A2094">
      <w:pPr>
        <w:spacing w:after="0" w:line="360" w:lineRule="auto"/>
        <w:ind w:left="1418"/>
        <w:jc w:val="both"/>
        <w:rPr>
          <w:rFonts w:ascii="Times New Roman" w:hAnsi="Times New Roman" w:cs="Times New Roman"/>
        </w:rPr>
      </w:pPr>
      <w:r w:rsidRPr="003412DB">
        <w:rPr>
          <w:rFonts w:ascii="Times New Roman" w:hAnsi="Times New Roman" w:cs="Times New Roman"/>
        </w:rPr>
        <w:t xml:space="preserve">“… to be able to carry out a request for information through the mechanism for cooperation between the FIUs provided for by Decision 2000/642, the FIU must already be in possession of information indicating suspicion of money laundering or terrorist financing. Since disclosure relating to suspicious transactions is carried out, pursuant </w:t>
      </w:r>
      <w:r w:rsidRPr="003412DB">
        <w:rPr>
          <w:rFonts w:ascii="Times New Roman" w:hAnsi="Times New Roman" w:cs="Times New Roman"/>
        </w:rPr>
        <w:lastRenderedPageBreak/>
        <w:t xml:space="preserve">to Article 22(2) of Directive 2005/60, at the FIU of the Member State of origin and </w:t>
      </w:r>
      <w:bookmarkStart w:id="30" w:name="_Hlk38352249"/>
      <w:r w:rsidRPr="003412DB">
        <w:rPr>
          <w:rFonts w:ascii="Times New Roman" w:hAnsi="Times New Roman" w:cs="Times New Roman"/>
        </w:rPr>
        <w:t>Decision 2000/642</w:t>
      </w:r>
      <w:bookmarkEnd w:id="30"/>
      <w:r w:rsidRPr="003412DB">
        <w:rPr>
          <w:rFonts w:ascii="Times New Roman" w:hAnsi="Times New Roman" w:cs="Times New Roman"/>
        </w:rPr>
        <w:t xml:space="preserve"> does not provide for the requirement to forward them automatically to the FIU of the host Member State, the latter will only rarely have information corroborating the suspicions necessary so as to send a request for information to the FIU of the Member State of origin”</w:t>
      </w:r>
      <w:r w:rsidRPr="003412DB">
        <w:rPr>
          <w:rStyle w:val="FootnoteReference"/>
          <w:rFonts w:ascii="Times New Roman" w:hAnsi="Times New Roman" w:cs="Times New Roman"/>
          <w:lang w:val="en-US"/>
        </w:rPr>
        <w:footnoteReference w:id="139"/>
      </w:r>
      <w:r w:rsidRPr="003412DB">
        <w:rPr>
          <w:rFonts w:ascii="Times New Roman" w:hAnsi="Times New Roman" w:cs="Times New Roman"/>
        </w:rPr>
        <w:t>.</w:t>
      </w:r>
    </w:p>
    <w:p w14:paraId="323477A9" w14:textId="21DF567A" w:rsidR="00005D4D" w:rsidRDefault="009A2094" w:rsidP="00005D4D">
      <w:pPr>
        <w:spacing w:after="120" w:line="360" w:lineRule="auto"/>
        <w:ind w:firstLine="709"/>
        <w:jc w:val="both"/>
        <w:rPr>
          <w:rFonts w:ascii="Times New Roman" w:hAnsi="Times New Roman" w:cs="Times New Roman"/>
          <w:sz w:val="24"/>
          <w:szCs w:val="24"/>
        </w:rPr>
      </w:pPr>
      <w:r w:rsidRPr="009A2094">
        <w:rPr>
          <w:rFonts w:ascii="Times New Roman" w:hAnsi="Times New Roman" w:cs="Times New Roman"/>
          <w:sz w:val="24"/>
          <w:szCs w:val="24"/>
        </w:rPr>
        <w:t>Now I will reflect on the impact of the legal framework outlined above on (the absence of) AMLD5’s coverage of crypto-to-crypto exchanges and Tumblers. Suppose a predicate offence is committed in the UK, which, as aforementioned, included crypto-to-crypto exchanges in its</w:t>
      </w:r>
      <w:r>
        <w:rPr>
          <w:rFonts w:ascii="Times New Roman" w:hAnsi="Times New Roman" w:cs="Times New Roman"/>
          <w:sz w:val="24"/>
          <w:szCs w:val="24"/>
        </w:rPr>
        <w:t xml:space="preserve"> </w:t>
      </w:r>
      <w:r w:rsidRPr="009A2094">
        <w:rPr>
          <w:rFonts w:ascii="Times New Roman" w:hAnsi="Times New Roman" w:cs="Times New Roman"/>
          <w:sz w:val="24"/>
          <w:szCs w:val="24"/>
        </w:rPr>
        <w:t>national AML legislation. The criminal agrees to receive BTC 2 as payment for the committed offence. The one who hires the criminal can buy the BTC 2 in an UK exchange service provider using fiat currencies and, through a device supplied by a non-custodian wallet provider, transfer the BTC 2 to the public key of a Bulgarian crypto-to-crypto exchange service operating in the UK under its right to free provision of services. The criminals then pay the respective fee to this crypto</w:t>
      </w:r>
      <w:r>
        <w:rPr>
          <w:rFonts w:ascii="Times New Roman" w:hAnsi="Times New Roman" w:cs="Times New Roman"/>
          <w:sz w:val="24"/>
          <w:szCs w:val="24"/>
        </w:rPr>
        <w:t>-</w:t>
      </w:r>
      <w:r w:rsidRPr="009A2094">
        <w:rPr>
          <w:rFonts w:ascii="Times New Roman" w:hAnsi="Times New Roman" w:cs="Times New Roman"/>
          <w:sz w:val="24"/>
          <w:szCs w:val="24"/>
        </w:rPr>
        <w:t xml:space="preserve">to-crypto exchange service for converting the BTC 2 into XMR 300. The criminals also hire a Tumbler service to add extra layers of anonymity to the transaction. Finally, the XMR 300 can then be transferred to the person who was hired to commit the predicate offence. As said above, Bulgaria did not include crypto-to-crypto exchanges in its national AML legislation, but the UK did. The two latter intermediaries are not covered by Bulgarian AML measures, only UK measures. Under Article 53(2) AMLD4, if </w:t>
      </w:r>
      <w:proofErr w:type="spellStart"/>
      <w:r w:rsidRPr="009A2094">
        <w:rPr>
          <w:rFonts w:ascii="Times New Roman" w:hAnsi="Times New Roman" w:cs="Times New Roman"/>
          <w:sz w:val="24"/>
          <w:szCs w:val="24"/>
        </w:rPr>
        <w:t>Incalza’s</w:t>
      </w:r>
      <w:proofErr w:type="spellEnd"/>
      <w:r w:rsidRPr="009A2094">
        <w:rPr>
          <w:rFonts w:ascii="Times New Roman" w:hAnsi="Times New Roman" w:cs="Times New Roman"/>
          <w:sz w:val="24"/>
          <w:szCs w:val="24"/>
        </w:rPr>
        <w:t xml:space="preserve"> understanding of its effects on the reasoning construed by the CJEU in </w:t>
      </w:r>
      <w:proofErr w:type="spellStart"/>
      <w:r w:rsidRPr="00F64A5E">
        <w:rPr>
          <w:rFonts w:ascii="Times New Roman" w:hAnsi="Times New Roman" w:cs="Times New Roman"/>
          <w:i/>
          <w:iCs/>
          <w:sz w:val="24"/>
          <w:szCs w:val="24"/>
        </w:rPr>
        <w:t>Jyske</w:t>
      </w:r>
      <w:proofErr w:type="spellEnd"/>
      <w:r w:rsidRPr="009A2094">
        <w:rPr>
          <w:rFonts w:ascii="Times New Roman" w:hAnsi="Times New Roman" w:cs="Times New Roman"/>
          <w:sz w:val="24"/>
          <w:szCs w:val="24"/>
        </w:rPr>
        <w:t xml:space="preserve"> to interpret Article 22(2) AMLD3 is correct, the UK could not request the Bulgarian crypto-to-crypto exchange service operating in its territory to submit STRs to its FIU.</w:t>
      </w:r>
      <w:r w:rsidR="00F64A5E">
        <w:rPr>
          <w:rFonts w:ascii="Times New Roman" w:hAnsi="Times New Roman" w:cs="Times New Roman"/>
          <w:sz w:val="24"/>
          <w:szCs w:val="24"/>
        </w:rPr>
        <w:t xml:space="preserve"> </w:t>
      </w:r>
      <w:r w:rsidRPr="009A2094">
        <w:rPr>
          <w:rFonts w:ascii="Times New Roman" w:hAnsi="Times New Roman" w:cs="Times New Roman"/>
          <w:sz w:val="24"/>
          <w:szCs w:val="24"/>
        </w:rPr>
        <w:t>Moreover, even though the UK could, under Decision 2000/642, request information from the Bulgarian FIU, the latter would not be able – nor obliged – to provide the information requested, since both the Tumbler service and the crypto-to-crypto exchange service are not covered by Bulgarian AML measures</w:t>
      </w:r>
      <w:r>
        <w:rPr>
          <w:rFonts w:ascii="Times New Roman" w:hAnsi="Times New Roman" w:cs="Times New Roman"/>
          <w:sz w:val="24"/>
          <w:szCs w:val="24"/>
        </w:rPr>
        <w:t>.</w:t>
      </w:r>
      <w:r w:rsidR="00955774">
        <w:rPr>
          <w:rFonts w:ascii="Times New Roman" w:hAnsi="Times New Roman" w:cs="Times New Roman"/>
          <w:sz w:val="24"/>
          <w:szCs w:val="24"/>
        </w:rPr>
        <w:t xml:space="preserve"> </w:t>
      </w:r>
      <w:r w:rsidR="00955774" w:rsidRPr="00955774">
        <w:rPr>
          <w:rFonts w:ascii="Times New Roman" w:hAnsi="Times New Roman" w:cs="Times New Roman"/>
          <w:sz w:val="24"/>
          <w:szCs w:val="24"/>
        </w:rPr>
        <w:t xml:space="preserve">The wording of Article 53(2) itself confirms this by limiting the duties of the home Member States’ FIUs to “the whole range of its </w:t>
      </w:r>
      <w:r w:rsidR="00955774" w:rsidRPr="00955774">
        <w:rPr>
          <w:rFonts w:ascii="Times New Roman" w:hAnsi="Times New Roman" w:cs="Times New Roman"/>
          <w:i/>
          <w:iCs/>
          <w:sz w:val="24"/>
          <w:szCs w:val="24"/>
        </w:rPr>
        <w:t>available powers</w:t>
      </w:r>
      <w:r w:rsidR="00955774" w:rsidRPr="00955774">
        <w:rPr>
          <w:rFonts w:ascii="Times New Roman" w:hAnsi="Times New Roman" w:cs="Times New Roman"/>
          <w:sz w:val="24"/>
          <w:szCs w:val="24"/>
        </w:rPr>
        <w:t xml:space="preserve"> which it would normally use domestically for receiving and analysing information”</w:t>
      </w:r>
      <w:r w:rsidR="00955774" w:rsidRPr="003412DB">
        <w:rPr>
          <w:rStyle w:val="FootnoteReference"/>
          <w:rFonts w:ascii="Times New Roman" w:hAnsi="Times New Roman" w:cs="Times New Roman"/>
          <w:sz w:val="24"/>
          <w:szCs w:val="24"/>
          <w:lang w:val="en-US"/>
        </w:rPr>
        <w:footnoteReference w:id="140"/>
      </w:r>
      <w:r w:rsidR="00955774" w:rsidRPr="00955774">
        <w:rPr>
          <w:rFonts w:ascii="Times New Roman" w:hAnsi="Times New Roman" w:cs="Times New Roman"/>
          <w:sz w:val="24"/>
          <w:szCs w:val="24"/>
        </w:rPr>
        <w:t xml:space="preserve">. This challenge is a great opportunity for arguing the necessity of further centralization of AML supervisory efforts at </w:t>
      </w:r>
      <w:r w:rsidR="00955774" w:rsidRPr="00955774">
        <w:rPr>
          <w:rFonts w:ascii="Times New Roman" w:hAnsi="Times New Roman" w:cs="Times New Roman"/>
          <w:sz w:val="24"/>
          <w:szCs w:val="24"/>
        </w:rPr>
        <w:lastRenderedPageBreak/>
        <w:t>EU level</w:t>
      </w:r>
      <w:r w:rsidR="00955774" w:rsidRPr="003412DB">
        <w:rPr>
          <w:rStyle w:val="FootnoteReference"/>
          <w:rFonts w:ascii="Times New Roman" w:hAnsi="Times New Roman" w:cs="Times New Roman"/>
          <w:sz w:val="24"/>
          <w:szCs w:val="24"/>
          <w:lang w:val="en-US"/>
        </w:rPr>
        <w:footnoteReference w:id="141"/>
      </w:r>
      <w:r w:rsidR="00955774" w:rsidRPr="00955774">
        <w:rPr>
          <w:rFonts w:ascii="Times New Roman" w:hAnsi="Times New Roman" w:cs="Times New Roman"/>
          <w:sz w:val="24"/>
          <w:szCs w:val="24"/>
        </w:rPr>
        <w:t xml:space="preserve"> in addition to the EBA’s mandate provided for by the European Supervisory Authorities Review Regulation, which so far only entails credit and financial institutions</w:t>
      </w:r>
      <w:r w:rsidR="00955774" w:rsidRPr="003412DB">
        <w:rPr>
          <w:rStyle w:val="FootnoteReference"/>
          <w:rFonts w:ascii="Times New Roman" w:hAnsi="Times New Roman" w:cs="Times New Roman"/>
          <w:sz w:val="24"/>
          <w:szCs w:val="24"/>
          <w:lang w:val="en-US"/>
        </w:rPr>
        <w:footnoteReference w:id="142"/>
      </w:r>
      <w:r w:rsidR="00955774">
        <w:rPr>
          <w:rFonts w:ascii="Times New Roman" w:hAnsi="Times New Roman" w:cs="Times New Roman"/>
          <w:sz w:val="24"/>
          <w:szCs w:val="24"/>
        </w:rPr>
        <w:t>.</w:t>
      </w:r>
    </w:p>
    <w:p w14:paraId="4E3BBBDF" w14:textId="5E9336CA" w:rsidR="00955774" w:rsidRDefault="00955774" w:rsidP="00955774">
      <w:pPr>
        <w:spacing w:after="120" w:line="360" w:lineRule="auto"/>
        <w:ind w:firstLine="709"/>
        <w:jc w:val="both"/>
        <w:rPr>
          <w:rFonts w:ascii="Times New Roman" w:hAnsi="Times New Roman" w:cs="Times New Roman"/>
          <w:sz w:val="24"/>
          <w:szCs w:val="24"/>
        </w:rPr>
      </w:pPr>
      <w:r w:rsidRPr="00955774">
        <w:rPr>
          <w:rFonts w:ascii="Times New Roman" w:hAnsi="Times New Roman" w:cs="Times New Roman"/>
          <w:sz w:val="24"/>
          <w:szCs w:val="24"/>
        </w:rPr>
        <w:t xml:space="preserve">In view of the above, I believe this situation needs to be addressed for two reasons. The first reason is the ML risks posed by CCs described </w:t>
      </w:r>
      <w:r>
        <w:rPr>
          <w:rFonts w:ascii="Times New Roman" w:hAnsi="Times New Roman" w:cs="Times New Roman"/>
          <w:sz w:val="24"/>
          <w:szCs w:val="24"/>
        </w:rPr>
        <w:t>above</w:t>
      </w:r>
      <w:r w:rsidRPr="00955774">
        <w:rPr>
          <w:rFonts w:ascii="Times New Roman" w:hAnsi="Times New Roman" w:cs="Times New Roman"/>
          <w:sz w:val="24"/>
          <w:szCs w:val="24"/>
        </w:rPr>
        <w:t>. The second reason is that this provision is severely incoherent with the level of harmonisation aimed by AMLD4 itself – namely, minimum harmonisation – as evidenced by the right of Member States to adopt stricter measures than those prescribed by the Directive</w:t>
      </w:r>
      <w:r w:rsidRPr="003412DB">
        <w:rPr>
          <w:rStyle w:val="FootnoteReference"/>
          <w:rFonts w:ascii="Times New Roman" w:hAnsi="Times New Roman" w:cs="Times New Roman"/>
          <w:sz w:val="24"/>
          <w:szCs w:val="24"/>
          <w:lang w:val="en-US"/>
        </w:rPr>
        <w:footnoteReference w:id="143"/>
      </w:r>
      <w:r w:rsidRPr="00955774">
        <w:rPr>
          <w:rFonts w:ascii="Times New Roman" w:hAnsi="Times New Roman" w:cs="Times New Roman"/>
          <w:sz w:val="24"/>
          <w:szCs w:val="24"/>
        </w:rPr>
        <w:t>. One could argue that the goal of Article 53(2) may be to ease the financial and administrative burden, on obliged entities operating abroad under their right to free provision of services, of having to comply with two reporting requirements simultaneously (that of the host Member State and that of the home Member State)</w:t>
      </w:r>
      <w:r w:rsidRPr="003412DB">
        <w:rPr>
          <w:rStyle w:val="FootnoteReference"/>
          <w:rFonts w:ascii="Times New Roman" w:hAnsi="Times New Roman" w:cs="Times New Roman"/>
          <w:sz w:val="24"/>
          <w:szCs w:val="24"/>
          <w:lang w:val="en-US"/>
        </w:rPr>
        <w:footnoteReference w:id="144"/>
      </w:r>
      <w:r w:rsidRPr="00955774">
        <w:rPr>
          <w:rFonts w:ascii="Times New Roman" w:hAnsi="Times New Roman" w:cs="Times New Roman"/>
          <w:sz w:val="24"/>
          <w:szCs w:val="24"/>
        </w:rPr>
        <w:t>. However, combating ML is “amongst the overriding reasons in the public interest capable of justifying obstacles to the freedom to provide services”</w:t>
      </w:r>
      <w:r w:rsidRPr="003412DB">
        <w:rPr>
          <w:rStyle w:val="FootnoteReference"/>
          <w:rFonts w:ascii="Times New Roman" w:hAnsi="Times New Roman" w:cs="Times New Roman"/>
          <w:sz w:val="24"/>
          <w:szCs w:val="24"/>
          <w:lang w:val="en-US"/>
        </w:rPr>
        <w:footnoteReference w:id="145"/>
      </w:r>
      <w:r w:rsidR="00180214">
        <w:rPr>
          <w:rFonts w:ascii="Times New Roman" w:hAnsi="Times New Roman" w:cs="Times New Roman"/>
          <w:sz w:val="24"/>
          <w:szCs w:val="24"/>
        </w:rPr>
        <w:t>.</w:t>
      </w:r>
    </w:p>
    <w:p w14:paraId="3A0A58C9" w14:textId="39FCE279" w:rsidR="009E43AE" w:rsidRDefault="00955774" w:rsidP="009E43AE">
      <w:pPr>
        <w:spacing w:after="120" w:line="360" w:lineRule="auto"/>
        <w:ind w:firstLine="709"/>
        <w:jc w:val="both"/>
        <w:rPr>
          <w:rFonts w:ascii="Times New Roman" w:hAnsi="Times New Roman" w:cs="Times New Roman"/>
          <w:sz w:val="24"/>
          <w:szCs w:val="24"/>
        </w:rPr>
      </w:pPr>
      <w:r w:rsidRPr="00955774">
        <w:rPr>
          <w:rFonts w:ascii="Times New Roman" w:hAnsi="Times New Roman" w:cs="Times New Roman"/>
          <w:sz w:val="24"/>
          <w:szCs w:val="24"/>
        </w:rPr>
        <w:t>A possible way to address this issue would be to extend the possibility contained in Article 45(9) AMLD4 to CCs. Under Article 45(9) AMLD4 host Member States’ FIUs can request that e-money issuers appoint a central contact point to forward STRs directly to them</w:t>
      </w:r>
      <w:r w:rsidRPr="00955774">
        <w:rPr>
          <w:rStyle w:val="FootnoteReference"/>
          <w:rFonts w:ascii="Times New Roman" w:hAnsi="Times New Roman" w:cs="Times New Roman"/>
          <w:sz w:val="24"/>
          <w:szCs w:val="24"/>
          <w:lang w:val="en-US"/>
        </w:rPr>
        <w:footnoteReference w:id="146"/>
      </w:r>
      <w:r w:rsidRPr="00955774">
        <w:rPr>
          <w:rFonts w:ascii="Times New Roman" w:hAnsi="Times New Roman" w:cs="Times New Roman"/>
          <w:sz w:val="24"/>
          <w:szCs w:val="24"/>
        </w:rPr>
        <w:t>.</w:t>
      </w:r>
      <w:r w:rsidR="00FE598D">
        <w:rPr>
          <w:rFonts w:ascii="Times New Roman" w:hAnsi="Times New Roman" w:cs="Times New Roman"/>
          <w:sz w:val="24"/>
          <w:szCs w:val="24"/>
        </w:rPr>
        <w:t xml:space="preserve"> </w:t>
      </w:r>
      <w:r w:rsidR="00FE598D" w:rsidRPr="00FE598D">
        <w:rPr>
          <w:rFonts w:ascii="Times New Roman" w:hAnsi="Times New Roman" w:cs="Times New Roman"/>
          <w:sz w:val="24"/>
          <w:szCs w:val="24"/>
        </w:rPr>
        <w:t>Although the AML regulatory approaches targeting CCs and e-money are very different (given that the latter – differently from CC intermediaries</w:t>
      </w:r>
      <w:r w:rsidR="00FE598D" w:rsidRPr="003412DB">
        <w:rPr>
          <w:rStyle w:val="FootnoteReference"/>
          <w:rFonts w:ascii="Times New Roman" w:hAnsi="Times New Roman" w:cs="Times New Roman"/>
          <w:sz w:val="24"/>
          <w:szCs w:val="24"/>
          <w:lang w:val="en-US"/>
        </w:rPr>
        <w:footnoteReference w:id="147"/>
      </w:r>
      <w:r w:rsidR="00FE598D" w:rsidRPr="00FE598D">
        <w:rPr>
          <w:rFonts w:ascii="Times New Roman" w:hAnsi="Times New Roman" w:cs="Times New Roman"/>
          <w:sz w:val="24"/>
          <w:szCs w:val="24"/>
        </w:rPr>
        <w:t xml:space="preserve"> – are only allowed to pursue their type of business upon meeting licensing requirements, are properly supervised and, therefore, more easily subject to AML rules</w:t>
      </w:r>
      <w:r w:rsidR="00FE598D" w:rsidRPr="003412DB">
        <w:rPr>
          <w:rStyle w:val="FootnoteReference"/>
          <w:rFonts w:ascii="Times New Roman" w:hAnsi="Times New Roman" w:cs="Times New Roman"/>
          <w:sz w:val="24"/>
          <w:szCs w:val="24"/>
          <w:lang w:val="en-US"/>
        </w:rPr>
        <w:footnoteReference w:id="148"/>
      </w:r>
      <w:r w:rsidR="00FE598D" w:rsidRPr="00FE598D">
        <w:rPr>
          <w:rFonts w:ascii="Times New Roman" w:hAnsi="Times New Roman" w:cs="Times New Roman"/>
          <w:sz w:val="24"/>
          <w:szCs w:val="24"/>
        </w:rPr>
        <w:t>)</w:t>
      </w:r>
      <w:r w:rsidR="00FE598D">
        <w:rPr>
          <w:rFonts w:ascii="Times New Roman" w:hAnsi="Times New Roman" w:cs="Times New Roman"/>
          <w:sz w:val="24"/>
          <w:szCs w:val="24"/>
        </w:rPr>
        <w:t>,</w:t>
      </w:r>
      <w:r w:rsidR="00FE598D" w:rsidRPr="00FE598D">
        <w:rPr>
          <w:rFonts w:ascii="Times New Roman" w:hAnsi="Times New Roman" w:cs="Times New Roman"/>
          <w:sz w:val="24"/>
          <w:szCs w:val="24"/>
        </w:rPr>
        <w:t xml:space="preserve"> in my view, for jurisdictional matters regarding supervision, such as these dealt with by Article 45(9) AMLD4, the extension of the regulatory approach taken regarding e-money could be extended to CCs. As evidenced by the Italian legislation </w:t>
      </w:r>
      <w:r w:rsidR="00FE598D" w:rsidRPr="00FE598D">
        <w:rPr>
          <w:rFonts w:ascii="Times New Roman" w:hAnsi="Times New Roman" w:cs="Times New Roman"/>
          <w:sz w:val="24"/>
          <w:szCs w:val="24"/>
        </w:rPr>
        <w:lastRenderedPageBreak/>
        <w:t>implementing this provision</w:t>
      </w:r>
      <w:r w:rsidR="00FE598D" w:rsidRPr="003412DB">
        <w:rPr>
          <w:rStyle w:val="FootnoteReference"/>
          <w:rFonts w:ascii="Times New Roman" w:hAnsi="Times New Roman" w:cs="Times New Roman"/>
          <w:sz w:val="24"/>
          <w:szCs w:val="24"/>
          <w:lang w:val="en-US"/>
        </w:rPr>
        <w:footnoteReference w:id="149"/>
      </w:r>
      <w:r w:rsidR="00FE598D" w:rsidRPr="00FE598D">
        <w:rPr>
          <w:rFonts w:ascii="Times New Roman" w:hAnsi="Times New Roman" w:cs="Times New Roman"/>
          <w:sz w:val="24"/>
          <w:szCs w:val="24"/>
        </w:rPr>
        <w:t>, in such cases the FIU of the host Member State can request the central contact</w:t>
      </w:r>
      <w:r w:rsidR="00FE598D">
        <w:rPr>
          <w:rFonts w:ascii="Times New Roman" w:hAnsi="Times New Roman" w:cs="Times New Roman"/>
          <w:sz w:val="24"/>
          <w:szCs w:val="24"/>
        </w:rPr>
        <w:t xml:space="preserve"> </w:t>
      </w:r>
      <w:r w:rsidR="00FE598D" w:rsidRPr="00FE598D">
        <w:rPr>
          <w:rFonts w:ascii="Times New Roman" w:hAnsi="Times New Roman" w:cs="Times New Roman"/>
          <w:sz w:val="24"/>
          <w:szCs w:val="24"/>
        </w:rPr>
        <w:t>point to forward STRs directly to the former</w:t>
      </w:r>
      <w:r w:rsidR="00987BEB" w:rsidRPr="003412DB">
        <w:rPr>
          <w:rStyle w:val="FootnoteReference"/>
          <w:rFonts w:ascii="Times New Roman" w:hAnsi="Times New Roman" w:cs="Times New Roman"/>
          <w:sz w:val="24"/>
          <w:szCs w:val="24"/>
          <w:lang w:val="en-US"/>
        </w:rPr>
        <w:footnoteReference w:id="150"/>
      </w:r>
      <w:r w:rsidR="00FE598D" w:rsidRPr="00FE598D">
        <w:rPr>
          <w:rFonts w:ascii="Times New Roman" w:hAnsi="Times New Roman" w:cs="Times New Roman"/>
          <w:sz w:val="24"/>
          <w:szCs w:val="24"/>
        </w:rPr>
        <w:t xml:space="preserve">. This would also, under the rationale construed by </w:t>
      </w:r>
      <w:r w:rsidR="00005D4D">
        <w:rPr>
          <w:rFonts w:ascii="Times New Roman" w:hAnsi="Times New Roman" w:cs="Times New Roman"/>
          <w:sz w:val="24"/>
          <w:szCs w:val="24"/>
        </w:rPr>
        <w:t xml:space="preserve">the </w:t>
      </w:r>
      <w:r w:rsidR="00FE598D" w:rsidRPr="00FE598D">
        <w:rPr>
          <w:rFonts w:ascii="Times New Roman" w:hAnsi="Times New Roman" w:cs="Times New Roman"/>
          <w:sz w:val="24"/>
          <w:szCs w:val="24"/>
        </w:rPr>
        <w:t xml:space="preserve">CJEU in </w:t>
      </w:r>
      <w:proofErr w:type="spellStart"/>
      <w:r w:rsidR="00FE598D" w:rsidRPr="00987BEB">
        <w:rPr>
          <w:rFonts w:ascii="Times New Roman" w:hAnsi="Times New Roman" w:cs="Times New Roman"/>
          <w:i/>
          <w:iCs/>
          <w:sz w:val="24"/>
          <w:szCs w:val="24"/>
        </w:rPr>
        <w:t>Jyske</w:t>
      </w:r>
      <w:proofErr w:type="spellEnd"/>
      <w:r w:rsidR="00FE598D" w:rsidRPr="00FE598D">
        <w:rPr>
          <w:rFonts w:ascii="Times New Roman" w:hAnsi="Times New Roman" w:cs="Times New Roman"/>
          <w:sz w:val="24"/>
          <w:szCs w:val="24"/>
        </w:rPr>
        <w:t xml:space="preserve">, contribute to the goals of the EU AML regulatory regime, as it would enhance the surveillance power of FIUs to effectively tackle ML. Consideration would also have to be given to the possibility of the hypothetical example provided above involving Bulgaria and the UK, where an undertaking would be an obliged entity in one Member State, but not in the other. Should the possibility contained in Article 45(9) AMLD4 be extended to CCs, would a Member State be able to require a central contact point to be appointed by an undertaking which would be an obliged entity under its national law, but is not an obliged entity under the national law of the home Member State? The </w:t>
      </w:r>
      <w:r w:rsidR="00FE598D" w:rsidRPr="009E43AE">
        <w:rPr>
          <w:rFonts w:ascii="Times New Roman" w:hAnsi="Times New Roman" w:cs="Times New Roman"/>
          <w:i/>
          <w:iCs/>
          <w:sz w:val="24"/>
          <w:szCs w:val="24"/>
        </w:rPr>
        <w:t xml:space="preserve">de </w:t>
      </w:r>
      <w:proofErr w:type="spellStart"/>
      <w:r w:rsidR="00FE598D" w:rsidRPr="009E43AE">
        <w:rPr>
          <w:rFonts w:ascii="Times New Roman" w:hAnsi="Times New Roman" w:cs="Times New Roman"/>
          <w:i/>
          <w:iCs/>
          <w:sz w:val="24"/>
          <w:szCs w:val="24"/>
        </w:rPr>
        <w:t>lege</w:t>
      </w:r>
      <w:proofErr w:type="spellEnd"/>
      <w:r w:rsidR="00FE598D" w:rsidRPr="009E43AE">
        <w:rPr>
          <w:rFonts w:ascii="Times New Roman" w:hAnsi="Times New Roman" w:cs="Times New Roman"/>
          <w:i/>
          <w:iCs/>
          <w:sz w:val="24"/>
          <w:szCs w:val="24"/>
        </w:rPr>
        <w:t xml:space="preserve"> ferenda</w:t>
      </w:r>
      <w:r w:rsidR="00FE598D" w:rsidRPr="00FE598D">
        <w:rPr>
          <w:rFonts w:ascii="Times New Roman" w:hAnsi="Times New Roman" w:cs="Times New Roman"/>
          <w:sz w:val="24"/>
          <w:szCs w:val="24"/>
        </w:rPr>
        <w:t xml:space="preserve"> proposition hypothesized here would have to address this matter also, otherwise the shortcomings found in the current regime would not be superseded.</w:t>
      </w:r>
    </w:p>
    <w:p w14:paraId="5FD05683" w14:textId="5693D454" w:rsidR="00987BEB" w:rsidRDefault="00987BEB" w:rsidP="00987BEB">
      <w:pPr>
        <w:spacing w:after="120" w:line="360" w:lineRule="auto"/>
        <w:jc w:val="both"/>
        <w:rPr>
          <w:rFonts w:ascii="Times New Roman" w:hAnsi="Times New Roman" w:cs="Times New Roman"/>
          <w:sz w:val="24"/>
          <w:szCs w:val="24"/>
        </w:rPr>
      </w:pPr>
    </w:p>
    <w:p w14:paraId="05C881A5" w14:textId="7F66293F" w:rsidR="003A256A" w:rsidRPr="00987BEB" w:rsidRDefault="00987BEB" w:rsidP="00987BEB">
      <w:pPr>
        <w:spacing w:after="120" w:line="360" w:lineRule="auto"/>
        <w:jc w:val="both"/>
        <w:rPr>
          <w:rFonts w:ascii="Times New Roman" w:hAnsi="Times New Roman" w:cs="Times New Roman"/>
          <w:b/>
          <w:bCs/>
          <w:sz w:val="24"/>
          <w:szCs w:val="24"/>
        </w:rPr>
      </w:pPr>
      <w:r w:rsidRPr="00987BEB">
        <w:rPr>
          <w:rFonts w:ascii="Times New Roman" w:hAnsi="Times New Roman" w:cs="Times New Roman"/>
          <w:b/>
          <w:bCs/>
          <w:sz w:val="24"/>
          <w:szCs w:val="24"/>
        </w:rPr>
        <w:t>Conclusion</w:t>
      </w:r>
    </w:p>
    <w:p w14:paraId="6A7E969B" w14:textId="4AAAE6AE" w:rsidR="003A256A" w:rsidRDefault="00987BEB" w:rsidP="00987BEB">
      <w:pPr>
        <w:spacing w:after="120" w:line="360" w:lineRule="auto"/>
        <w:ind w:firstLine="709"/>
        <w:jc w:val="both"/>
        <w:rPr>
          <w:rFonts w:ascii="Times New Roman" w:hAnsi="Times New Roman" w:cs="Times New Roman"/>
          <w:sz w:val="24"/>
          <w:szCs w:val="24"/>
        </w:rPr>
      </w:pPr>
      <w:r w:rsidRPr="00987BEB">
        <w:rPr>
          <w:rFonts w:ascii="Times New Roman" w:hAnsi="Times New Roman" w:cs="Times New Roman"/>
          <w:sz w:val="24"/>
          <w:szCs w:val="24"/>
        </w:rPr>
        <w:t xml:space="preserve">This </w:t>
      </w:r>
      <w:r>
        <w:rPr>
          <w:rFonts w:ascii="Times New Roman" w:hAnsi="Times New Roman" w:cs="Times New Roman"/>
          <w:sz w:val="24"/>
          <w:szCs w:val="24"/>
        </w:rPr>
        <w:t>paper</w:t>
      </w:r>
      <w:r w:rsidRPr="00987BEB">
        <w:rPr>
          <w:rFonts w:ascii="Times New Roman" w:hAnsi="Times New Roman" w:cs="Times New Roman"/>
          <w:sz w:val="24"/>
          <w:szCs w:val="24"/>
        </w:rPr>
        <w:t xml:space="preserve"> attempted to inquire what are the shortcomings of the currently established EU AML regulatory regime in promoting effective harmonization of CC-related AML measures. The reasons why the EU harmonizes AML law are both the establishment of an internal market founded on legal certainty and crime prevention. The anonymity/pseudonymity feature of CCs provide</w:t>
      </w:r>
      <w:r w:rsidR="005C26BE">
        <w:rPr>
          <w:rFonts w:ascii="Times New Roman" w:hAnsi="Times New Roman" w:cs="Times New Roman"/>
          <w:sz w:val="24"/>
          <w:szCs w:val="24"/>
        </w:rPr>
        <w:t>s</w:t>
      </w:r>
      <w:r w:rsidRPr="00987BEB">
        <w:rPr>
          <w:rFonts w:ascii="Times New Roman" w:hAnsi="Times New Roman" w:cs="Times New Roman"/>
          <w:sz w:val="24"/>
          <w:szCs w:val="24"/>
        </w:rPr>
        <w:t xml:space="preserve"> them with the potential to be used for illicit transactions while disguising the identity of the parties involved. Therefore, the harmonization of AML measures targeting CC transactions across the EU – besides the core goals of harmonization of AML law in the EU stated by AG </w:t>
      </w:r>
      <w:proofErr w:type="spellStart"/>
      <w:r w:rsidRPr="00987BEB">
        <w:rPr>
          <w:rFonts w:ascii="Times New Roman" w:hAnsi="Times New Roman" w:cs="Times New Roman"/>
          <w:sz w:val="24"/>
          <w:szCs w:val="24"/>
        </w:rPr>
        <w:t>Saggio</w:t>
      </w:r>
      <w:proofErr w:type="spellEnd"/>
      <w:r w:rsidRPr="00987BEB">
        <w:rPr>
          <w:rFonts w:ascii="Times New Roman" w:hAnsi="Times New Roman" w:cs="Times New Roman"/>
          <w:sz w:val="24"/>
          <w:szCs w:val="24"/>
        </w:rPr>
        <w:t xml:space="preserve"> in </w:t>
      </w:r>
      <w:r w:rsidRPr="00987BEB">
        <w:rPr>
          <w:rFonts w:ascii="Times New Roman" w:hAnsi="Times New Roman" w:cs="Times New Roman"/>
          <w:i/>
          <w:iCs/>
          <w:sz w:val="24"/>
          <w:szCs w:val="24"/>
        </w:rPr>
        <w:t>Commission v Austria</w:t>
      </w:r>
      <w:r w:rsidRPr="00987BEB">
        <w:rPr>
          <w:rFonts w:ascii="Times New Roman" w:hAnsi="Times New Roman" w:cs="Times New Roman"/>
          <w:sz w:val="24"/>
          <w:szCs w:val="24"/>
        </w:rPr>
        <w:t xml:space="preserve"> – is necessary to avoid, to the extent possible, that criminals take advantage of the anonymity/pseudonymity feature of CCs and transfer illicit resources to the EU via the relevant intermediaries involved in the transaction. However, not always clearly identifiable intermediaries will be involved in the transaction. Together, these two aspects of CCs (anonymity/pseudonymity and partial lack of identifiable intermediaries) pose a challenging obstacle to both the usual mean of scrutinizing suspicious transactions based on CDD as well the intermediary-driven governance structure of AML measures. Also, even in cases where there is a clearly identifiable intermediary, such as issuers, </w:t>
      </w:r>
      <w:r w:rsidRPr="00987BEB">
        <w:rPr>
          <w:rFonts w:ascii="Times New Roman" w:hAnsi="Times New Roman" w:cs="Times New Roman"/>
          <w:sz w:val="24"/>
          <w:szCs w:val="24"/>
        </w:rPr>
        <w:lastRenderedPageBreak/>
        <w:t xml:space="preserve">crypto-to-crypto exchange service providers and Tumbler services, the limitations of the reach of the provisions of AMLD5 that do not appropriately address these known ML risks posed by CCs cause Member States to (understandably) go beyond the minimum required by the Directive, thereby targeting different types of actors within CC ecosystem and reversing the goal of Directives within the EU AML regulatory regime to facilitate the law through harmonization. In this sense, the hypothesis formulated to address the main research question raised for this </w:t>
      </w:r>
      <w:r>
        <w:rPr>
          <w:rFonts w:ascii="Times New Roman" w:hAnsi="Times New Roman" w:cs="Times New Roman"/>
          <w:sz w:val="24"/>
          <w:szCs w:val="24"/>
        </w:rPr>
        <w:t>paper</w:t>
      </w:r>
      <w:r w:rsidRPr="00987BEB">
        <w:rPr>
          <w:rFonts w:ascii="Times New Roman" w:hAnsi="Times New Roman" w:cs="Times New Roman"/>
          <w:sz w:val="24"/>
          <w:szCs w:val="24"/>
        </w:rPr>
        <w:t xml:space="preserve"> has been confirmed. Evidence collected from the national implementing legislations of Bulgaria, France, Germany, Italy and the UK demonstrates differences in the coverage of issuers and crypto</w:t>
      </w:r>
      <w:r>
        <w:rPr>
          <w:rFonts w:ascii="Times New Roman" w:hAnsi="Times New Roman" w:cs="Times New Roman"/>
          <w:sz w:val="24"/>
          <w:szCs w:val="24"/>
        </w:rPr>
        <w:t>-</w:t>
      </w:r>
      <w:r w:rsidRPr="00987BEB">
        <w:rPr>
          <w:rFonts w:ascii="Times New Roman" w:hAnsi="Times New Roman" w:cs="Times New Roman"/>
          <w:sz w:val="24"/>
          <w:szCs w:val="24"/>
        </w:rPr>
        <w:t>to-crypto exchange service providers in the personal scope of AMLD5 as well as in the coverage of investment tokens in the material scope of AMLD5</w:t>
      </w:r>
      <w:r w:rsidR="00B5437D">
        <w:rPr>
          <w:rFonts w:ascii="Times New Roman" w:hAnsi="Times New Roman" w:cs="Times New Roman"/>
          <w:sz w:val="24"/>
          <w:szCs w:val="24"/>
        </w:rPr>
        <w:t>.</w:t>
      </w:r>
    </w:p>
    <w:p w14:paraId="38E56859" w14:textId="79C8CC91" w:rsidR="005C26BE" w:rsidRDefault="00987BEB" w:rsidP="005C26BE">
      <w:pPr>
        <w:spacing w:after="120" w:line="360" w:lineRule="auto"/>
        <w:ind w:firstLine="709"/>
        <w:jc w:val="both"/>
        <w:rPr>
          <w:rFonts w:ascii="Times New Roman" w:hAnsi="Times New Roman" w:cs="Times New Roman"/>
          <w:sz w:val="24"/>
          <w:szCs w:val="24"/>
        </w:rPr>
      </w:pPr>
      <w:r w:rsidRPr="00987BEB">
        <w:rPr>
          <w:rFonts w:ascii="Times New Roman" w:hAnsi="Times New Roman" w:cs="Times New Roman"/>
          <w:sz w:val="24"/>
          <w:szCs w:val="24"/>
        </w:rPr>
        <w:t xml:space="preserve">How this situation translates in an obstacle towards effective harmonisation, considering its related goal of disruption of transnational organised crime, becomes salient when taking into account jurisdictional rules delineating the competence of FIUs to demand that obliged entities submit STRs, particularly after the legislative override of </w:t>
      </w:r>
      <w:proofErr w:type="spellStart"/>
      <w:r w:rsidRPr="00096DCF">
        <w:rPr>
          <w:rFonts w:ascii="Times New Roman" w:hAnsi="Times New Roman" w:cs="Times New Roman"/>
          <w:i/>
          <w:iCs/>
          <w:sz w:val="24"/>
          <w:szCs w:val="24"/>
        </w:rPr>
        <w:t>Jyske</w:t>
      </w:r>
      <w:proofErr w:type="spellEnd"/>
      <w:r w:rsidRPr="00987BEB">
        <w:rPr>
          <w:rFonts w:ascii="Times New Roman" w:hAnsi="Times New Roman" w:cs="Times New Roman"/>
          <w:sz w:val="24"/>
          <w:szCs w:val="24"/>
        </w:rPr>
        <w:t xml:space="preserve"> by Article 53(2) AMLD4. Currently, a criminal can easily circumvent AML laws by seeking the service of undertakings that are not obliged entities in the latter’s home Member State to perform CC transactions the former does not want to be reported to FIUs, even if such undertakings are operating under their right to free provision of services in a Member State that imposes AML obligation on similar entities. Thus, I propose, </w:t>
      </w:r>
      <w:r w:rsidRPr="00987BEB">
        <w:rPr>
          <w:rFonts w:ascii="Times New Roman" w:hAnsi="Times New Roman" w:cs="Times New Roman"/>
          <w:i/>
          <w:iCs/>
          <w:sz w:val="24"/>
          <w:szCs w:val="24"/>
        </w:rPr>
        <w:t xml:space="preserve">de </w:t>
      </w:r>
      <w:proofErr w:type="spellStart"/>
      <w:r w:rsidRPr="00987BEB">
        <w:rPr>
          <w:rFonts w:ascii="Times New Roman" w:hAnsi="Times New Roman" w:cs="Times New Roman"/>
          <w:i/>
          <w:iCs/>
          <w:sz w:val="24"/>
          <w:szCs w:val="24"/>
        </w:rPr>
        <w:t>lege</w:t>
      </w:r>
      <w:proofErr w:type="spellEnd"/>
      <w:r w:rsidRPr="00987BEB">
        <w:rPr>
          <w:rFonts w:ascii="Times New Roman" w:hAnsi="Times New Roman" w:cs="Times New Roman"/>
          <w:i/>
          <w:iCs/>
          <w:sz w:val="24"/>
          <w:szCs w:val="24"/>
        </w:rPr>
        <w:t xml:space="preserve"> ferenda</w:t>
      </w:r>
      <w:r w:rsidRPr="00987BEB">
        <w:rPr>
          <w:rFonts w:ascii="Times New Roman" w:hAnsi="Times New Roman" w:cs="Times New Roman"/>
          <w:sz w:val="24"/>
          <w:szCs w:val="24"/>
        </w:rPr>
        <w:t>, that the possibility provided for host Member States’ FIUs to request that e-money issuers appoint a central contact point to forward STRs directly to them be extended to custodian wallet and exchange service providers. Nevertheless as mentioned above, in my view, such proposition by itself would only marginally contribute to the effective harmonization of CC-related AML measures within the EU if the other shortcomings of AMLD5 regarding the limited reach of its provisions both in terms of its material as well of its personal scope are not addressed</w:t>
      </w:r>
      <w:r w:rsidR="005C26BE">
        <w:rPr>
          <w:rFonts w:ascii="Times New Roman" w:hAnsi="Times New Roman" w:cs="Times New Roman"/>
          <w:sz w:val="24"/>
          <w:szCs w:val="24"/>
        </w:rPr>
        <w:t>.</w:t>
      </w:r>
    </w:p>
    <w:p w14:paraId="65342184" w14:textId="77777777" w:rsidR="002E5049" w:rsidRDefault="002E5049" w:rsidP="002E5049">
      <w:pPr>
        <w:spacing w:after="120" w:line="360" w:lineRule="auto"/>
        <w:ind w:firstLine="709"/>
        <w:jc w:val="both"/>
        <w:rPr>
          <w:rFonts w:ascii="Times New Roman" w:hAnsi="Times New Roman" w:cs="Times New Roman"/>
          <w:sz w:val="24"/>
          <w:szCs w:val="24"/>
        </w:rPr>
      </w:pPr>
    </w:p>
    <w:p w14:paraId="612422C0" w14:textId="16D97528" w:rsidR="00987BEB" w:rsidRPr="004F5EAE" w:rsidRDefault="004F5EAE" w:rsidP="00987BEB">
      <w:pPr>
        <w:spacing w:after="120" w:line="360" w:lineRule="auto"/>
        <w:jc w:val="both"/>
        <w:rPr>
          <w:rFonts w:ascii="Times New Roman" w:hAnsi="Times New Roman" w:cs="Times New Roman"/>
          <w:b/>
          <w:bCs/>
          <w:sz w:val="24"/>
          <w:szCs w:val="24"/>
        </w:rPr>
      </w:pPr>
      <w:r w:rsidRPr="004F5EAE">
        <w:rPr>
          <w:rFonts w:ascii="Times New Roman" w:hAnsi="Times New Roman" w:cs="Times New Roman"/>
          <w:b/>
          <w:bCs/>
          <w:sz w:val="24"/>
          <w:szCs w:val="24"/>
        </w:rPr>
        <w:t>Table of Cases</w:t>
      </w:r>
    </w:p>
    <w:p w14:paraId="6C76D2C0" w14:textId="77777777" w:rsidR="004F5EAE" w:rsidRPr="00987BEB" w:rsidRDefault="004F5EAE" w:rsidP="004F5EAE">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i/>
          <w:iCs/>
          <w:sz w:val="24"/>
          <w:szCs w:val="24"/>
        </w:rPr>
        <w:t xml:space="preserve">AA v Persons Unknown &amp; </w:t>
      </w:r>
      <w:proofErr w:type="spellStart"/>
      <w:r w:rsidRPr="00987BEB">
        <w:rPr>
          <w:rFonts w:ascii="Times New Roman" w:hAnsi="Times New Roman" w:cs="Times New Roman"/>
          <w:i/>
          <w:iCs/>
          <w:sz w:val="24"/>
          <w:szCs w:val="24"/>
        </w:rPr>
        <w:t>Ors</w:t>
      </w:r>
      <w:proofErr w:type="spellEnd"/>
      <w:r w:rsidRPr="00987BEB">
        <w:rPr>
          <w:rFonts w:ascii="Times New Roman" w:hAnsi="Times New Roman" w:cs="Times New Roman"/>
          <w:i/>
          <w:iCs/>
          <w:sz w:val="24"/>
          <w:szCs w:val="24"/>
        </w:rPr>
        <w:t>, Re Bitcoin</w:t>
      </w:r>
      <w:r w:rsidRPr="00987BEB">
        <w:rPr>
          <w:rFonts w:ascii="Times New Roman" w:hAnsi="Times New Roman" w:cs="Times New Roman"/>
          <w:sz w:val="24"/>
          <w:szCs w:val="24"/>
        </w:rPr>
        <w:t xml:space="preserve"> [2019] EWHC 3556 (Comm).</w:t>
      </w:r>
    </w:p>
    <w:p w14:paraId="2C45642C" w14:textId="6D1D914A" w:rsidR="00694B79" w:rsidRDefault="00694B79" w:rsidP="004F5EAE">
      <w:pPr>
        <w:spacing w:after="120" w:line="360" w:lineRule="auto"/>
        <w:jc w:val="both"/>
        <w:rPr>
          <w:rFonts w:ascii="Times New Roman" w:hAnsi="Times New Roman" w:cs="Times New Roman"/>
          <w:sz w:val="24"/>
          <w:szCs w:val="24"/>
          <w:lang w:val="en-US"/>
        </w:rPr>
      </w:pPr>
      <w:r w:rsidRPr="00694B79">
        <w:rPr>
          <w:rFonts w:ascii="Times New Roman" w:hAnsi="Times New Roman" w:cs="Times New Roman"/>
          <w:sz w:val="24"/>
          <w:szCs w:val="24"/>
          <w:lang w:val="en-US"/>
        </w:rPr>
        <w:t xml:space="preserve">Case C-162/97 </w:t>
      </w:r>
      <w:r w:rsidRPr="00694B79">
        <w:rPr>
          <w:rFonts w:ascii="Times New Roman" w:hAnsi="Times New Roman" w:cs="Times New Roman"/>
          <w:i/>
          <w:iCs/>
          <w:sz w:val="24"/>
          <w:szCs w:val="24"/>
          <w:lang w:val="en-US"/>
        </w:rPr>
        <w:t xml:space="preserve">Nilsson v </w:t>
      </w:r>
      <w:proofErr w:type="spellStart"/>
      <w:r w:rsidRPr="00694B79">
        <w:rPr>
          <w:rFonts w:ascii="Times New Roman" w:hAnsi="Times New Roman" w:cs="Times New Roman"/>
          <w:i/>
          <w:iCs/>
          <w:sz w:val="24"/>
          <w:szCs w:val="24"/>
          <w:lang w:val="en-US"/>
        </w:rPr>
        <w:t>Angličtině</w:t>
      </w:r>
      <w:proofErr w:type="spellEnd"/>
      <w:r w:rsidRPr="00694B79">
        <w:rPr>
          <w:rFonts w:ascii="Times New Roman" w:hAnsi="Times New Roman" w:cs="Times New Roman"/>
          <w:sz w:val="24"/>
          <w:szCs w:val="24"/>
          <w:lang w:val="en-US"/>
        </w:rPr>
        <w:t xml:space="preserve"> [1998] ECR I-7477</w:t>
      </w:r>
      <w:r>
        <w:rPr>
          <w:rFonts w:ascii="Times New Roman" w:hAnsi="Times New Roman" w:cs="Times New Roman"/>
          <w:sz w:val="24"/>
          <w:szCs w:val="24"/>
          <w:lang w:val="en-US"/>
        </w:rPr>
        <w:t>.</w:t>
      </w:r>
    </w:p>
    <w:p w14:paraId="25800876" w14:textId="2F3C02D5" w:rsidR="004F5EAE" w:rsidRPr="00987BEB" w:rsidRDefault="004F5EAE" w:rsidP="004F5EAE">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lang w:val="en-US"/>
        </w:rPr>
        <w:t xml:space="preserve">Case C‑212/08 </w:t>
      </w:r>
      <w:proofErr w:type="spellStart"/>
      <w:r w:rsidRPr="00987BEB">
        <w:rPr>
          <w:rFonts w:ascii="Times New Roman" w:hAnsi="Times New Roman" w:cs="Times New Roman"/>
          <w:i/>
          <w:iCs/>
          <w:sz w:val="24"/>
          <w:szCs w:val="24"/>
          <w:lang w:val="en-US"/>
        </w:rPr>
        <w:t>Zeturf</w:t>
      </w:r>
      <w:proofErr w:type="spellEnd"/>
      <w:r w:rsidRPr="00987BEB">
        <w:rPr>
          <w:rFonts w:ascii="Times New Roman" w:hAnsi="Times New Roman" w:cs="Times New Roman"/>
          <w:i/>
          <w:iCs/>
          <w:sz w:val="24"/>
          <w:szCs w:val="24"/>
          <w:lang w:val="en-US"/>
        </w:rPr>
        <w:t xml:space="preserve"> Ltd v Premier </w:t>
      </w:r>
      <w:proofErr w:type="spellStart"/>
      <w:r w:rsidRPr="00987BEB">
        <w:rPr>
          <w:rFonts w:ascii="Times New Roman" w:hAnsi="Times New Roman" w:cs="Times New Roman"/>
          <w:i/>
          <w:iCs/>
          <w:sz w:val="24"/>
          <w:szCs w:val="24"/>
          <w:lang w:val="en-US"/>
        </w:rPr>
        <w:t>ministre</w:t>
      </w:r>
      <w:proofErr w:type="spellEnd"/>
      <w:r w:rsidRPr="00987BEB">
        <w:rPr>
          <w:rFonts w:ascii="Times New Roman" w:hAnsi="Times New Roman" w:cs="Times New Roman"/>
          <w:sz w:val="24"/>
          <w:szCs w:val="24"/>
          <w:lang w:val="en-US"/>
        </w:rPr>
        <w:t xml:space="preserve"> [2011] ECR I-5633.</w:t>
      </w:r>
    </w:p>
    <w:p w14:paraId="3BD16252" w14:textId="77777777" w:rsidR="004F5EAE" w:rsidRPr="00987BEB" w:rsidRDefault="004F5EAE" w:rsidP="004F5EAE">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lang w:val="en-US"/>
        </w:rPr>
        <w:t xml:space="preserve">Case C-212/11 </w:t>
      </w:r>
      <w:proofErr w:type="spellStart"/>
      <w:r w:rsidRPr="00987BEB">
        <w:rPr>
          <w:rFonts w:ascii="Times New Roman" w:hAnsi="Times New Roman" w:cs="Times New Roman"/>
          <w:i/>
          <w:iCs/>
          <w:sz w:val="24"/>
          <w:szCs w:val="24"/>
          <w:lang w:val="en-US"/>
        </w:rPr>
        <w:t>Jyske</w:t>
      </w:r>
      <w:proofErr w:type="spellEnd"/>
      <w:r w:rsidRPr="00987BEB">
        <w:rPr>
          <w:rFonts w:ascii="Times New Roman" w:hAnsi="Times New Roman" w:cs="Times New Roman"/>
          <w:i/>
          <w:iCs/>
          <w:sz w:val="24"/>
          <w:szCs w:val="24"/>
          <w:lang w:val="en-US"/>
        </w:rPr>
        <w:t xml:space="preserve"> Bank Gibraltar Ltd v </w:t>
      </w:r>
      <w:proofErr w:type="spellStart"/>
      <w:r w:rsidRPr="00987BEB">
        <w:rPr>
          <w:rFonts w:ascii="Times New Roman" w:hAnsi="Times New Roman" w:cs="Times New Roman"/>
          <w:i/>
          <w:iCs/>
          <w:sz w:val="24"/>
          <w:szCs w:val="24"/>
          <w:lang w:val="en-US"/>
        </w:rPr>
        <w:t>Administración</w:t>
      </w:r>
      <w:proofErr w:type="spellEnd"/>
      <w:r w:rsidRPr="00987BEB">
        <w:rPr>
          <w:rFonts w:ascii="Times New Roman" w:hAnsi="Times New Roman" w:cs="Times New Roman"/>
          <w:i/>
          <w:iCs/>
          <w:sz w:val="24"/>
          <w:szCs w:val="24"/>
          <w:lang w:val="en-US"/>
        </w:rPr>
        <w:t xml:space="preserve"> del Estado</w:t>
      </w:r>
      <w:r w:rsidRPr="00987BEB">
        <w:rPr>
          <w:rFonts w:ascii="Times New Roman" w:hAnsi="Times New Roman" w:cs="Times New Roman"/>
          <w:sz w:val="24"/>
          <w:szCs w:val="24"/>
          <w:lang w:val="en-US"/>
        </w:rPr>
        <w:t xml:space="preserve"> [2013] ECR I-0000.</w:t>
      </w:r>
    </w:p>
    <w:p w14:paraId="6AB5BA41" w14:textId="77777777" w:rsidR="004F5EAE" w:rsidRPr="00987BEB" w:rsidRDefault="004F5EAE" w:rsidP="004F5EAE">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lang w:val="en-US"/>
        </w:rPr>
        <w:lastRenderedPageBreak/>
        <w:t xml:space="preserve">Case C‑264/14 </w:t>
      </w:r>
      <w:proofErr w:type="spellStart"/>
      <w:r w:rsidRPr="00987BEB">
        <w:rPr>
          <w:rFonts w:ascii="Times New Roman" w:hAnsi="Times New Roman" w:cs="Times New Roman"/>
          <w:i/>
          <w:iCs/>
          <w:sz w:val="24"/>
          <w:szCs w:val="24"/>
          <w:lang w:val="en-US"/>
        </w:rPr>
        <w:t>Skatteverket</w:t>
      </w:r>
      <w:proofErr w:type="spellEnd"/>
      <w:r w:rsidRPr="00987BEB">
        <w:rPr>
          <w:rFonts w:ascii="Times New Roman" w:hAnsi="Times New Roman" w:cs="Times New Roman"/>
          <w:i/>
          <w:iCs/>
          <w:sz w:val="24"/>
          <w:szCs w:val="24"/>
          <w:lang w:val="en-US"/>
        </w:rPr>
        <w:t xml:space="preserve"> v David </w:t>
      </w:r>
      <w:proofErr w:type="spellStart"/>
      <w:r w:rsidRPr="00987BEB">
        <w:rPr>
          <w:rFonts w:ascii="Times New Roman" w:hAnsi="Times New Roman" w:cs="Times New Roman"/>
          <w:i/>
          <w:iCs/>
          <w:sz w:val="24"/>
          <w:szCs w:val="24"/>
          <w:lang w:val="en-US"/>
        </w:rPr>
        <w:t>Hedqvist</w:t>
      </w:r>
      <w:proofErr w:type="spellEnd"/>
      <w:r w:rsidRPr="00987BEB">
        <w:rPr>
          <w:rFonts w:ascii="Times New Roman" w:hAnsi="Times New Roman" w:cs="Times New Roman"/>
          <w:sz w:val="24"/>
          <w:szCs w:val="24"/>
          <w:lang w:val="en-US"/>
        </w:rPr>
        <w:t xml:space="preserve"> [2015] ECR I-718</w:t>
      </w:r>
      <w:r w:rsidRPr="00987BEB">
        <w:rPr>
          <w:rFonts w:ascii="Times New Roman" w:hAnsi="Times New Roman" w:cs="Times New Roman"/>
          <w:sz w:val="24"/>
          <w:szCs w:val="24"/>
          <w:lang w:val="nl-BE"/>
        </w:rPr>
        <w:t>.</w:t>
      </w:r>
    </w:p>
    <w:p w14:paraId="58B740FB" w14:textId="77777777" w:rsidR="004F5EAE" w:rsidRPr="007E5589" w:rsidRDefault="004F5EAE" w:rsidP="004F5EAE">
      <w:pPr>
        <w:spacing w:after="120" w:line="360" w:lineRule="auto"/>
        <w:jc w:val="both"/>
        <w:rPr>
          <w:rFonts w:ascii="Times New Roman" w:hAnsi="Times New Roman" w:cs="Times New Roman"/>
          <w:sz w:val="24"/>
          <w:szCs w:val="24"/>
          <w:lang w:val="pt-BR"/>
        </w:rPr>
      </w:pPr>
      <w:r w:rsidRPr="007E5589">
        <w:rPr>
          <w:rFonts w:ascii="Times New Roman" w:hAnsi="Times New Roman" w:cs="Times New Roman"/>
          <w:sz w:val="24"/>
          <w:szCs w:val="24"/>
        </w:rPr>
        <w:t xml:space="preserve">Case C-290/98 </w:t>
      </w:r>
      <w:r w:rsidRPr="007E5589">
        <w:rPr>
          <w:rFonts w:ascii="Times New Roman" w:hAnsi="Times New Roman" w:cs="Times New Roman"/>
          <w:i/>
          <w:iCs/>
          <w:sz w:val="24"/>
          <w:szCs w:val="24"/>
        </w:rPr>
        <w:t>Commission v Austria</w:t>
      </w:r>
      <w:r w:rsidRPr="007E5589">
        <w:rPr>
          <w:rFonts w:ascii="Times New Roman" w:hAnsi="Times New Roman" w:cs="Times New Roman"/>
          <w:sz w:val="24"/>
          <w:szCs w:val="24"/>
        </w:rPr>
        <w:t xml:space="preserve"> [2000] ECR I-7835</w:t>
      </w:r>
      <w:r w:rsidRPr="007E5589">
        <w:rPr>
          <w:rFonts w:ascii="Times New Roman" w:hAnsi="Times New Roman" w:cs="Times New Roman"/>
          <w:sz w:val="24"/>
          <w:szCs w:val="24"/>
          <w:lang w:val="en-US"/>
        </w:rPr>
        <w:t>.</w:t>
      </w:r>
    </w:p>
    <w:p w14:paraId="0944B035" w14:textId="77777777" w:rsidR="004F5EAE" w:rsidRPr="00987BEB" w:rsidRDefault="004F5EAE" w:rsidP="004F5EAE">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lang w:val="en-US"/>
        </w:rPr>
        <w:t xml:space="preserve">Comm. Nanterre (6e </w:t>
      </w:r>
      <w:proofErr w:type="spellStart"/>
      <w:r w:rsidRPr="00987BEB">
        <w:rPr>
          <w:rFonts w:ascii="Times New Roman" w:hAnsi="Times New Roman" w:cs="Times New Roman"/>
          <w:sz w:val="24"/>
          <w:szCs w:val="24"/>
          <w:lang w:val="en-US"/>
        </w:rPr>
        <w:t>ch.</w:t>
      </w:r>
      <w:proofErr w:type="spellEnd"/>
      <w:r w:rsidRPr="00987BEB">
        <w:rPr>
          <w:rFonts w:ascii="Times New Roman" w:hAnsi="Times New Roman" w:cs="Times New Roman"/>
          <w:sz w:val="24"/>
          <w:szCs w:val="24"/>
          <w:lang w:val="en-US"/>
        </w:rPr>
        <w:t xml:space="preserve">), 26 </w:t>
      </w:r>
      <w:proofErr w:type="spellStart"/>
      <w:r w:rsidRPr="00987BEB">
        <w:rPr>
          <w:rFonts w:ascii="Times New Roman" w:hAnsi="Times New Roman" w:cs="Times New Roman"/>
          <w:sz w:val="24"/>
          <w:szCs w:val="24"/>
          <w:lang w:val="en-US"/>
        </w:rPr>
        <w:t>février</w:t>
      </w:r>
      <w:proofErr w:type="spellEnd"/>
      <w:r w:rsidRPr="00987BEB">
        <w:rPr>
          <w:rFonts w:ascii="Times New Roman" w:hAnsi="Times New Roman" w:cs="Times New Roman"/>
          <w:sz w:val="24"/>
          <w:szCs w:val="24"/>
          <w:lang w:val="en-US"/>
        </w:rPr>
        <w:t xml:space="preserve"> 2020.</w:t>
      </w:r>
    </w:p>
    <w:p w14:paraId="2B289E9F" w14:textId="77777777" w:rsidR="004F5EAE" w:rsidRPr="00987BEB" w:rsidRDefault="004F5EAE" w:rsidP="004F5EAE">
      <w:pPr>
        <w:spacing w:after="120" w:line="360" w:lineRule="auto"/>
        <w:jc w:val="both"/>
        <w:rPr>
          <w:rFonts w:ascii="Times New Roman" w:hAnsi="Times New Roman" w:cs="Times New Roman"/>
          <w:sz w:val="24"/>
          <w:szCs w:val="24"/>
          <w:lang w:val="en-US"/>
        </w:rPr>
      </w:pPr>
      <w:proofErr w:type="spellStart"/>
      <w:r w:rsidRPr="00987BEB">
        <w:rPr>
          <w:rFonts w:ascii="Times New Roman" w:hAnsi="Times New Roman" w:cs="Times New Roman"/>
          <w:sz w:val="24"/>
          <w:szCs w:val="24"/>
          <w:lang w:val="en-US"/>
        </w:rPr>
        <w:t>Sentencia</w:t>
      </w:r>
      <w:proofErr w:type="spellEnd"/>
      <w:r w:rsidRPr="00987BEB">
        <w:rPr>
          <w:rFonts w:ascii="Times New Roman" w:hAnsi="Times New Roman" w:cs="Times New Roman"/>
          <w:sz w:val="24"/>
          <w:szCs w:val="24"/>
          <w:lang w:val="en-US"/>
        </w:rPr>
        <w:t xml:space="preserve"> del Tribunal Supremo (Sala 2ª, </w:t>
      </w:r>
      <w:proofErr w:type="spellStart"/>
      <w:r w:rsidRPr="00987BEB">
        <w:rPr>
          <w:rFonts w:ascii="Times New Roman" w:hAnsi="Times New Roman" w:cs="Times New Roman"/>
          <w:sz w:val="24"/>
          <w:szCs w:val="24"/>
          <w:lang w:val="en-US"/>
        </w:rPr>
        <w:t>Sección</w:t>
      </w:r>
      <w:proofErr w:type="spellEnd"/>
      <w:r w:rsidRPr="00987BEB">
        <w:rPr>
          <w:rFonts w:ascii="Times New Roman" w:hAnsi="Times New Roman" w:cs="Times New Roman"/>
          <w:sz w:val="24"/>
          <w:szCs w:val="24"/>
          <w:lang w:val="en-US"/>
        </w:rPr>
        <w:t xml:space="preserve"> 2ª) nº 326/2019 (</w:t>
      </w:r>
      <w:proofErr w:type="spellStart"/>
      <w:r w:rsidRPr="00987BEB">
        <w:rPr>
          <w:rFonts w:ascii="Times New Roman" w:hAnsi="Times New Roman" w:cs="Times New Roman"/>
          <w:sz w:val="24"/>
          <w:szCs w:val="24"/>
          <w:lang w:val="en-US"/>
        </w:rPr>
        <w:t>recurso</w:t>
      </w:r>
      <w:proofErr w:type="spellEnd"/>
      <w:r w:rsidRPr="00987BEB">
        <w:rPr>
          <w:rFonts w:ascii="Times New Roman" w:hAnsi="Times New Roman" w:cs="Times New Roman"/>
          <w:sz w:val="24"/>
          <w:szCs w:val="24"/>
          <w:lang w:val="en-US"/>
        </w:rPr>
        <w:t xml:space="preserve"> nº 998/2018) de 20 de Junio de 2019.</w:t>
      </w:r>
    </w:p>
    <w:p w14:paraId="24155182" w14:textId="77777777" w:rsidR="004F5EAE" w:rsidRDefault="004F5EAE" w:rsidP="00987BEB">
      <w:pPr>
        <w:spacing w:after="120" w:line="360" w:lineRule="auto"/>
        <w:jc w:val="both"/>
        <w:rPr>
          <w:rFonts w:ascii="Times New Roman" w:hAnsi="Times New Roman" w:cs="Times New Roman"/>
          <w:sz w:val="24"/>
          <w:szCs w:val="24"/>
        </w:rPr>
      </w:pPr>
    </w:p>
    <w:p w14:paraId="5772EEB8" w14:textId="103F0BF8" w:rsidR="004F5EAE" w:rsidRPr="004F5EAE" w:rsidRDefault="004F5EAE" w:rsidP="004F5EAE">
      <w:pPr>
        <w:spacing w:after="120" w:line="360" w:lineRule="auto"/>
        <w:jc w:val="both"/>
        <w:rPr>
          <w:rFonts w:ascii="Times New Roman" w:hAnsi="Times New Roman" w:cs="Times New Roman"/>
          <w:b/>
          <w:bCs/>
          <w:sz w:val="24"/>
          <w:szCs w:val="24"/>
        </w:rPr>
      </w:pPr>
      <w:r w:rsidRPr="004F5EAE">
        <w:rPr>
          <w:rFonts w:ascii="Times New Roman" w:hAnsi="Times New Roman" w:cs="Times New Roman"/>
          <w:b/>
          <w:bCs/>
          <w:sz w:val="24"/>
          <w:szCs w:val="24"/>
        </w:rPr>
        <w:t xml:space="preserve">Table of </w:t>
      </w:r>
      <w:r>
        <w:rPr>
          <w:rFonts w:ascii="Times New Roman" w:hAnsi="Times New Roman" w:cs="Times New Roman"/>
          <w:b/>
          <w:bCs/>
          <w:sz w:val="24"/>
          <w:szCs w:val="24"/>
        </w:rPr>
        <w:t>Legislation</w:t>
      </w:r>
    </w:p>
    <w:p w14:paraId="76AF5332" w14:textId="77777777" w:rsidR="002E5049" w:rsidRPr="00987BEB" w:rsidRDefault="002E5049" w:rsidP="004F5EAE">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lang w:val="en-US"/>
        </w:rPr>
        <w:t>Agreement on the withdrawal of the United Kingdom of Great Britain and Northern Ireland from the European Union and the European Atomic Energy Community OJ C 384I, 12.11.2019, p. 1–177.</w:t>
      </w:r>
    </w:p>
    <w:p w14:paraId="3F17AE82" w14:textId="77777777" w:rsidR="002E5049" w:rsidRPr="007E5589" w:rsidRDefault="002E5049" w:rsidP="002E5049">
      <w:pPr>
        <w:spacing w:after="120" w:line="360" w:lineRule="auto"/>
        <w:jc w:val="both"/>
        <w:rPr>
          <w:rFonts w:ascii="Times New Roman" w:hAnsi="Times New Roman" w:cs="Times New Roman"/>
          <w:sz w:val="24"/>
          <w:szCs w:val="24"/>
          <w:lang w:val="pt-BR"/>
        </w:rPr>
      </w:pPr>
      <w:r w:rsidRPr="007E5589">
        <w:rPr>
          <w:rFonts w:ascii="Times New Roman" w:hAnsi="Times New Roman" w:cs="Times New Roman"/>
          <w:sz w:val="24"/>
          <w:szCs w:val="24"/>
          <w:lang w:val="pt-BR"/>
        </w:rPr>
        <w:t>Anti-Money Laundering and Counter-Terrorism Financing Amendment Act 2017.</w:t>
      </w:r>
    </w:p>
    <w:p w14:paraId="0A8E891F" w14:textId="77777777" w:rsidR="002E5049" w:rsidRPr="007E5589" w:rsidRDefault="002E5049" w:rsidP="002E5049">
      <w:pPr>
        <w:spacing w:after="120" w:line="360" w:lineRule="auto"/>
        <w:jc w:val="both"/>
        <w:rPr>
          <w:rFonts w:ascii="Times New Roman" w:hAnsi="Times New Roman" w:cs="Times New Roman"/>
          <w:sz w:val="24"/>
          <w:szCs w:val="24"/>
          <w:lang w:val="pt-BR"/>
        </w:rPr>
      </w:pPr>
      <w:r w:rsidRPr="007E5589">
        <w:rPr>
          <w:rFonts w:ascii="Times New Roman" w:hAnsi="Times New Roman" w:cs="Times New Roman"/>
          <w:sz w:val="24"/>
          <w:szCs w:val="24"/>
        </w:rPr>
        <w:t>Bill C-31, An Act to Implement Certain Provisions of the Budget Tabled in Parliament on February 11, 2014 and Other Measures, 2nd Session, 41st Parliament, 2014.</w:t>
      </w:r>
    </w:p>
    <w:p w14:paraId="192F2036" w14:textId="77777777" w:rsidR="002E5049" w:rsidRPr="007E5589" w:rsidRDefault="002E5049" w:rsidP="002E5049">
      <w:pPr>
        <w:spacing w:after="120" w:line="360" w:lineRule="auto"/>
        <w:jc w:val="both"/>
        <w:rPr>
          <w:rFonts w:ascii="Times New Roman" w:hAnsi="Times New Roman" w:cs="Times New Roman"/>
          <w:sz w:val="24"/>
          <w:szCs w:val="24"/>
          <w:lang w:val="pt-BR"/>
        </w:rPr>
      </w:pPr>
      <w:r w:rsidRPr="007E5589">
        <w:rPr>
          <w:rFonts w:ascii="Times New Roman" w:hAnsi="Times New Roman" w:cs="Times New Roman"/>
          <w:sz w:val="24"/>
          <w:szCs w:val="24"/>
          <w:lang w:val="pt-BR"/>
        </w:rPr>
        <w:t>BRASIL. Instrução Normativa da Receita Federal do Brasil nº 1.888, de 03 de maio de 2019. Institui e disciplina a obrigatoriedade de prestação de informações relativas às operações realizadas com criptoativos à Secretaria Especial da Receita Federal do Brasil (RFB). Diário Oficial da União. Brasília, DF, 07 maio 2019. Seção 1, p. 14.</w:t>
      </w:r>
    </w:p>
    <w:p w14:paraId="3FF38911" w14:textId="77777777" w:rsidR="002E5049" w:rsidRPr="00987BEB" w:rsidRDefault="002E5049" w:rsidP="004F5EAE">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lang w:val="en-US"/>
        </w:rPr>
        <w:t>Consolidated version of the Treaty on the Functioning of the European Union OJ C 326, 26.10.2012, p. 47–390.</w:t>
      </w:r>
    </w:p>
    <w:p w14:paraId="7CDE15A8" w14:textId="77777777" w:rsidR="002E5049" w:rsidRPr="00987BEB" w:rsidRDefault="002E5049" w:rsidP="004F5EAE">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lang w:val="en-US"/>
        </w:rPr>
        <w:t>Council Decision of 17 October 2000 concerning arrangements for cooperation between financial intelligence units of the Member States in respect of exchanging information OJ L 271, 24.10.2000, p. 4–6.</w:t>
      </w:r>
    </w:p>
    <w:p w14:paraId="6EF1CEFB" w14:textId="77777777" w:rsidR="002E5049" w:rsidRPr="00987BEB" w:rsidRDefault="002E5049" w:rsidP="004F5EAE">
      <w:pPr>
        <w:spacing w:after="120" w:line="360" w:lineRule="auto"/>
        <w:jc w:val="both"/>
        <w:rPr>
          <w:rFonts w:ascii="Times New Roman" w:hAnsi="Times New Roman" w:cs="Times New Roman"/>
          <w:sz w:val="24"/>
          <w:szCs w:val="24"/>
          <w:lang w:val="en-US"/>
        </w:rPr>
      </w:pPr>
      <w:proofErr w:type="spellStart"/>
      <w:r w:rsidRPr="00987BEB">
        <w:rPr>
          <w:rFonts w:ascii="Times New Roman" w:hAnsi="Times New Roman" w:cs="Times New Roman"/>
          <w:sz w:val="24"/>
          <w:szCs w:val="24"/>
          <w:lang w:val="en-US"/>
        </w:rPr>
        <w:t>Décret</w:t>
      </w:r>
      <w:proofErr w:type="spellEnd"/>
      <w:r w:rsidRPr="00987BEB">
        <w:rPr>
          <w:rFonts w:ascii="Times New Roman" w:hAnsi="Times New Roman" w:cs="Times New Roman"/>
          <w:sz w:val="24"/>
          <w:szCs w:val="24"/>
          <w:lang w:val="en-US"/>
        </w:rPr>
        <w:t xml:space="preserve"> n° 2019-1213 du 21 </w:t>
      </w:r>
      <w:proofErr w:type="spellStart"/>
      <w:r w:rsidRPr="00987BEB">
        <w:rPr>
          <w:rFonts w:ascii="Times New Roman" w:hAnsi="Times New Roman" w:cs="Times New Roman"/>
          <w:sz w:val="24"/>
          <w:szCs w:val="24"/>
          <w:lang w:val="en-US"/>
        </w:rPr>
        <w:t>novembre</w:t>
      </w:r>
      <w:proofErr w:type="spellEnd"/>
      <w:r w:rsidRPr="00987BEB">
        <w:rPr>
          <w:rFonts w:ascii="Times New Roman" w:hAnsi="Times New Roman" w:cs="Times New Roman"/>
          <w:sz w:val="24"/>
          <w:szCs w:val="24"/>
          <w:lang w:val="en-US"/>
        </w:rPr>
        <w:t xml:space="preserve"> 2019 </w:t>
      </w:r>
      <w:proofErr w:type="spellStart"/>
      <w:r w:rsidRPr="00987BEB">
        <w:rPr>
          <w:rFonts w:ascii="Times New Roman" w:hAnsi="Times New Roman" w:cs="Times New Roman"/>
          <w:sz w:val="24"/>
          <w:szCs w:val="24"/>
          <w:lang w:val="en-US"/>
        </w:rPr>
        <w:t>relatif</w:t>
      </w:r>
      <w:proofErr w:type="spellEnd"/>
      <w:r w:rsidRPr="00987BEB">
        <w:rPr>
          <w:rFonts w:ascii="Times New Roman" w:hAnsi="Times New Roman" w:cs="Times New Roman"/>
          <w:sz w:val="24"/>
          <w:szCs w:val="24"/>
          <w:lang w:val="en-US"/>
        </w:rPr>
        <w:t xml:space="preserve"> aux </w:t>
      </w:r>
      <w:proofErr w:type="spellStart"/>
      <w:r w:rsidRPr="00987BEB">
        <w:rPr>
          <w:rFonts w:ascii="Times New Roman" w:hAnsi="Times New Roman" w:cs="Times New Roman"/>
          <w:sz w:val="24"/>
          <w:szCs w:val="24"/>
          <w:lang w:val="en-US"/>
        </w:rPr>
        <w:t>prestataires</w:t>
      </w:r>
      <w:proofErr w:type="spellEnd"/>
      <w:r w:rsidRPr="00987BEB">
        <w:rPr>
          <w:rFonts w:ascii="Times New Roman" w:hAnsi="Times New Roman" w:cs="Times New Roman"/>
          <w:sz w:val="24"/>
          <w:szCs w:val="24"/>
          <w:lang w:val="en-US"/>
        </w:rPr>
        <w:t xml:space="preserve"> de services sur </w:t>
      </w:r>
      <w:proofErr w:type="spellStart"/>
      <w:r w:rsidRPr="00987BEB">
        <w:rPr>
          <w:rFonts w:ascii="Times New Roman" w:hAnsi="Times New Roman" w:cs="Times New Roman"/>
          <w:sz w:val="24"/>
          <w:szCs w:val="24"/>
          <w:lang w:val="en-US"/>
        </w:rPr>
        <w:t>actifs</w:t>
      </w:r>
      <w:proofErr w:type="spellEnd"/>
      <w:r w:rsidRPr="00987BEB">
        <w:rPr>
          <w:rFonts w:ascii="Times New Roman" w:hAnsi="Times New Roman" w:cs="Times New Roman"/>
          <w:sz w:val="24"/>
          <w:szCs w:val="24"/>
          <w:lang w:val="en-US"/>
        </w:rPr>
        <w:t xml:space="preserve"> </w:t>
      </w:r>
      <w:proofErr w:type="spellStart"/>
      <w:r w:rsidRPr="00987BEB">
        <w:rPr>
          <w:rFonts w:ascii="Times New Roman" w:hAnsi="Times New Roman" w:cs="Times New Roman"/>
          <w:sz w:val="24"/>
          <w:szCs w:val="24"/>
          <w:lang w:val="en-US"/>
        </w:rPr>
        <w:t>numériques</w:t>
      </w:r>
      <w:proofErr w:type="spellEnd"/>
      <w:r w:rsidRPr="00987BEB">
        <w:rPr>
          <w:rFonts w:ascii="Times New Roman" w:hAnsi="Times New Roman" w:cs="Times New Roman"/>
          <w:sz w:val="24"/>
          <w:szCs w:val="24"/>
          <w:lang w:val="en-US"/>
        </w:rPr>
        <w:t xml:space="preserve">, JORF n° 0271 du 22 </w:t>
      </w:r>
      <w:proofErr w:type="spellStart"/>
      <w:r w:rsidRPr="00987BEB">
        <w:rPr>
          <w:rFonts w:ascii="Times New Roman" w:hAnsi="Times New Roman" w:cs="Times New Roman"/>
          <w:sz w:val="24"/>
          <w:szCs w:val="24"/>
          <w:lang w:val="en-US"/>
        </w:rPr>
        <w:t>novembre</w:t>
      </w:r>
      <w:proofErr w:type="spellEnd"/>
      <w:r w:rsidRPr="00987BEB">
        <w:rPr>
          <w:rFonts w:ascii="Times New Roman" w:hAnsi="Times New Roman" w:cs="Times New Roman"/>
          <w:sz w:val="24"/>
          <w:szCs w:val="24"/>
          <w:lang w:val="en-US"/>
        </w:rPr>
        <w:t xml:space="preserve"> 2019.</w:t>
      </w:r>
    </w:p>
    <w:p w14:paraId="4D9E6440" w14:textId="77777777" w:rsidR="002E5049" w:rsidRPr="00987BEB" w:rsidRDefault="002E5049" w:rsidP="004F5EAE">
      <w:pPr>
        <w:spacing w:after="120" w:line="360" w:lineRule="auto"/>
        <w:jc w:val="both"/>
        <w:rPr>
          <w:rFonts w:ascii="Times New Roman" w:hAnsi="Times New Roman" w:cs="Times New Roman"/>
          <w:sz w:val="24"/>
          <w:szCs w:val="24"/>
          <w:lang w:val="en-US"/>
        </w:rPr>
      </w:pPr>
      <w:proofErr w:type="spellStart"/>
      <w:r w:rsidRPr="00987BEB">
        <w:rPr>
          <w:rFonts w:ascii="Times New Roman" w:hAnsi="Times New Roman" w:cs="Times New Roman"/>
          <w:sz w:val="24"/>
          <w:szCs w:val="24"/>
          <w:lang w:val="en-US"/>
        </w:rPr>
        <w:t>Decreto</w:t>
      </w:r>
      <w:proofErr w:type="spellEnd"/>
      <w:r w:rsidRPr="00987BEB">
        <w:rPr>
          <w:rFonts w:ascii="Times New Roman" w:hAnsi="Times New Roman" w:cs="Times New Roman"/>
          <w:sz w:val="24"/>
          <w:szCs w:val="24"/>
          <w:lang w:val="en-US"/>
        </w:rPr>
        <w:t xml:space="preserve"> </w:t>
      </w:r>
      <w:proofErr w:type="spellStart"/>
      <w:r w:rsidRPr="00987BEB">
        <w:rPr>
          <w:rFonts w:ascii="Times New Roman" w:hAnsi="Times New Roman" w:cs="Times New Roman"/>
          <w:sz w:val="24"/>
          <w:szCs w:val="24"/>
          <w:lang w:val="en-US"/>
        </w:rPr>
        <w:t>Legislativo</w:t>
      </w:r>
      <w:proofErr w:type="spellEnd"/>
      <w:r w:rsidRPr="00987BEB">
        <w:rPr>
          <w:rFonts w:ascii="Times New Roman" w:hAnsi="Times New Roman" w:cs="Times New Roman"/>
          <w:sz w:val="24"/>
          <w:szCs w:val="24"/>
          <w:lang w:val="en-US"/>
        </w:rPr>
        <w:t xml:space="preserve"> 21 </w:t>
      </w:r>
      <w:proofErr w:type="spellStart"/>
      <w:r w:rsidRPr="00987BEB">
        <w:rPr>
          <w:rFonts w:ascii="Times New Roman" w:hAnsi="Times New Roman" w:cs="Times New Roman"/>
          <w:sz w:val="24"/>
          <w:szCs w:val="24"/>
          <w:lang w:val="en-US"/>
        </w:rPr>
        <w:t>novembre</w:t>
      </w:r>
      <w:proofErr w:type="spellEnd"/>
      <w:r w:rsidRPr="00987BEB">
        <w:rPr>
          <w:rFonts w:ascii="Times New Roman" w:hAnsi="Times New Roman" w:cs="Times New Roman"/>
          <w:sz w:val="24"/>
          <w:szCs w:val="24"/>
          <w:lang w:val="en-US"/>
        </w:rPr>
        <w:t xml:space="preserve"> 2007, n. 231</w:t>
      </w:r>
      <w:r w:rsidRPr="00987BEB">
        <w:rPr>
          <w:rFonts w:ascii="Times New Roman" w:hAnsi="Times New Roman" w:cs="Times New Roman"/>
          <w:sz w:val="24"/>
          <w:szCs w:val="24"/>
        </w:rPr>
        <w:t>, GU n. 290 del 14-12-2007.</w:t>
      </w:r>
    </w:p>
    <w:p w14:paraId="5078C8D6" w14:textId="77777777" w:rsidR="002E5049" w:rsidRPr="00987BEB" w:rsidRDefault="002E5049" w:rsidP="004F5EAE">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lang w:val="en-US"/>
        </w:rPr>
        <w:t>Directive (EU) 2015/2366 of the European Parliament and of the Council of 25 November 2015 on payment services in the internal market, amending Directives 2002/65/EC, 2009/110/EC and 2013/36/EU and Regulation (EU) No 1093/2010, and repealing Directive 2007/64/EC OJ L 337, 23.12.2015, p. 35-127.</w:t>
      </w:r>
    </w:p>
    <w:p w14:paraId="44BD8E90" w14:textId="77777777" w:rsidR="002E5049" w:rsidRPr="00987BEB" w:rsidRDefault="002E5049" w:rsidP="004F5EAE">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lang w:val="en-US"/>
        </w:rPr>
        <w:lastRenderedPageBreak/>
        <w:t>Directive (EU) 2015/849 of the European Parliament and of the Council of 20 May 2015 on the prevention of the use of the financial system for the purposes of money laundering or terrorist financing, amending Regulation (EU) No 648/2012 of the European Parliament and of the Council, and repealing Directive 2005/60/EC of the European Parliament and of the Council and Commission Directive 2006/70/EC OJ L 141, 5.6.2015, p. 73–117</w:t>
      </w:r>
      <w:r w:rsidRPr="00987BEB">
        <w:rPr>
          <w:rFonts w:ascii="Times New Roman" w:hAnsi="Times New Roman" w:cs="Times New Roman"/>
          <w:sz w:val="24"/>
          <w:szCs w:val="24"/>
        </w:rPr>
        <w:t>.</w:t>
      </w:r>
    </w:p>
    <w:p w14:paraId="3712F577" w14:textId="77777777" w:rsidR="002E5049" w:rsidRPr="00987BEB" w:rsidRDefault="002E5049" w:rsidP="004F5EAE">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rPr>
        <w:t>Directive (EU) 2018/843 of the European Parliament and of the Council of 30 May 2018 amending Directive (EU) 2015/849 on the prevention of the use of the financial system for the purposes of money laundering or terrorist financing, and amending Directives 2009/138/EC and 2013/36/EU OJ L 156, 19.6.2018.</w:t>
      </w:r>
    </w:p>
    <w:p w14:paraId="6D5FB72F" w14:textId="77777777" w:rsidR="002E5049" w:rsidRPr="00987BEB" w:rsidRDefault="002E5049" w:rsidP="004F5EAE">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lang w:val="en-US"/>
        </w:rPr>
        <w:t>Directive 2005/60/EC of the European Parliament and of the Council of 26 October 2005 on the prevention of the use of the financial system for the purpose of money laundering and terrorist financing OJ L 309, 25.11.2005, p. 15–36.</w:t>
      </w:r>
    </w:p>
    <w:p w14:paraId="0C0387EE" w14:textId="77777777" w:rsidR="002E5049" w:rsidRPr="00987BEB" w:rsidRDefault="002E5049" w:rsidP="004F5EAE">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lang w:val="en-US"/>
        </w:rPr>
        <w:t>Directive 2009/110/EC of the European Parliament and of the Council of 16 September 2009 on the taking up, pursuit and prudential supervision of the business of electronic money institutions amending Directives 2005/60/EC and 2006/48/EC and repealing Directive 2000/46/EC OJ L 267, 10.10.2009, p. 7–17.</w:t>
      </w:r>
    </w:p>
    <w:p w14:paraId="7E8260B1" w14:textId="77777777" w:rsidR="002E5049" w:rsidRPr="00987BEB" w:rsidRDefault="002E5049" w:rsidP="004F5EAE">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Directive 2013/36/EU of the European Parliament and of the Council of 26 June 2013 on access to the activity of credit institutions and the prudential supervision of credit institutions and investment firms, amending Directive 2002/87/EC and repealing Directives 2006/48/EC and 2006/49/EC.</w:t>
      </w:r>
    </w:p>
    <w:p w14:paraId="6AC45F15" w14:textId="77777777" w:rsidR="002E5049" w:rsidRPr="00987BEB" w:rsidRDefault="002E5049" w:rsidP="004F5EAE">
      <w:pPr>
        <w:spacing w:after="120" w:line="360" w:lineRule="auto"/>
        <w:jc w:val="both"/>
        <w:rPr>
          <w:rFonts w:ascii="Times New Roman" w:hAnsi="Times New Roman" w:cs="Times New Roman"/>
          <w:sz w:val="24"/>
          <w:szCs w:val="24"/>
          <w:lang w:val="en-US"/>
        </w:rPr>
      </w:pPr>
      <w:proofErr w:type="spellStart"/>
      <w:r w:rsidRPr="00987BEB">
        <w:rPr>
          <w:rFonts w:ascii="Times New Roman" w:hAnsi="Times New Roman" w:cs="Times New Roman"/>
          <w:sz w:val="24"/>
          <w:szCs w:val="24"/>
        </w:rPr>
        <w:t>Gesetz</w:t>
      </w:r>
      <w:proofErr w:type="spellEnd"/>
      <w:r w:rsidRPr="00987BEB">
        <w:rPr>
          <w:rFonts w:ascii="Times New Roman" w:hAnsi="Times New Roman" w:cs="Times New Roman"/>
          <w:sz w:val="24"/>
          <w:szCs w:val="24"/>
        </w:rPr>
        <w:t xml:space="preserve"> </w:t>
      </w:r>
      <w:proofErr w:type="spellStart"/>
      <w:r w:rsidRPr="00987BEB">
        <w:rPr>
          <w:rFonts w:ascii="Times New Roman" w:hAnsi="Times New Roman" w:cs="Times New Roman"/>
          <w:sz w:val="24"/>
          <w:szCs w:val="24"/>
        </w:rPr>
        <w:t>zur</w:t>
      </w:r>
      <w:proofErr w:type="spellEnd"/>
      <w:r w:rsidRPr="00987BEB">
        <w:rPr>
          <w:rFonts w:ascii="Times New Roman" w:hAnsi="Times New Roman" w:cs="Times New Roman"/>
          <w:sz w:val="24"/>
          <w:szCs w:val="24"/>
        </w:rPr>
        <w:t xml:space="preserve"> </w:t>
      </w:r>
      <w:proofErr w:type="spellStart"/>
      <w:r w:rsidRPr="00987BEB">
        <w:rPr>
          <w:rFonts w:ascii="Times New Roman" w:hAnsi="Times New Roman" w:cs="Times New Roman"/>
          <w:sz w:val="24"/>
          <w:szCs w:val="24"/>
        </w:rPr>
        <w:t>Umsetzung</w:t>
      </w:r>
      <w:proofErr w:type="spellEnd"/>
      <w:r w:rsidRPr="00987BEB">
        <w:rPr>
          <w:rFonts w:ascii="Times New Roman" w:hAnsi="Times New Roman" w:cs="Times New Roman"/>
          <w:sz w:val="24"/>
          <w:szCs w:val="24"/>
        </w:rPr>
        <w:t xml:space="preserve"> der </w:t>
      </w:r>
      <w:proofErr w:type="spellStart"/>
      <w:r w:rsidRPr="00987BEB">
        <w:rPr>
          <w:rFonts w:ascii="Times New Roman" w:hAnsi="Times New Roman" w:cs="Times New Roman"/>
          <w:sz w:val="24"/>
          <w:szCs w:val="24"/>
        </w:rPr>
        <w:t>Änderungsrichtlinie</w:t>
      </w:r>
      <w:proofErr w:type="spellEnd"/>
      <w:r w:rsidRPr="00987BEB">
        <w:rPr>
          <w:rFonts w:ascii="Times New Roman" w:hAnsi="Times New Roman" w:cs="Times New Roman"/>
          <w:sz w:val="24"/>
          <w:szCs w:val="24"/>
        </w:rPr>
        <w:t xml:space="preserve"> </w:t>
      </w:r>
      <w:proofErr w:type="spellStart"/>
      <w:r w:rsidRPr="00987BEB">
        <w:rPr>
          <w:rFonts w:ascii="Times New Roman" w:hAnsi="Times New Roman" w:cs="Times New Roman"/>
          <w:sz w:val="24"/>
          <w:szCs w:val="24"/>
        </w:rPr>
        <w:t>zur</w:t>
      </w:r>
      <w:proofErr w:type="spellEnd"/>
      <w:r w:rsidRPr="00987BEB">
        <w:rPr>
          <w:rFonts w:ascii="Times New Roman" w:hAnsi="Times New Roman" w:cs="Times New Roman"/>
          <w:sz w:val="24"/>
          <w:szCs w:val="24"/>
        </w:rPr>
        <w:t xml:space="preserve"> </w:t>
      </w:r>
      <w:proofErr w:type="spellStart"/>
      <w:r w:rsidRPr="00987BEB">
        <w:rPr>
          <w:rFonts w:ascii="Times New Roman" w:hAnsi="Times New Roman" w:cs="Times New Roman"/>
          <w:sz w:val="24"/>
          <w:szCs w:val="24"/>
        </w:rPr>
        <w:t>Vierten</w:t>
      </w:r>
      <w:proofErr w:type="spellEnd"/>
      <w:r w:rsidRPr="00987BEB">
        <w:rPr>
          <w:rFonts w:ascii="Times New Roman" w:hAnsi="Times New Roman" w:cs="Times New Roman"/>
          <w:sz w:val="24"/>
          <w:szCs w:val="24"/>
        </w:rPr>
        <w:t xml:space="preserve"> EU-</w:t>
      </w:r>
      <w:proofErr w:type="spellStart"/>
      <w:r w:rsidRPr="00987BEB">
        <w:rPr>
          <w:rFonts w:ascii="Times New Roman" w:hAnsi="Times New Roman" w:cs="Times New Roman"/>
          <w:sz w:val="24"/>
          <w:szCs w:val="24"/>
        </w:rPr>
        <w:t>Geldwäscherichtlinie</w:t>
      </w:r>
      <w:proofErr w:type="spellEnd"/>
      <w:r w:rsidRPr="00987BEB">
        <w:rPr>
          <w:rFonts w:ascii="Times New Roman" w:hAnsi="Times New Roman" w:cs="Times New Roman"/>
          <w:sz w:val="24"/>
          <w:szCs w:val="24"/>
        </w:rPr>
        <w:t xml:space="preserve">, </w:t>
      </w:r>
      <w:proofErr w:type="spellStart"/>
      <w:r w:rsidRPr="00987BEB">
        <w:rPr>
          <w:rFonts w:ascii="Times New Roman" w:hAnsi="Times New Roman" w:cs="Times New Roman"/>
          <w:sz w:val="24"/>
          <w:szCs w:val="24"/>
        </w:rPr>
        <w:t>Vom</w:t>
      </w:r>
      <w:proofErr w:type="spellEnd"/>
      <w:r w:rsidRPr="00987BEB">
        <w:rPr>
          <w:rFonts w:ascii="Times New Roman" w:hAnsi="Times New Roman" w:cs="Times New Roman"/>
          <w:sz w:val="24"/>
          <w:szCs w:val="24"/>
        </w:rPr>
        <w:t xml:space="preserve"> 12. </w:t>
      </w:r>
      <w:proofErr w:type="spellStart"/>
      <w:r w:rsidRPr="00987BEB">
        <w:rPr>
          <w:rFonts w:ascii="Times New Roman" w:hAnsi="Times New Roman" w:cs="Times New Roman"/>
          <w:sz w:val="24"/>
          <w:szCs w:val="24"/>
        </w:rPr>
        <w:t>Dezember</w:t>
      </w:r>
      <w:proofErr w:type="spellEnd"/>
      <w:r w:rsidRPr="00987BEB">
        <w:rPr>
          <w:rFonts w:ascii="Times New Roman" w:hAnsi="Times New Roman" w:cs="Times New Roman"/>
          <w:sz w:val="24"/>
          <w:szCs w:val="24"/>
        </w:rPr>
        <w:t xml:space="preserve"> 2019 (</w:t>
      </w:r>
      <w:proofErr w:type="spellStart"/>
      <w:r w:rsidRPr="00987BEB">
        <w:rPr>
          <w:rFonts w:ascii="Times New Roman" w:hAnsi="Times New Roman" w:cs="Times New Roman"/>
          <w:sz w:val="24"/>
          <w:szCs w:val="24"/>
        </w:rPr>
        <w:t>BGBl</w:t>
      </w:r>
      <w:proofErr w:type="spellEnd"/>
      <w:r w:rsidRPr="00987BEB">
        <w:rPr>
          <w:rFonts w:ascii="Times New Roman" w:hAnsi="Times New Roman" w:cs="Times New Roman"/>
          <w:sz w:val="24"/>
          <w:szCs w:val="24"/>
        </w:rPr>
        <w:t>. I S. 2623).</w:t>
      </w:r>
    </w:p>
    <w:p w14:paraId="0A80A158" w14:textId="77777777" w:rsidR="002E5049" w:rsidRDefault="002E5049" w:rsidP="004F5EAE">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lang w:val="en-US"/>
        </w:rPr>
        <w:t>Measures Against Money Laundering Act.</w:t>
      </w:r>
    </w:p>
    <w:p w14:paraId="03BA5210" w14:textId="77777777" w:rsidR="002E5049" w:rsidRPr="00987BEB" w:rsidRDefault="002E5049" w:rsidP="004F5EAE">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lang w:val="en-US"/>
        </w:rPr>
        <w:t xml:space="preserve">Regulation (EU) 2019/2175 of the European Parliament and of the Council of 18 December 2019 amending Regulation (EU) No 1093/2010 establishing a European Supervisory Authority (European Banking Authority), Regulation (EU) No 1094/2010 establishing a European Supervisory Authority (European Insurance and Occupational Pensions Authority), Regulation (EU) No 1095/2010 establishing a European Supervisory Authority (European Securities and Markets Authority), Regulation (EU) No 600/2014 on markets in financial instruments, Regulation (EU) 2016/1011 on indices used as benchmarks in financial instruments and financial contracts or to measure the performance of investment funds, and Regulation (EU) </w:t>
      </w:r>
      <w:r w:rsidRPr="00987BEB">
        <w:rPr>
          <w:rFonts w:ascii="Times New Roman" w:hAnsi="Times New Roman" w:cs="Times New Roman"/>
          <w:sz w:val="24"/>
          <w:szCs w:val="24"/>
          <w:lang w:val="en-US"/>
        </w:rPr>
        <w:lastRenderedPageBreak/>
        <w:t>2015/847 on information accompanying transfers of funds PE/75/2019/REV/1 OJ L 334, 27.12.2019, p. 1–145.</w:t>
      </w:r>
    </w:p>
    <w:p w14:paraId="1DEADFEB" w14:textId="77777777" w:rsidR="002E5049" w:rsidRPr="00987BEB" w:rsidRDefault="002E5049" w:rsidP="004F5EAE">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lang w:val="en-US"/>
        </w:rPr>
        <w:t>The Money Laundering and Terrorist Financing (Amendment) Regulations 2019.</w:t>
      </w:r>
    </w:p>
    <w:p w14:paraId="3686C43A" w14:textId="77777777" w:rsidR="004F5EAE" w:rsidRDefault="004F5EAE" w:rsidP="00987BEB">
      <w:pPr>
        <w:spacing w:after="120" w:line="360" w:lineRule="auto"/>
        <w:jc w:val="both"/>
        <w:rPr>
          <w:rFonts w:ascii="Times New Roman" w:hAnsi="Times New Roman" w:cs="Times New Roman"/>
          <w:sz w:val="24"/>
          <w:szCs w:val="24"/>
        </w:rPr>
      </w:pPr>
    </w:p>
    <w:p w14:paraId="2E36AB80" w14:textId="35E1E9B9" w:rsidR="004F5EAE" w:rsidRPr="002E5049" w:rsidRDefault="002E5049" w:rsidP="00987BEB">
      <w:pPr>
        <w:spacing w:after="120" w:line="360" w:lineRule="auto"/>
        <w:jc w:val="both"/>
        <w:rPr>
          <w:rFonts w:ascii="Times New Roman" w:hAnsi="Times New Roman" w:cs="Times New Roman"/>
          <w:b/>
          <w:bCs/>
          <w:sz w:val="24"/>
          <w:szCs w:val="24"/>
        </w:rPr>
      </w:pPr>
      <w:r w:rsidRPr="002E5049">
        <w:rPr>
          <w:rFonts w:ascii="Times New Roman" w:hAnsi="Times New Roman" w:cs="Times New Roman"/>
          <w:b/>
          <w:bCs/>
          <w:sz w:val="24"/>
          <w:szCs w:val="24"/>
        </w:rPr>
        <w:t>References</w:t>
      </w:r>
    </w:p>
    <w:p w14:paraId="3E8C43E2" w14:textId="77777777" w:rsidR="00124D75" w:rsidRPr="00987BEB" w:rsidRDefault="00124D75" w:rsidP="00987BEB">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rPr>
        <w:t>Aleksandra Bal, </w:t>
      </w:r>
      <w:r w:rsidRPr="00987BEB">
        <w:rPr>
          <w:rFonts w:ascii="Times New Roman" w:hAnsi="Times New Roman" w:cs="Times New Roman"/>
          <w:i/>
          <w:iCs/>
          <w:sz w:val="24"/>
          <w:szCs w:val="24"/>
        </w:rPr>
        <w:t>Taxation, Virtual Currency and Blockchain</w:t>
      </w:r>
      <w:r w:rsidRPr="00987BEB">
        <w:rPr>
          <w:rFonts w:ascii="Times New Roman" w:hAnsi="Times New Roman" w:cs="Times New Roman"/>
          <w:sz w:val="24"/>
          <w:szCs w:val="24"/>
        </w:rPr>
        <w:t> (Wolters Kluwer 2018).</w:t>
      </w:r>
    </w:p>
    <w:p w14:paraId="26150E58" w14:textId="77777777" w:rsidR="00124D75" w:rsidRPr="00987BEB" w:rsidRDefault="00124D75" w:rsidP="00987BEB">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rPr>
        <w:t xml:space="preserve">Alexander </w:t>
      </w:r>
      <w:proofErr w:type="spellStart"/>
      <w:r w:rsidRPr="00987BEB">
        <w:rPr>
          <w:rFonts w:ascii="Times New Roman" w:hAnsi="Times New Roman" w:cs="Times New Roman"/>
          <w:sz w:val="24"/>
          <w:szCs w:val="24"/>
        </w:rPr>
        <w:t>Snyers</w:t>
      </w:r>
      <w:proofErr w:type="spellEnd"/>
      <w:r w:rsidRPr="00987BEB">
        <w:rPr>
          <w:rFonts w:ascii="Times New Roman" w:hAnsi="Times New Roman" w:cs="Times New Roman"/>
          <w:sz w:val="24"/>
          <w:szCs w:val="24"/>
        </w:rPr>
        <w:t xml:space="preserve"> and Karl Pauwels, 'ICOs In Belgium: Down the Rabbit Hole into Legal No Man's Land? Part 1' (2018) 29 International Company and Commercial Law Review 483-510.</w:t>
      </w:r>
    </w:p>
    <w:p w14:paraId="10D40643" w14:textId="47EE9656" w:rsidR="00124D75" w:rsidRPr="00987BEB" w:rsidRDefault="00124D75" w:rsidP="00987BEB">
      <w:pPr>
        <w:spacing w:after="120" w:line="360" w:lineRule="auto"/>
        <w:jc w:val="both"/>
        <w:rPr>
          <w:rFonts w:ascii="Times New Roman" w:hAnsi="Times New Roman" w:cs="Times New Roman"/>
          <w:sz w:val="24"/>
          <w:szCs w:val="24"/>
          <w:lang w:val="en-US"/>
        </w:rPr>
      </w:pPr>
      <w:proofErr w:type="spellStart"/>
      <w:r w:rsidRPr="00987BEB">
        <w:rPr>
          <w:rFonts w:ascii="Times New Roman" w:hAnsi="Times New Roman" w:cs="Times New Roman"/>
          <w:sz w:val="24"/>
          <w:szCs w:val="24"/>
        </w:rPr>
        <w:t>Apolline</w:t>
      </w:r>
      <w:proofErr w:type="spellEnd"/>
      <w:r w:rsidRPr="00987BEB">
        <w:rPr>
          <w:rFonts w:ascii="Times New Roman" w:hAnsi="Times New Roman" w:cs="Times New Roman"/>
          <w:sz w:val="24"/>
          <w:szCs w:val="24"/>
        </w:rPr>
        <w:t xml:space="preserve"> </w:t>
      </w:r>
      <w:proofErr w:type="spellStart"/>
      <w:r w:rsidRPr="00987BEB">
        <w:rPr>
          <w:rFonts w:ascii="Times New Roman" w:hAnsi="Times New Roman" w:cs="Times New Roman"/>
          <w:sz w:val="24"/>
          <w:szCs w:val="24"/>
        </w:rPr>
        <w:t>Blandin</w:t>
      </w:r>
      <w:proofErr w:type="spellEnd"/>
      <w:r w:rsidRPr="00987BEB">
        <w:rPr>
          <w:rFonts w:ascii="Times New Roman" w:hAnsi="Times New Roman" w:cs="Times New Roman"/>
          <w:sz w:val="24"/>
          <w:szCs w:val="24"/>
        </w:rPr>
        <w:t xml:space="preserve"> and others, </w:t>
      </w:r>
      <w:r w:rsidRPr="00987BEB">
        <w:rPr>
          <w:rFonts w:ascii="Times New Roman" w:hAnsi="Times New Roman" w:cs="Times New Roman"/>
          <w:i/>
          <w:iCs/>
          <w:sz w:val="24"/>
          <w:szCs w:val="24"/>
        </w:rPr>
        <w:t xml:space="preserve">Global </w:t>
      </w:r>
      <w:proofErr w:type="spellStart"/>
      <w:r w:rsidRPr="00987BEB">
        <w:rPr>
          <w:rFonts w:ascii="Times New Roman" w:hAnsi="Times New Roman" w:cs="Times New Roman"/>
          <w:i/>
          <w:iCs/>
          <w:sz w:val="24"/>
          <w:szCs w:val="24"/>
        </w:rPr>
        <w:t>Cryptoasset</w:t>
      </w:r>
      <w:proofErr w:type="spellEnd"/>
      <w:r w:rsidRPr="00987BEB">
        <w:rPr>
          <w:rFonts w:ascii="Times New Roman" w:hAnsi="Times New Roman" w:cs="Times New Roman"/>
          <w:i/>
          <w:iCs/>
          <w:sz w:val="24"/>
          <w:szCs w:val="24"/>
        </w:rPr>
        <w:t xml:space="preserve"> Regulatory Landscape Study</w:t>
      </w:r>
      <w:r w:rsidRPr="00987BEB">
        <w:rPr>
          <w:rFonts w:ascii="Times New Roman" w:hAnsi="Times New Roman" w:cs="Times New Roman"/>
          <w:sz w:val="24"/>
          <w:szCs w:val="24"/>
        </w:rPr>
        <w:t> (Cambridge Centre for Alternative Finance 2019)</w:t>
      </w:r>
      <w:r>
        <w:rPr>
          <w:rFonts w:ascii="Times New Roman" w:hAnsi="Times New Roman" w:cs="Times New Roman"/>
          <w:sz w:val="24"/>
          <w:szCs w:val="24"/>
        </w:rPr>
        <w:t>.</w:t>
      </w:r>
    </w:p>
    <w:p w14:paraId="3100E5F9" w14:textId="77777777" w:rsidR="00124D75" w:rsidRPr="00987BEB" w:rsidRDefault="00124D75" w:rsidP="00987BEB">
      <w:pPr>
        <w:spacing w:after="120" w:line="360" w:lineRule="auto"/>
        <w:jc w:val="both"/>
        <w:rPr>
          <w:rFonts w:ascii="Times New Roman" w:hAnsi="Times New Roman" w:cs="Times New Roman"/>
          <w:sz w:val="24"/>
          <w:szCs w:val="24"/>
          <w:lang w:val="en-US"/>
        </w:rPr>
      </w:pPr>
      <w:proofErr w:type="spellStart"/>
      <w:r w:rsidRPr="00987BEB">
        <w:rPr>
          <w:rFonts w:ascii="Times New Roman" w:hAnsi="Times New Roman" w:cs="Times New Roman"/>
          <w:sz w:val="24"/>
          <w:szCs w:val="24"/>
        </w:rPr>
        <w:t>Carolin</w:t>
      </w:r>
      <w:proofErr w:type="spellEnd"/>
      <w:r w:rsidRPr="00987BEB">
        <w:rPr>
          <w:rFonts w:ascii="Times New Roman" w:hAnsi="Times New Roman" w:cs="Times New Roman"/>
          <w:sz w:val="24"/>
          <w:szCs w:val="24"/>
        </w:rPr>
        <w:t xml:space="preserve"> Kaiser, 'The Classification of Virtual Currencies and Mobile Payments in Terms of The Old and New European Anti-Money Laundering Frameworks', </w:t>
      </w:r>
      <w:r w:rsidRPr="00987BEB">
        <w:rPr>
          <w:rFonts w:ascii="Times New Roman" w:hAnsi="Times New Roman" w:cs="Times New Roman"/>
          <w:i/>
          <w:iCs/>
          <w:sz w:val="24"/>
          <w:szCs w:val="24"/>
        </w:rPr>
        <w:t>Bitcoin and Mobile Payments: Constructing a European Union Framework</w:t>
      </w:r>
      <w:r w:rsidRPr="00987BEB">
        <w:rPr>
          <w:rFonts w:ascii="Times New Roman" w:hAnsi="Times New Roman" w:cs="Times New Roman"/>
          <w:sz w:val="24"/>
          <w:szCs w:val="24"/>
        </w:rPr>
        <w:t> (Palgrave Macmillan 2016).</w:t>
      </w:r>
    </w:p>
    <w:p w14:paraId="0A834CB0" w14:textId="77777777" w:rsidR="00124D75" w:rsidRPr="00987BEB" w:rsidRDefault="00124D75" w:rsidP="00987BEB">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rPr>
        <w:t>Christopher P. Buttigieg and others, 'Anti-money laundering regulation of crypto assets in Europe’s smallest member state' (2019) 13 Law and Financial Markets Review 211-227.</w:t>
      </w:r>
    </w:p>
    <w:p w14:paraId="6A21BD7F"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Commission, Directorate-General for Financial Stability, Financial Services and Capital Markets Union, 'Minutes of The Meeting, Payment Systems Market Expert Group' (2014</w:t>
      </w:r>
      <w:r>
        <w:rPr>
          <w:rFonts w:ascii="Times New Roman" w:hAnsi="Times New Roman" w:cs="Times New Roman"/>
          <w:sz w:val="24"/>
          <w:szCs w:val="24"/>
        </w:rPr>
        <w:t>)</w:t>
      </w:r>
      <w:r w:rsidRPr="00987BEB">
        <w:rPr>
          <w:rFonts w:ascii="Times New Roman" w:hAnsi="Times New Roman" w:cs="Times New Roman"/>
          <w:sz w:val="24"/>
          <w:szCs w:val="24"/>
        </w:rPr>
        <w:t>.</w:t>
      </w:r>
    </w:p>
    <w:p w14:paraId="2B6FAEDE"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Commission, 'Report from the Commission to the European Parliament and to the Council on the assessment of the risks of money laundering and terrorist financing affecting the internal market and relating to cross-border situations' COM (2017) 340 final.</w:t>
      </w:r>
    </w:p>
    <w:p w14:paraId="76944C8B"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 xml:space="preserve">Daniel </w:t>
      </w:r>
      <w:proofErr w:type="spellStart"/>
      <w:r w:rsidRPr="00987BEB">
        <w:rPr>
          <w:rFonts w:ascii="Times New Roman" w:hAnsi="Times New Roman" w:cs="Times New Roman"/>
          <w:sz w:val="24"/>
          <w:szCs w:val="24"/>
        </w:rPr>
        <w:t>Adeoyé</w:t>
      </w:r>
      <w:proofErr w:type="spellEnd"/>
      <w:r w:rsidRPr="00987BEB">
        <w:rPr>
          <w:rFonts w:ascii="Times New Roman" w:hAnsi="Times New Roman" w:cs="Times New Roman"/>
          <w:sz w:val="24"/>
          <w:szCs w:val="24"/>
        </w:rPr>
        <w:t xml:space="preserve"> Leslie, </w:t>
      </w:r>
      <w:r w:rsidRPr="00987BEB">
        <w:rPr>
          <w:rFonts w:ascii="Times New Roman" w:hAnsi="Times New Roman" w:cs="Times New Roman"/>
          <w:i/>
          <w:iCs/>
          <w:sz w:val="24"/>
          <w:szCs w:val="24"/>
        </w:rPr>
        <w:t xml:space="preserve">Legal Principles for Combatting </w:t>
      </w:r>
      <w:proofErr w:type="spellStart"/>
      <w:r w:rsidRPr="00987BEB">
        <w:rPr>
          <w:rFonts w:ascii="Times New Roman" w:hAnsi="Times New Roman" w:cs="Times New Roman"/>
          <w:i/>
          <w:iCs/>
          <w:sz w:val="24"/>
          <w:szCs w:val="24"/>
        </w:rPr>
        <w:t>Cyberlaundering</w:t>
      </w:r>
      <w:proofErr w:type="spellEnd"/>
      <w:r w:rsidRPr="00987BEB">
        <w:rPr>
          <w:rFonts w:ascii="Times New Roman" w:hAnsi="Times New Roman" w:cs="Times New Roman"/>
          <w:sz w:val="24"/>
          <w:szCs w:val="24"/>
        </w:rPr>
        <w:t> (Springer 2014).</w:t>
      </w:r>
    </w:p>
    <w:p w14:paraId="32495ECB"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 xml:space="preserve">David Carlisle and Kayla </w:t>
      </w:r>
      <w:proofErr w:type="spellStart"/>
      <w:r w:rsidRPr="00987BEB">
        <w:rPr>
          <w:rFonts w:ascii="Times New Roman" w:hAnsi="Times New Roman" w:cs="Times New Roman"/>
          <w:sz w:val="24"/>
          <w:szCs w:val="24"/>
        </w:rPr>
        <w:t>Izenman</w:t>
      </w:r>
      <w:proofErr w:type="spellEnd"/>
      <w:r w:rsidRPr="00987BEB">
        <w:rPr>
          <w:rFonts w:ascii="Times New Roman" w:hAnsi="Times New Roman" w:cs="Times New Roman"/>
          <w:sz w:val="24"/>
          <w:szCs w:val="24"/>
        </w:rPr>
        <w:t>, 'Closing the Crypto Gap: Guidance for Countering North Korean Cryptocurrency Activity in Southeast Asia', Royal United Services Institute for Defence and Security Studies Occasional Paper, April 2019.</w:t>
      </w:r>
    </w:p>
    <w:p w14:paraId="43C6539C"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David Connell, 'Do EU Regulations Combating Money Laundering and the Financing of Terrorism adequately tackle Cryptocurrencies? The case of Ireland' (2018) 21 Irish Journal of European Law 68-90.</w:t>
      </w:r>
    </w:p>
    <w:p w14:paraId="2A82548D" w14:textId="77777777" w:rsidR="00124D75" w:rsidRPr="00987BEB" w:rsidRDefault="00124D75" w:rsidP="00987BEB">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rPr>
        <w:t xml:space="preserve">Dirk A. </w:t>
      </w:r>
      <w:proofErr w:type="spellStart"/>
      <w:r w:rsidRPr="00987BEB">
        <w:rPr>
          <w:rFonts w:ascii="Times New Roman" w:hAnsi="Times New Roman" w:cs="Times New Roman"/>
          <w:sz w:val="24"/>
          <w:szCs w:val="24"/>
        </w:rPr>
        <w:t>Zetzsche</w:t>
      </w:r>
      <w:proofErr w:type="spellEnd"/>
      <w:r w:rsidRPr="00987BEB">
        <w:rPr>
          <w:rFonts w:ascii="Times New Roman" w:hAnsi="Times New Roman" w:cs="Times New Roman"/>
          <w:sz w:val="24"/>
          <w:szCs w:val="24"/>
        </w:rPr>
        <w:t xml:space="preserve"> and others, 'The ICO Gold Rush: It’s a Scam, It’s a Bubble, It’s a Super Challenge for Regulators' (2019) 60 Harvard International Law Journal 267-315.</w:t>
      </w:r>
    </w:p>
    <w:p w14:paraId="64F266A2" w14:textId="77777777" w:rsidR="00124D75"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lastRenderedPageBreak/>
        <w:t xml:space="preserve">Domenico </w:t>
      </w:r>
      <w:proofErr w:type="spellStart"/>
      <w:r w:rsidRPr="00987BEB">
        <w:rPr>
          <w:rFonts w:ascii="Times New Roman" w:hAnsi="Times New Roman" w:cs="Times New Roman"/>
          <w:sz w:val="24"/>
          <w:szCs w:val="24"/>
        </w:rPr>
        <w:t>Siclari</w:t>
      </w:r>
      <w:proofErr w:type="spellEnd"/>
      <w:r w:rsidRPr="00987BEB">
        <w:rPr>
          <w:rFonts w:ascii="Times New Roman" w:hAnsi="Times New Roman" w:cs="Times New Roman"/>
          <w:sz w:val="24"/>
          <w:szCs w:val="24"/>
        </w:rPr>
        <w:t xml:space="preserve">, 'Anti-Money Laundering EU Law and Network of Agents', </w:t>
      </w:r>
      <w:r w:rsidRPr="00987BEB">
        <w:rPr>
          <w:rFonts w:ascii="Times New Roman" w:hAnsi="Times New Roman" w:cs="Times New Roman"/>
          <w:i/>
          <w:iCs/>
          <w:sz w:val="24"/>
          <w:szCs w:val="24"/>
        </w:rPr>
        <w:t>The New Anti-Money Laundering Law: First Perspectives on the 4th European Union Directive</w:t>
      </w:r>
      <w:r w:rsidRPr="00987BEB">
        <w:rPr>
          <w:rFonts w:ascii="Times New Roman" w:hAnsi="Times New Roman" w:cs="Times New Roman"/>
          <w:sz w:val="24"/>
          <w:szCs w:val="24"/>
        </w:rPr>
        <w:t xml:space="preserve"> (Palgrave Macmillan 2016).</w:t>
      </w:r>
    </w:p>
    <w:p w14:paraId="425844A5" w14:textId="77777777" w:rsidR="00124D75" w:rsidRPr="007E5589" w:rsidRDefault="00124D75" w:rsidP="007E5589">
      <w:pPr>
        <w:spacing w:after="120" w:line="360" w:lineRule="auto"/>
        <w:jc w:val="both"/>
        <w:rPr>
          <w:rFonts w:ascii="Times New Roman" w:hAnsi="Times New Roman" w:cs="Times New Roman"/>
          <w:sz w:val="24"/>
          <w:szCs w:val="24"/>
          <w:lang w:val="pt-BR"/>
        </w:rPr>
      </w:pPr>
      <w:r w:rsidRPr="007E5589">
        <w:rPr>
          <w:rFonts w:ascii="Times New Roman" w:hAnsi="Times New Roman" w:cs="Times New Roman"/>
          <w:sz w:val="24"/>
          <w:szCs w:val="24"/>
        </w:rPr>
        <w:t>Edgar G. Sanchez, 'Crypto-Currencies: The 21st Century's Money Laundering and Tax Havens' (2017) 28 University of Florida Journal of Law and Public Policy 167-191.</w:t>
      </w:r>
    </w:p>
    <w:p w14:paraId="4F4E4814" w14:textId="77777777" w:rsidR="00124D75" w:rsidRPr="007E5589" w:rsidRDefault="00124D75" w:rsidP="007E5589">
      <w:pPr>
        <w:spacing w:after="120" w:line="360" w:lineRule="auto"/>
        <w:jc w:val="both"/>
        <w:rPr>
          <w:rFonts w:ascii="Times New Roman" w:hAnsi="Times New Roman" w:cs="Times New Roman"/>
          <w:sz w:val="24"/>
          <w:szCs w:val="24"/>
          <w:lang w:val="pt-BR"/>
        </w:rPr>
      </w:pPr>
      <w:r w:rsidRPr="007E5589">
        <w:rPr>
          <w:rFonts w:ascii="Times New Roman" w:hAnsi="Times New Roman" w:cs="Times New Roman"/>
          <w:sz w:val="24"/>
          <w:szCs w:val="24"/>
        </w:rPr>
        <w:t>'EU Members Adopt Tougher Crypto Rules Than AML Directive Requires' (</w:t>
      </w:r>
      <w:r w:rsidRPr="007E5589">
        <w:rPr>
          <w:rFonts w:ascii="Times New Roman" w:hAnsi="Times New Roman" w:cs="Times New Roman"/>
          <w:i/>
          <w:iCs/>
          <w:sz w:val="24"/>
          <w:szCs w:val="24"/>
        </w:rPr>
        <w:t>Financial Accountant</w:t>
      </w:r>
      <w:r w:rsidRPr="007E5589">
        <w:rPr>
          <w:rFonts w:ascii="Times New Roman" w:hAnsi="Times New Roman" w:cs="Times New Roman"/>
          <w:sz w:val="24"/>
          <w:szCs w:val="24"/>
        </w:rPr>
        <w:t>, 2019) &lt;https://www.financialaccountant.co.uk/news/eu-members-adopt-tougher-crypto-rules-than-aml-directive-requires&gt; accessed 4 May 2020.</w:t>
      </w:r>
    </w:p>
    <w:p w14:paraId="093014D1" w14:textId="77777777" w:rsidR="00124D75" w:rsidRPr="00987BEB" w:rsidRDefault="00124D75" w:rsidP="00987BEB">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rPr>
        <w:t xml:space="preserve">Eugenia </w:t>
      </w:r>
      <w:proofErr w:type="spellStart"/>
      <w:r w:rsidRPr="00987BEB">
        <w:rPr>
          <w:rFonts w:ascii="Times New Roman" w:hAnsi="Times New Roman" w:cs="Times New Roman"/>
          <w:sz w:val="24"/>
          <w:szCs w:val="24"/>
        </w:rPr>
        <w:t>Macchiavello</w:t>
      </w:r>
      <w:proofErr w:type="spellEnd"/>
      <w:r w:rsidRPr="00987BEB">
        <w:rPr>
          <w:rFonts w:ascii="Times New Roman" w:hAnsi="Times New Roman" w:cs="Times New Roman"/>
          <w:sz w:val="24"/>
          <w:szCs w:val="24"/>
        </w:rPr>
        <w:t>, 'FinTech Regulation from A Cross-Sectoral Perspective', </w:t>
      </w:r>
      <w:r w:rsidRPr="00987BEB">
        <w:rPr>
          <w:rFonts w:ascii="Times New Roman" w:hAnsi="Times New Roman" w:cs="Times New Roman"/>
          <w:i/>
          <w:iCs/>
          <w:sz w:val="24"/>
          <w:szCs w:val="24"/>
        </w:rPr>
        <w:t>European Financial Regulation: Levelling the Cross-Sectoral Playing Field</w:t>
      </w:r>
      <w:r w:rsidRPr="00987BEB">
        <w:rPr>
          <w:rFonts w:ascii="Times New Roman" w:hAnsi="Times New Roman" w:cs="Times New Roman"/>
          <w:sz w:val="24"/>
          <w:szCs w:val="24"/>
        </w:rPr>
        <w:t> (Hart 2019).</w:t>
      </w:r>
    </w:p>
    <w:p w14:paraId="149B3879"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European Banking Authority, 'Opinion On ‘Virtual Currencies’' (2014).</w:t>
      </w:r>
    </w:p>
    <w:p w14:paraId="21D22352"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European Central Bank Crypto-Assets Task Force, 'Crypto-Assets: Implications for financial stability, monetary policy, and payments and market infrastructures', ECB Occasional Paper Series No 223/May 2019.</w:t>
      </w:r>
    </w:p>
    <w:p w14:paraId="15A1BE75" w14:textId="77777777" w:rsidR="00124D75" w:rsidRPr="00987BEB" w:rsidRDefault="00124D75" w:rsidP="00987BEB">
      <w:pPr>
        <w:spacing w:after="120" w:line="360" w:lineRule="auto"/>
        <w:jc w:val="both"/>
        <w:rPr>
          <w:rFonts w:ascii="Times New Roman" w:hAnsi="Times New Roman" w:cs="Times New Roman"/>
          <w:sz w:val="24"/>
          <w:szCs w:val="24"/>
          <w:lang w:val="pt-BR"/>
        </w:rPr>
      </w:pPr>
      <w:r w:rsidRPr="00987BEB">
        <w:rPr>
          <w:rFonts w:ascii="Times New Roman" w:hAnsi="Times New Roman" w:cs="Times New Roman"/>
          <w:sz w:val="24"/>
          <w:szCs w:val="24"/>
          <w:lang w:val="en-US"/>
        </w:rPr>
        <w:t>European Central Bank, '</w:t>
      </w:r>
      <w:r w:rsidRPr="00987BEB">
        <w:rPr>
          <w:rFonts w:ascii="Times New Roman" w:hAnsi="Times New Roman" w:cs="Times New Roman"/>
          <w:sz w:val="24"/>
          <w:szCs w:val="24"/>
        </w:rPr>
        <w:t>Opinion of the European Central Bank of 12 October 2016 on a proposal for a directive of the European Parliament and of the Council amending Directive (EU) 2015/849 on the prevention of the use of the financial system for the purposes of money laundering or terrorist financing and amending Directive 2009/101/EC</w:t>
      </w:r>
      <w:r w:rsidRPr="00987BEB">
        <w:rPr>
          <w:rFonts w:ascii="Times New Roman" w:hAnsi="Times New Roman" w:cs="Times New Roman"/>
          <w:sz w:val="24"/>
          <w:szCs w:val="24"/>
          <w:lang w:val="en-US"/>
        </w:rPr>
        <w:t>' (2016</w:t>
      </w:r>
      <w:r>
        <w:rPr>
          <w:rFonts w:ascii="Times New Roman" w:hAnsi="Times New Roman" w:cs="Times New Roman"/>
          <w:sz w:val="24"/>
          <w:szCs w:val="24"/>
          <w:lang w:val="en-US"/>
        </w:rPr>
        <w:t>)</w:t>
      </w:r>
      <w:r w:rsidRPr="00987BEB">
        <w:rPr>
          <w:rFonts w:ascii="Times New Roman" w:hAnsi="Times New Roman" w:cs="Times New Roman"/>
          <w:sz w:val="24"/>
          <w:szCs w:val="24"/>
          <w:lang w:val="en-US"/>
        </w:rPr>
        <w:t>.</w:t>
      </w:r>
    </w:p>
    <w:p w14:paraId="791454C9"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European Central Bank, 'Virtual Currency Schemes' (2012).</w:t>
      </w:r>
    </w:p>
    <w:p w14:paraId="1C058B66" w14:textId="77777777" w:rsidR="00124D75" w:rsidRPr="00987BEB" w:rsidRDefault="00124D75" w:rsidP="00987BEB">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rPr>
        <w:t>European Parliament, 'Cryptocurrencies and Blockchain: Legal Context and Implications for Financial Crime, Money Laundering and Tax Evasion' (2018).</w:t>
      </w:r>
    </w:p>
    <w:p w14:paraId="1BC17C95"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European Parliament, 'Virtual currencies and terrorist financing: assessing the risks and evaluating responses' (2018).</w:t>
      </w:r>
    </w:p>
    <w:p w14:paraId="68D52044" w14:textId="77777777" w:rsidR="00124D75" w:rsidRPr="00987BEB" w:rsidRDefault="00124D75" w:rsidP="00987BEB">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rPr>
        <w:t>European Securities and Markets Authority, 'Advice: Initial Coin Offerings and Crypto-Assets' (2019).</w:t>
      </w:r>
    </w:p>
    <w:p w14:paraId="5343BD20"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European Union Agency for Law Enforcement Cooperation, 'Changes in modus operandi of Islamic State terrorist attacks' (2016).</w:t>
      </w:r>
    </w:p>
    <w:p w14:paraId="68BB4818"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European Union Agency for Law Enforcement Cooperation, 'Internet Organised Crime Threat Assessment' (2019).</w:t>
      </w:r>
    </w:p>
    <w:p w14:paraId="73C9A7E4" w14:textId="77777777" w:rsidR="00124D75" w:rsidRPr="00987BEB" w:rsidRDefault="00124D75" w:rsidP="00987BEB">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rPr>
        <w:lastRenderedPageBreak/>
        <w:t>Financial Action Task Force and Council of Europe, 'Money Laundering Through Money Remittance and Currency Exchange Providers' (2010</w:t>
      </w:r>
      <w:r>
        <w:rPr>
          <w:rFonts w:ascii="Times New Roman" w:hAnsi="Times New Roman" w:cs="Times New Roman"/>
          <w:sz w:val="24"/>
          <w:szCs w:val="24"/>
        </w:rPr>
        <w:t>)</w:t>
      </w:r>
      <w:r w:rsidRPr="00987BEB">
        <w:rPr>
          <w:rFonts w:ascii="Times New Roman" w:hAnsi="Times New Roman" w:cs="Times New Roman"/>
          <w:sz w:val="24"/>
          <w:szCs w:val="24"/>
        </w:rPr>
        <w:t>.</w:t>
      </w:r>
    </w:p>
    <w:p w14:paraId="1A3ADA9B" w14:textId="77777777" w:rsidR="00124D75" w:rsidRDefault="00124D75" w:rsidP="007E5589">
      <w:pPr>
        <w:spacing w:after="120" w:line="360" w:lineRule="auto"/>
        <w:jc w:val="both"/>
        <w:rPr>
          <w:rFonts w:ascii="Times New Roman" w:hAnsi="Times New Roman" w:cs="Times New Roman"/>
          <w:sz w:val="24"/>
          <w:szCs w:val="24"/>
          <w:lang w:val="pt-BR"/>
        </w:rPr>
      </w:pPr>
      <w:r w:rsidRPr="007E5589">
        <w:rPr>
          <w:rFonts w:ascii="Times New Roman" w:hAnsi="Times New Roman" w:cs="Times New Roman"/>
          <w:sz w:val="24"/>
          <w:szCs w:val="24"/>
          <w:lang w:val="pt-BR"/>
        </w:rPr>
        <w:t>Financial Action Task Force, 'Guidance for a Risk-Based Approach to Virtual Assets and Virtual Asset Service Providers' (2019).</w:t>
      </w:r>
    </w:p>
    <w:p w14:paraId="5EE11AB0" w14:textId="77777777" w:rsidR="00124D75" w:rsidRPr="007E5589" w:rsidRDefault="00124D75" w:rsidP="007E5589">
      <w:pPr>
        <w:spacing w:after="120" w:line="360" w:lineRule="auto"/>
        <w:jc w:val="both"/>
        <w:rPr>
          <w:rFonts w:ascii="Times New Roman" w:hAnsi="Times New Roman" w:cs="Times New Roman"/>
          <w:sz w:val="24"/>
          <w:szCs w:val="24"/>
          <w:lang w:val="pt-BR"/>
        </w:rPr>
      </w:pPr>
      <w:r w:rsidRPr="00E80A61">
        <w:rPr>
          <w:rFonts w:ascii="Times New Roman" w:hAnsi="Times New Roman" w:cs="Times New Roman"/>
          <w:sz w:val="24"/>
          <w:szCs w:val="24"/>
        </w:rPr>
        <w:t>Financial Action Task Force, 'Report on New Payment Methods' (2006)</w:t>
      </w:r>
      <w:r>
        <w:rPr>
          <w:rFonts w:ascii="Times New Roman" w:hAnsi="Times New Roman" w:cs="Times New Roman"/>
          <w:sz w:val="24"/>
          <w:szCs w:val="24"/>
        </w:rPr>
        <w:t>.</w:t>
      </w:r>
    </w:p>
    <w:p w14:paraId="7CC9BC7B" w14:textId="77777777" w:rsidR="00124D75" w:rsidRPr="00987BEB" w:rsidRDefault="00124D75" w:rsidP="00987BEB">
      <w:pPr>
        <w:spacing w:after="120" w:line="360" w:lineRule="auto"/>
        <w:jc w:val="both"/>
        <w:rPr>
          <w:rFonts w:ascii="Times New Roman" w:hAnsi="Times New Roman" w:cs="Times New Roman"/>
          <w:i/>
          <w:iCs/>
          <w:sz w:val="24"/>
          <w:szCs w:val="24"/>
        </w:rPr>
      </w:pPr>
      <w:r w:rsidRPr="00987BEB">
        <w:rPr>
          <w:rFonts w:ascii="Times New Roman" w:hAnsi="Times New Roman" w:cs="Times New Roman"/>
          <w:sz w:val="24"/>
          <w:szCs w:val="24"/>
        </w:rPr>
        <w:t xml:space="preserve">Garrick Hileman and Michel </w:t>
      </w:r>
      <w:proofErr w:type="spellStart"/>
      <w:r w:rsidRPr="00987BEB">
        <w:rPr>
          <w:rFonts w:ascii="Times New Roman" w:hAnsi="Times New Roman" w:cs="Times New Roman"/>
          <w:sz w:val="24"/>
          <w:szCs w:val="24"/>
        </w:rPr>
        <w:t>Rauchs</w:t>
      </w:r>
      <w:proofErr w:type="spellEnd"/>
      <w:r w:rsidRPr="00987BEB">
        <w:rPr>
          <w:rFonts w:ascii="Times New Roman" w:hAnsi="Times New Roman" w:cs="Times New Roman"/>
          <w:sz w:val="24"/>
          <w:szCs w:val="24"/>
        </w:rPr>
        <w:t>, </w:t>
      </w:r>
      <w:r w:rsidRPr="00987BEB">
        <w:rPr>
          <w:rFonts w:ascii="Times New Roman" w:hAnsi="Times New Roman" w:cs="Times New Roman"/>
          <w:i/>
          <w:iCs/>
          <w:sz w:val="24"/>
          <w:szCs w:val="24"/>
        </w:rPr>
        <w:t>Global Cryptocurrency Benchmarking Study</w:t>
      </w:r>
      <w:r w:rsidRPr="00987BEB">
        <w:rPr>
          <w:rFonts w:ascii="Times New Roman" w:hAnsi="Times New Roman" w:cs="Times New Roman"/>
          <w:sz w:val="24"/>
          <w:szCs w:val="24"/>
        </w:rPr>
        <w:t> (Cambridge Centre for Alternative Finance 2017).</w:t>
      </w:r>
    </w:p>
    <w:p w14:paraId="6250C620"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General Secretariat of the Council of the European Union, 'Proposal for A Directive of The European Parliament and Of the Council on The Prevention of The Use of The Financial System for The Purpose of Money Laundering and Terrorist Financing' (2015).</w:t>
      </w:r>
    </w:p>
    <w:p w14:paraId="4FCD94D0"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iCs/>
          <w:sz w:val="24"/>
          <w:szCs w:val="24"/>
        </w:rPr>
        <w:t>'Guide on Privacy Coins: Comparison of Anonymous Cryptocurrencies' (</w:t>
      </w:r>
      <w:r w:rsidRPr="00987BEB">
        <w:rPr>
          <w:rFonts w:ascii="Times New Roman" w:hAnsi="Times New Roman" w:cs="Times New Roman"/>
          <w:i/>
          <w:sz w:val="24"/>
          <w:szCs w:val="24"/>
        </w:rPr>
        <w:t>Master the Crypto: Cryptocurrency Investment Trading Guides</w:t>
      </w:r>
      <w:r w:rsidRPr="00987BEB">
        <w:rPr>
          <w:rFonts w:ascii="Times New Roman" w:hAnsi="Times New Roman" w:cs="Times New Roman"/>
          <w:iCs/>
          <w:sz w:val="24"/>
          <w:szCs w:val="24"/>
        </w:rPr>
        <w:t>) &lt;https://masterthecrypto.com/privacy-coins-anonymous-cryptocurrencies/&gt; accessed 3 May 2020.</w:t>
      </w:r>
    </w:p>
    <w:p w14:paraId="1CD2CB94" w14:textId="77777777" w:rsidR="00124D75" w:rsidRPr="00987BEB" w:rsidRDefault="00124D75" w:rsidP="00987BEB">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rPr>
        <w:t>Jonathan Rohr and Aaron Wright, 'Blockchain-based Token Sales, Initial Coin Offerings, and the Democratization of Public Capital Markets' (2019) 70 Hastings Law Journal 463-524.</w:t>
      </w:r>
    </w:p>
    <w:p w14:paraId="5DD8A256"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 xml:space="preserve">Joshua Kirschenbaum and Nicolas </w:t>
      </w:r>
      <w:proofErr w:type="spellStart"/>
      <w:r w:rsidRPr="00987BEB">
        <w:rPr>
          <w:rFonts w:ascii="Times New Roman" w:hAnsi="Times New Roman" w:cs="Times New Roman"/>
          <w:sz w:val="24"/>
          <w:szCs w:val="24"/>
        </w:rPr>
        <w:t>Véron</w:t>
      </w:r>
      <w:proofErr w:type="spellEnd"/>
      <w:r w:rsidRPr="00987BEB">
        <w:rPr>
          <w:rFonts w:ascii="Times New Roman" w:hAnsi="Times New Roman" w:cs="Times New Roman"/>
          <w:sz w:val="24"/>
          <w:szCs w:val="24"/>
        </w:rPr>
        <w:t>, 'A better European Union architecture to fight money laundering', Bruegel Policy Contribution Issue n˚ 19, October 2018.</w:t>
      </w:r>
    </w:p>
    <w:p w14:paraId="5AD8B893" w14:textId="77777777" w:rsidR="00124D75" w:rsidRPr="007E5589" w:rsidRDefault="00124D75" w:rsidP="007E5589">
      <w:pPr>
        <w:spacing w:after="120" w:line="360" w:lineRule="auto"/>
        <w:jc w:val="both"/>
        <w:rPr>
          <w:rFonts w:ascii="Times New Roman" w:hAnsi="Times New Roman" w:cs="Times New Roman"/>
          <w:sz w:val="24"/>
          <w:szCs w:val="24"/>
          <w:lang w:val="pt-BR"/>
        </w:rPr>
      </w:pPr>
      <w:r w:rsidRPr="007E5589">
        <w:rPr>
          <w:rFonts w:ascii="Times New Roman" w:hAnsi="Times New Roman" w:cs="Times New Roman"/>
          <w:sz w:val="24"/>
          <w:szCs w:val="24"/>
        </w:rPr>
        <w:t xml:space="preserve">K. K. R. Choo, 'Cryptocurrency and virtual currency: Corruption and money laundering/terrorism financing risks?', </w:t>
      </w:r>
      <w:r w:rsidRPr="007E5589">
        <w:rPr>
          <w:rFonts w:ascii="Times New Roman" w:hAnsi="Times New Roman" w:cs="Times New Roman"/>
          <w:i/>
          <w:iCs/>
          <w:sz w:val="24"/>
          <w:szCs w:val="24"/>
        </w:rPr>
        <w:t>Handbook of Digital Currency:</w:t>
      </w:r>
      <w:r w:rsidRPr="007E5589">
        <w:rPr>
          <w:rFonts w:ascii="Times New Roman" w:hAnsi="Times New Roman" w:cs="Times New Roman"/>
          <w:sz w:val="24"/>
          <w:szCs w:val="24"/>
        </w:rPr>
        <w:t xml:space="preserve"> </w:t>
      </w:r>
      <w:r w:rsidRPr="007E5589">
        <w:rPr>
          <w:rFonts w:ascii="Times New Roman" w:hAnsi="Times New Roman" w:cs="Times New Roman"/>
          <w:i/>
          <w:iCs/>
          <w:sz w:val="24"/>
          <w:szCs w:val="24"/>
        </w:rPr>
        <w:t>Bitcoin, Innovation, Financial Instruments, and Big Data</w:t>
      </w:r>
      <w:r w:rsidRPr="007E5589">
        <w:rPr>
          <w:rFonts w:ascii="Times New Roman" w:hAnsi="Times New Roman" w:cs="Times New Roman"/>
          <w:sz w:val="24"/>
          <w:szCs w:val="24"/>
        </w:rPr>
        <w:t xml:space="preserve"> (Academic Press 2015).</w:t>
      </w:r>
    </w:p>
    <w:p w14:paraId="472DB87E" w14:textId="77777777" w:rsidR="00124D75" w:rsidRPr="00987BEB" w:rsidRDefault="00124D75" w:rsidP="00987BEB">
      <w:pPr>
        <w:spacing w:after="120" w:line="360" w:lineRule="auto"/>
        <w:jc w:val="both"/>
        <w:rPr>
          <w:rFonts w:ascii="Times New Roman" w:hAnsi="Times New Roman" w:cs="Times New Roman"/>
          <w:sz w:val="24"/>
          <w:szCs w:val="24"/>
        </w:rPr>
      </w:pPr>
      <w:proofErr w:type="spellStart"/>
      <w:r w:rsidRPr="00987BEB">
        <w:rPr>
          <w:rFonts w:ascii="Times New Roman" w:hAnsi="Times New Roman" w:cs="Times New Roman"/>
          <w:sz w:val="24"/>
          <w:szCs w:val="24"/>
        </w:rPr>
        <w:t>Kaido</w:t>
      </w:r>
      <w:proofErr w:type="spellEnd"/>
      <w:r w:rsidRPr="00987BEB">
        <w:rPr>
          <w:rFonts w:ascii="Times New Roman" w:hAnsi="Times New Roman" w:cs="Times New Roman"/>
          <w:sz w:val="24"/>
          <w:szCs w:val="24"/>
        </w:rPr>
        <w:t xml:space="preserve"> </w:t>
      </w:r>
      <w:proofErr w:type="spellStart"/>
      <w:r w:rsidRPr="00987BEB">
        <w:rPr>
          <w:rFonts w:ascii="Times New Roman" w:hAnsi="Times New Roman" w:cs="Times New Roman"/>
          <w:sz w:val="24"/>
          <w:szCs w:val="24"/>
        </w:rPr>
        <w:t>Künnapas</w:t>
      </w:r>
      <w:proofErr w:type="spellEnd"/>
      <w:r w:rsidRPr="00987BEB">
        <w:rPr>
          <w:rFonts w:ascii="Times New Roman" w:hAnsi="Times New Roman" w:cs="Times New Roman"/>
          <w:sz w:val="24"/>
          <w:szCs w:val="24"/>
        </w:rPr>
        <w:t xml:space="preserve">, 'From Bitcoin to Smart Contracts: Legal Revolution or Evolution from The Perspective Of </w:t>
      </w:r>
      <w:r w:rsidRPr="00987BEB">
        <w:rPr>
          <w:rFonts w:ascii="Times New Roman" w:hAnsi="Times New Roman" w:cs="Times New Roman"/>
          <w:i/>
          <w:iCs/>
          <w:sz w:val="24"/>
          <w:szCs w:val="24"/>
        </w:rPr>
        <w:t xml:space="preserve">De </w:t>
      </w:r>
      <w:proofErr w:type="spellStart"/>
      <w:r w:rsidRPr="00987BEB">
        <w:rPr>
          <w:rFonts w:ascii="Times New Roman" w:hAnsi="Times New Roman" w:cs="Times New Roman"/>
          <w:i/>
          <w:iCs/>
          <w:sz w:val="24"/>
          <w:szCs w:val="24"/>
        </w:rPr>
        <w:t>Lege</w:t>
      </w:r>
      <w:proofErr w:type="spellEnd"/>
      <w:r w:rsidRPr="00987BEB">
        <w:rPr>
          <w:rFonts w:ascii="Times New Roman" w:hAnsi="Times New Roman" w:cs="Times New Roman"/>
          <w:i/>
          <w:iCs/>
          <w:sz w:val="24"/>
          <w:szCs w:val="24"/>
        </w:rPr>
        <w:t xml:space="preserve"> Ferenda</w:t>
      </w:r>
      <w:r w:rsidRPr="00987BEB">
        <w:rPr>
          <w:rFonts w:ascii="Times New Roman" w:hAnsi="Times New Roman" w:cs="Times New Roman"/>
          <w:sz w:val="24"/>
          <w:szCs w:val="24"/>
        </w:rPr>
        <w:t>?', </w:t>
      </w:r>
      <w:r w:rsidRPr="00987BEB">
        <w:rPr>
          <w:rFonts w:ascii="Times New Roman" w:hAnsi="Times New Roman" w:cs="Times New Roman"/>
          <w:i/>
          <w:iCs/>
          <w:sz w:val="24"/>
          <w:szCs w:val="24"/>
        </w:rPr>
        <w:t xml:space="preserve">The Future of Law and </w:t>
      </w:r>
      <w:proofErr w:type="spellStart"/>
      <w:r w:rsidRPr="00987BEB">
        <w:rPr>
          <w:rFonts w:ascii="Times New Roman" w:hAnsi="Times New Roman" w:cs="Times New Roman"/>
          <w:i/>
          <w:iCs/>
          <w:sz w:val="24"/>
          <w:szCs w:val="24"/>
        </w:rPr>
        <w:t>eTechnologies</w:t>
      </w:r>
      <w:proofErr w:type="spellEnd"/>
      <w:r w:rsidRPr="00987BEB">
        <w:rPr>
          <w:rFonts w:ascii="Times New Roman" w:hAnsi="Times New Roman" w:cs="Times New Roman"/>
          <w:sz w:val="24"/>
          <w:szCs w:val="24"/>
        </w:rPr>
        <w:t> (Springer 2016).</w:t>
      </w:r>
    </w:p>
    <w:p w14:paraId="400B927D" w14:textId="77777777" w:rsidR="00124D75" w:rsidRPr="00987BEB" w:rsidRDefault="00124D75" w:rsidP="00987BEB">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rPr>
        <w:t>Lars </w:t>
      </w:r>
      <w:proofErr w:type="spellStart"/>
      <w:r w:rsidRPr="00987BEB">
        <w:rPr>
          <w:rFonts w:ascii="Times New Roman" w:hAnsi="Times New Roman" w:cs="Times New Roman"/>
          <w:sz w:val="24"/>
          <w:szCs w:val="24"/>
        </w:rPr>
        <w:t>Haffke</w:t>
      </w:r>
      <w:proofErr w:type="spellEnd"/>
      <w:r w:rsidRPr="00987BEB">
        <w:rPr>
          <w:rFonts w:ascii="Times New Roman" w:hAnsi="Times New Roman" w:cs="Times New Roman"/>
          <w:sz w:val="24"/>
          <w:szCs w:val="24"/>
        </w:rPr>
        <w:t>, Mathias </w:t>
      </w:r>
      <w:proofErr w:type="spellStart"/>
      <w:r w:rsidRPr="00987BEB">
        <w:rPr>
          <w:rFonts w:ascii="Times New Roman" w:hAnsi="Times New Roman" w:cs="Times New Roman"/>
          <w:sz w:val="24"/>
          <w:szCs w:val="24"/>
        </w:rPr>
        <w:t>Fromberger</w:t>
      </w:r>
      <w:proofErr w:type="spellEnd"/>
      <w:r w:rsidRPr="00987BEB">
        <w:rPr>
          <w:rFonts w:ascii="Times New Roman" w:hAnsi="Times New Roman" w:cs="Times New Roman"/>
          <w:sz w:val="24"/>
          <w:szCs w:val="24"/>
        </w:rPr>
        <w:t xml:space="preserve"> and Patrick Zimmermann, 'Cryptocurrencies and anti</w:t>
      </w:r>
      <w:r w:rsidRPr="00987BEB">
        <w:rPr>
          <w:rFonts w:ascii="Times New Roman" w:hAnsi="Times New Roman" w:cs="Times New Roman"/>
          <w:sz w:val="24"/>
          <w:szCs w:val="24"/>
        </w:rPr>
        <w:noBreakHyphen/>
        <w:t>money laundering: the shortcomings of the fifth AML Directive (EU) and how to address them' [2019] Journal of Banking Regulation.</w:t>
      </w:r>
    </w:p>
    <w:p w14:paraId="16FFA1A6" w14:textId="77777777" w:rsidR="00124D75" w:rsidRPr="00987BEB" w:rsidRDefault="00124D75" w:rsidP="00987BEB">
      <w:pPr>
        <w:spacing w:after="120" w:line="360" w:lineRule="auto"/>
        <w:jc w:val="both"/>
        <w:rPr>
          <w:rFonts w:ascii="Times New Roman" w:hAnsi="Times New Roman" w:cs="Times New Roman"/>
          <w:sz w:val="24"/>
          <w:szCs w:val="24"/>
        </w:rPr>
      </w:pPr>
      <w:r w:rsidRPr="00CE0AFD">
        <w:rPr>
          <w:rFonts w:ascii="Times New Roman" w:hAnsi="Times New Roman" w:cs="Times New Roman"/>
          <w:sz w:val="24"/>
          <w:szCs w:val="24"/>
        </w:rPr>
        <w:t>Lindsay X. Lin, 'Deconstructing Decentralized Exchanges' [2019] Stanford Journal of Blockchain Law &amp; Policy</w:t>
      </w:r>
      <w:r>
        <w:rPr>
          <w:rFonts w:ascii="Times New Roman" w:hAnsi="Times New Roman" w:cs="Times New Roman"/>
          <w:sz w:val="24"/>
          <w:szCs w:val="24"/>
        </w:rPr>
        <w:t>.</w:t>
      </w:r>
    </w:p>
    <w:p w14:paraId="67E927C8" w14:textId="77777777" w:rsidR="00124D75" w:rsidRPr="007E5589" w:rsidRDefault="00124D75" w:rsidP="007E5589">
      <w:pPr>
        <w:spacing w:after="120" w:line="360" w:lineRule="auto"/>
        <w:jc w:val="both"/>
        <w:rPr>
          <w:rFonts w:ascii="Times New Roman" w:hAnsi="Times New Roman" w:cs="Times New Roman"/>
          <w:sz w:val="24"/>
          <w:szCs w:val="24"/>
          <w:lang w:val="pt-BR"/>
        </w:rPr>
      </w:pPr>
      <w:r w:rsidRPr="007E5589">
        <w:rPr>
          <w:rFonts w:ascii="Times New Roman" w:hAnsi="Times New Roman" w:cs="Times New Roman"/>
          <w:sz w:val="24"/>
          <w:szCs w:val="24"/>
          <w:lang w:val="pt-BR"/>
        </w:rPr>
        <w:t xml:space="preserve">Lorna Woods, Philippa Watson and Marios Costa, </w:t>
      </w:r>
      <w:r w:rsidRPr="007E5589">
        <w:rPr>
          <w:rFonts w:ascii="Times New Roman" w:hAnsi="Times New Roman" w:cs="Times New Roman"/>
          <w:i/>
          <w:iCs/>
          <w:sz w:val="24"/>
          <w:szCs w:val="24"/>
          <w:lang w:val="pt-BR"/>
        </w:rPr>
        <w:t>Steiner &amp; Woods EU Law</w:t>
      </w:r>
      <w:r w:rsidRPr="007E5589">
        <w:rPr>
          <w:rFonts w:ascii="Times New Roman" w:hAnsi="Times New Roman" w:cs="Times New Roman"/>
          <w:sz w:val="24"/>
          <w:szCs w:val="24"/>
          <w:lang w:val="pt-BR"/>
        </w:rPr>
        <w:t xml:space="preserve"> (13th edn, Oxford University Press 2017).</w:t>
      </w:r>
    </w:p>
    <w:p w14:paraId="76A8129F" w14:textId="77777777" w:rsidR="00124D75" w:rsidRPr="007E5589" w:rsidRDefault="00124D75" w:rsidP="007E5589">
      <w:pPr>
        <w:spacing w:after="120" w:line="360" w:lineRule="auto"/>
        <w:jc w:val="both"/>
        <w:rPr>
          <w:rFonts w:ascii="Times New Roman" w:hAnsi="Times New Roman" w:cs="Times New Roman"/>
          <w:sz w:val="24"/>
          <w:szCs w:val="24"/>
          <w:lang w:val="pt-BR"/>
        </w:rPr>
      </w:pPr>
      <w:r w:rsidRPr="007E5589">
        <w:rPr>
          <w:rFonts w:ascii="Times New Roman" w:hAnsi="Times New Roman" w:cs="Times New Roman"/>
          <w:sz w:val="24"/>
          <w:szCs w:val="24"/>
        </w:rPr>
        <w:lastRenderedPageBreak/>
        <w:t xml:space="preserve">M. </w:t>
      </w:r>
      <w:proofErr w:type="spellStart"/>
      <w:r w:rsidRPr="007E5589">
        <w:rPr>
          <w:rFonts w:ascii="Times New Roman" w:hAnsi="Times New Roman" w:cs="Times New Roman"/>
          <w:sz w:val="24"/>
          <w:szCs w:val="24"/>
        </w:rPr>
        <w:t>Siems</w:t>
      </w:r>
      <w:proofErr w:type="spellEnd"/>
      <w:r w:rsidRPr="007E5589">
        <w:rPr>
          <w:rFonts w:ascii="Times New Roman" w:hAnsi="Times New Roman" w:cs="Times New Roman"/>
          <w:sz w:val="24"/>
          <w:szCs w:val="24"/>
        </w:rPr>
        <w:t xml:space="preserve">, 'A World without Law Professors', </w:t>
      </w:r>
      <w:r w:rsidRPr="007E5589">
        <w:rPr>
          <w:rFonts w:ascii="Times New Roman" w:hAnsi="Times New Roman" w:cs="Times New Roman"/>
          <w:i/>
          <w:iCs/>
          <w:sz w:val="24"/>
          <w:szCs w:val="24"/>
        </w:rPr>
        <w:t>Methodologies of Legal Research: Which Kind of Method for What Kind of Discipline?</w:t>
      </w:r>
      <w:r w:rsidRPr="007E5589">
        <w:rPr>
          <w:rFonts w:ascii="Times New Roman" w:hAnsi="Times New Roman" w:cs="Times New Roman"/>
          <w:sz w:val="24"/>
          <w:szCs w:val="24"/>
        </w:rPr>
        <w:t xml:space="preserve"> (Hart 2011).</w:t>
      </w:r>
    </w:p>
    <w:p w14:paraId="28DF5E57" w14:textId="77777777" w:rsidR="00124D75" w:rsidRPr="00987BEB" w:rsidRDefault="00124D75" w:rsidP="00987BEB">
      <w:pPr>
        <w:spacing w:after="120" w:line="360" w:lineRule="auto"/>
        <w:jc w:val="both"/>
        <w:rPr>
          <w:rFonts w:ascii="Times New Roman" w:hAnsi="Times New Roman" w:cs="Times New Roman"/>
          <w:sz w:val="24"/>
          <w:szCs w:val="24"/>
          <w:lang w:val="pt-BR"/>
        </w:rPr>
      </w:pPr>
      <w:r w:rsidRPr="00987BEB">
        <w:rPr>
          <w:rFonts w:ascii="Times New Roman" w:hAnsi="Times New Roman" w:cs="Times New Roman"/>
          <w:sz w:val="24"/>
          <w:szCs w:val="24"/>
        </w:rPr>
        <w:t>Malcolm Campbell-Verduyn, 'Bitcoin, Crypto-Coins, And Global Anti-Money Laundering Governance' (2018) 69 Crime, Law and Social Change 283–305.</w:t>
      </w:r>
    </w:p>
    <w:p w14:paraId="1C32FDC2"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lang w:val="en-US"/>
        </w:rPr>
        <w:t xml:space="preserve">Malte </w:t>
      </w:r>
      <w:proofErr w:type="spellStart"/>
      <w:r w:rsidRPr="00987BEB">
        <w:rPr>
          <w:rFonts w:ascii="Times New Roman" w:hAnsi="Times New Roman" w:cs="Times New Roman"/>
          <w:sz w:val="24"/>
          <w:szCs w:val="24"/>
          <w:lang w:val="en-US"/>
        </w:rPr>
        <w:t>Möser</w:t>
      </w:r>
      <w:proofErr w:type="spellEnd"/>
      <w:r w:rsidRPr="00987BEB">
        <w:rPr>
          <w:rFonts w:ascii="Times New Roman" w:hAnsi="Times New Roman" w:cs="Times New Roman"/>
          <w:sz w:val="24"/>
          <w:szCs w:val="24"/>
          <w:lang w:val="en-US"/>
        </w:rPr>
        <w:t xml:space="preserve">, 'Anonymity of Bitcoin Transactions: An Analysis of Mixing Services', </w:t>
      </w:r>
      <w:r w:rsidRPr="00987BEB">
        <w:rPr>
          <w:rFonts w:ascii="Times New Roman" w:hAnsi="Times New Roman" w:cs="Times New Roman"/>
          <w:i/>
          <w:iCs/>
          <w:sz w:val="24"/>
          <w:szCs w:val="24"/>
          <w:lang w:val="en-US"/>
        </w:rPr>
        <w:t>Münster Bitcoin Conference</w:t>
      </w:r>
      <w:r w:rsidRPr="00987BEB">
        <w:rPr>
          <w:rFonts w:ascii="Times New Roman" w:hAnsi="Times New Roman" w:cs="Times New Roman"/>
          <w:sz w:val="24"/>
          <w:szCs w:val="24"/>
          <w:lang w:val="en-US"/>
        </w:rPr>
        <w:t xml:space="preserve"> (2013).</w:t>
      </w:r>
    </w:p>
    <w:p w14:paraId="6B3DC042" w14:textId="77777777" w:rsidR="00124D75"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Mo Egan, 'A Bit(Coin) Of A Problem for The EU AML Framework', </w:t>
      </w:r>
      <w:r w:rsidRPr="00987BEB">
        <w:rPr>
          <w:rFonts w:ascii="Times New Roman" w:hAnsi="Times New Roman" w:cs="Times New Roman"/>
          <w:i/>
          <w:iCs/>
          <w:sz w:val="24"/>
          <w:szCs w:val="24"/>
        </w:rPr>
        <w:t>The Palgrave Handbook of Criminal and Terrorism Financing Law</w:t>
      </w:r>
      <w:r w:rsidRPr="00987BEB">
        <w:rPr>
          <w:rFonts w:ascii="Times New Roman" w:hAnsi="Times New Roman" w:cs="Times New Roman"/>
          <w:sz w:val="24"/>
          <w:szCs w:val="24"/>
        </w:rPr>
        <w:t> (Palgrave Macmillan 2018).</w:t>
      </w:r>
    </w:p>
    <w:p w14:paraId="3B059A70" w14:textId="77777777" w:rsidR="00124D75" w:rsidRPr="00987BEB" w:rsidRDefault="00124D75" w:rsidP="00987BEB">
      <w:pPr>
        <w:spacing w:after="120" w:line="360" w:lineRule="auto"/>
        <w:jc w:val="both"/>
        <w:rPr>
          <w:rFonts w:ascii="Times New Roman" w:hAnsi="Times New Roman" w:cs="Times New Roman"/>
          <w:sz w:val="24"/>
          <w:szCs w:val="24"/>
          <w:lang w:val="en-US"/>
        </w:rPr>
      </w:pPr>
      <w:r w:rsidRPr="00124D75">
        <w:rPr>
          <w:rFonts w:ascii="Times New Roman" w:hAnsi="Times New Roman" w:cs="Times New Roman"/>
          <w:sz w:val="24"/>
          <w:szCs w:val="24"/>
        </w:rPr>
        <w:t>'Money Laundering' (</w:t>
      </w:r>
      <w:r w:rsidRPr="00124D75">
        <w:rPr>
          <w:rFonts w:ascii="Times New Roman" w:hAnsi="Times New Roman" w:cs="Times New Roman"/>
          <w:i/>
          <w:iCs/>
          <w:sz w:val="24"/>
          <w:szCs w:val="24"/>
        </w:rPr>
        <w:t>Financial Action Task Force</w:t>
      </w:r>
      <w:r w:rsidRPr="00124D75">
        <w:rPr>
          <w:rFonts w:ascii="Times New Roman" w:hAnsi="Times New Roman" w:cs="Times New Roman"/>
          <w:sz w:val="24"/>
          <w:szCs w:val="24"/>
        </w:rPr>
        <w:t>, 2011) &lt;https://www.fatf-gafi.org/faq/moneylaundering/&gt; accessed 9 March 2020.</w:t>
      </w:r>
    </w:p>
    <w:p w14:paraId="61029B45"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 xml:space="preserve">Niels </w:t>
      </w:r>
      <w:proofErr w:type="spellStart"/>
      <w:r w:rsidRPr="00987BEB">
        <w:rPr>
          <w:rFonts w:ascii="Times New Roman" w:hAnsi="Times New Roman" w:cs="Times New Roman"/>
          <w:sz w:val="24"/>
          <w:szCs w:val="24"/>
        </w:rPr>
        <w:t>Vandezande</w:t>
      </w:r>
      <w:proofErr w:type="spellEnd"/>
      <w:r w:rsidRPr="00987BEB">
        <w:rPr>
          <w:rFonts w:ascii="Times New Roman" w:hAnsi="Times New Roman" w:cs="Times New Roman"/>
          <w:sz w:val="24"/>
          <w:szCs w:val="24"/>
        </w:rPr>
        <w:t>, 'Virtual Currencies Under EU Anti-Money Laundering Law' (2017) 33 Computer Law &amp; Security Review 341-353.</w:t>
      </w:r>
    </w:p>
    <w:p w14:paraId="3C0B8513" w14:textId="77777777" w:rsidR="00124D75" w:rsidRPr="007E5589" w:rsidRDefault="00124D75" w:rsidP="007E5589">
      <w:pPr>
        <w:spacing w:after="120" w:line="360" w:lineRule="auto"/>
        <w:jc w:val="both"/>
        <w:rPr>
          <w:rFonts w:ascii="Times New Roman" w:hAnsi="Times New Roman" w:cs="Times New Roman"/>
          <w:sz w:val="24"/>
          <w:szCs w:val="24"/>
        </w:rPr>
      </w:pPr>
      <w:r w:rsidRPr="007E5589">
        <w:rPr>
          <w:rFonts w:ascii="Times New Roman" w:hAnsi="Times New Roman" w:cs="Times New Roman"/>
          <w:sz w:val="24"/>
          <w:szCs w:val="24"/>
          <w:lang w:val="en-US"/>
        </w:rPr>
        <w:t xml:space="preserve">Nikola </w:t>
      </w:r>
      <w:proofErr w:type="spellStart"/>
      <w:r w:rsidRPr="007E5589">
        <w:rPr>
          <w:rFonts w:ascii="Times New Roman" w:hAnsi="Times New Roman" w:cs="Times New Roman"/>
          <w:sz w:val="24"/>
          <w:szCs w:val="24"/>
          <w:lang w:val="en-US"/>
        </w:rPr>
        <w:t>Paunović</w:t>
      </w:r>
      <w:proofErr w:type="spellEnd"/>
      <w:r w:rsidRPr="007E5589">
        <w:rPr>
          <w:rFonts w:ascii="Times New Roman" w:hAnsi="Times New Roman" w:cs="Times New Roman"/>
          <w:sz w:val="24"/>
          <w:szCs w:val="24"/>
          <w:lang w:val="en-US"/>
        </w:rPr>
        <w:t>, 'Terrorist Financing as The Associated Predicate Offence of Money Laundering in The Context of The New EU Criminal Law Framework for The Protection of The Financial System' [2019] EU and Member States – Legal and Economic Issues 659-683.</w:t>
      </w:r>
    </w:p>
    <w:p w14:paraId="20FD1008"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iCs/>
          <w:sz w:val="24"/>
          <w:szCs w:val="24"/>
          <w:lang w:val="en-US"/>
        </w:rPr>
        <w:t xml:space="preserve">Noah </w:t>
      </w:r>
      <w:proofErr w:type="spellStart"/>
      <w:r w:rsidRPr="00987BEB">
        <w:rPr>
          <w:rFonts w:ascii="Times New Roman" w:hAnsi="Times New Roman" w:cs="Times New Roman"/>
          <w:iCs/>
          <w:sz w:val="24"/>
          <w:szCs w:val="24"/>
          <w:lang w:val="en-US"/>
        </w:rPr>
        <w:t>Vardi</w:t>
      </w:r>
      <w:proofErr w:type="spellEnd"/>
      <w:r w:rsidRPr="00987BEB">
        <w:rPr>
          <w:rFonts w:ascii="Times New Roman" w:hAnsi="Times New Roman" w:cs="Times New Roman"/>
          <w:iCs/>
          <w:sz w:val="24"/>
          <w:szCs w:val="24"/>
          <w:lang w:val="en-US"/>
        </w:rPr>
        <w:t xml:space="preserve">, 'Bit by Bit: Assessing the Legal Nature of Virtual Currencies', </w:t>
      </w:r>
      <w:r w:rsidRPr="00987BEB">
        <w:rPr>
          <w:rFonts w:ascii="Times New Roman" w:hAnsi="Times New Roman" w:cs="Times New Roman"/>
          <w:i/>
          <w:sz w:val="24"/>
          <w:szCs w:val="24"/>
          <w:lang w:val="en-US"/>
        </w:rPr>
        <w:t>Bitcoin and Mobile Payments: Constructing a European Union Framework</w:t>
      </w:r>
      <w:r w:rsidRPr="00987BEB">
        <w:rPr>
          <w:rFonts w:ascii="Times New Roman" w:hAnsi="Times New Roman" w:cs="Times New Roman"/>
          <w:iCs/>
          <w:sz w:val="24"/>
          <w:szCs w:val="24"/>
          <w:lang w:val="en-US"/>
        </w:rPr>
        <w:t xml:space="preserve"> (Palgrave Macmillan 2016).</w:t>
      </w:r>
    </w:p>
    <w:p w14:paraId="275CCC7D" w14:textId="77777777" w:rsidR="00124D75" w:rsidRPr="007E5589" w:rsidRDefault="00124D75" w:rsidP="007E5589">
      <w:pPr>
        <w:spacing w:after="120" w:line="360" w:lineRule="auto"/>
        <w:jc w:val="both"/>
        <w:rPr>
          <w:rFonts w:ascii="Times New Roman" w:hAnsi="Times New Roman" w:cs="Times New Roman"/>
          <w:sz w:val="24"/>
          <w:szCs w:val="24"/>
          <w:lang w:val="pt-BR"/>
        </w:rPr>
      </w:pPr>
      <w:r w:rsidRPr="007E5589">
        <w:rPr>
          <w:rFonts w:ascii="Times New Roman" w:hAnsi="Times New Roman" w:cs="Times New Roman"/>
          <w:sz w:val="24"/>
          <w:szCs w:val="24"/>
        </w:rPr>
        <w:t xml:space="preserve">P. </w:t>
      </w:r>
      <w:proofErr w:type="spellStart"/>
      <w:r w:rsidRPr="007E5589">
        <w:rPr>
          <w:rFonts w:ascii="Times New Roman" w:hAnsi="Times New Roman" w:cs="Times New Roman"/>
          <w:sz w:val="24"/>
          <w:szCs w:val="24"/>
        </w:rPr>
        <w:t>Filippi</w:t>
      </w:r>
      <w:proofErr w:type="spellEnd"/>
      <w:r w:rsidRPr="007E5589">
        <w:rPr>
          <w:rFonts w:ascii="Times New Roman" w:hAnsi="Times New Roman" w:cs="Times New Roman"/>
          <w:sz w:val="24"/>
          <w:szCs w:val="24"/>
        </w:rPr>
        <w:t>, 'Bitcoin: a regulatory nightmare to a libertarian dream' (2014) 3 Internet Policy Review 1-11.</w:t>
      </w:r>
    </w:p>
    <w:p w14:paraId="2E1D9920"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Paul Vigna and Michael Casey, </w:t>
      </w:r>
      <w:r w:rsidRPr="00987BEB">
        <w:rPr>
          <w:rFonts w:ascii="Times New Roman" w:hAnsi="Times New Roman" w:cs="Times New Roman"/>
          <w:i/>
          <w:iCs/>
          <w:sz w:val="24"/>
          <w:szCs w:val="24"/>
        </w:rPr>
        <w:t>The Age of Cryptocurrency: How Bitcoin and Digital Money Are Challenging the Global Economic Order</w:t>
      </w:r>
      <w:r w:rsidRPr="00987BEB">
        <w:rPr>
          <w:rFonts w:ascii="Times New Roman" w:hAnsi="Times New Roman" w:cs="Times New Roman"/>
          <w:sz w:val="24"/>
          <w:szCs w:val="24"/>
        </w:rPr>
        <w:t> (Macmillan 2015).</w:t>
      </w:r>
    </w:p>
    <w:p w14:paraId="40881F91"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 xml:space="preserve">Peggy Valcke, Niels </w:t>
      </w:r>
      <w:proofErr w:type="spellStart"/>
      <w:r w:rsidRPr="00987BEB">
        <w:rPr>
          <w:rFonts w:ascii="Times New Roman" w:hAnsi="Times New Roman" w:cs="Times New Roman"/>
          <w:sz w:val="24"/>
          <w:szCs w:val="24"/>
        </w:rPr>
        <w:t>Vandezande</w:t>
      </w:r>
      <w:proofErr w:type="spellEnd"/>
      <w:r w:rsidRPr="00987BEB">
        <w:rPr>
          <w:rFonts w:ascii="Times New Roman" w:hAnsi="Times New Roman" w:cs="Times New Roman"/>
          <w:sz w:val="24"/>
          <w:szCs w:val="24"/>
        </w:rPr>
        <w:t xml:space="preserve"> and Nathan Van de Velde, 'The Evolution of Third-Party Payment Providers and Cryptocurrencies Under the EU's Upcoming PSD2 and AMLD4', SWIFT Institute Working Paper No. 2015-001.</w:t>
      </w:r>
    </w:p>
    <w:p w14:paraId="412FC755" w14:textId="77777777" w:rsidR="00124D75"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 xml:space="preserve">Philipp Hacker and Chris </w:t>
      </w:r>
      <w:proofErr w:type="spellStart"/>
      <w:r w:rsidRPr="00987BEB">
        <w:rPr>
          <w:rFonts w:ascii="Times New Roman" w:hAnsi="Times New Roman" w:cs="Times New Roman"/>
          <w:sz w:val="24"/>
          <w:szCs w:val="24"/>
        </w:rPr>
        <w:t>Thomale</w:t>
      </w:r>
      <w:proofErr w:type="spellEnd"/>
      <w:r w:rsidRPr="00987BEB">
        <w:rPr>
          <w:rFonts w:ascii="Times New Roman" w:hAnsi="Times New Roman" w:cs="Times New Roman"/>
          <w:sz w:val="24"/>
          <w:szCs w:val="24"/>
        </w:rPr>
        <w:t>, 'Crypto-Securities Regulation: ICOs, Token Sales and Cryptocurrencies Under EU Financial Law' (2018) 15 European Company and Financial Law Review 645–696.</w:t>
      </w:r>
    </w:p>
    <w:p w14:paraId="60FED08F" w14:textId="77777777" w:rsidR="00124D75" w:rsidRPr="00513038" w:rsidRDefault="00124D75" w:rsidP="00987BEB">
      <w:pPr>
        <w:spacing w:after="120" w:line="36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Philipp </w:t>
      </w:r>
      <w:proofErr w:type="spellStart"/>
      <w:r w:rsidRPr="00513038">
        <w:rPr>
          <w:rFonts w:ascii="Times New Roman" w:hAnsi="Times New Roman" w:cs="Times New Roman"/>
          <w:sz w:val="24"/>
          <w:szCs w:val="24"/>
        </w:rPr>
        <w:t>Maume</w:t>
      </w:r>
      <w:proofErr w:type="spellEnd"/>
      <w:r w:rsidRPr="00513038">
        <w:rPr>
          <w:rFonts w:ascii="Times New Roman" w:hAnsi="Times New Roman" w:cs="Times New Roman"/>
          <w:sz w:val="24"/>
          <w:szCs w:val="24"/>
        </w:rPr>
        <w:t xml:space="preserve"> and Mathias </w:t>
      </w:r>
      <w:proofErr w:type="spellStart"/>
      <w:r w:rsidRPr="00513038">
        <w:rPr>
          <w:rFonts w:ascii="Times New Roman" w:hAnsi="Times New Roman" w:cs="Times New Roman"/>
          <w:sz w:val="24"/>
          <w:szCs w:val="24"/>
        </w:rPr>
        <w:t>Fromberger</w:t>
      </w:r>
      <w:proofErr w:type="spellEnd"/>
      <w:r w:rsidRPr="00513038">
        <w:rPr>
          <w:rFonts w:ascii="Times New Roman" w:hAnsi="Times New Roman" w:cs="Times New Roman"/>
          <w:sz w:val="24"/>
          <w:szCs w:val="24"/>
        </w:rPr>
        <w:t>, 'Regulation of Initial Coin Offerings: Reconciling U.S. and E.U. Securities Laws' (2019) 19 Chicago Journal of International Law 548-585</w:t>
      </w:r>
      <w:r>
        <w:rPr>
          <w:rFonts w:ascii="Times New Roman" w:hAnsi="Times New Roman" w:cs="Times New Roman"/>
          <w:sz w:val="24"/>
          <w:szCs w:val="24"/>
        </w:rPr>
        <w:t>.</w:t>
      </w:r>
    </w:p>
    <w:p w14:paraId="2A93DF22" w14:textId="77777777" w:rsidR="00124D75" w:rsidRPr="00987BEB" w:rsidRDefault="00124D75" w:rsidP="00987BEB">
      <w:pPr>
        <w:spacing w:after="120" w:line="360" w:lineRule="auto"/>
        <w:jc w:val="both"/>
        <w:rPr>
          <w:rFonts w:ascii="Times New Roman" w:hAnsi="Times New Roman" w:cs="Times New Roman"/>
          <w:sz w:val="24"/>
          <w:szCs w:val="24"/>
          <w:lang w:val="en-US"/>
        </w:rPr>
      </w:pPr>
      <w:proofErr w:type="spellStart"/>
      <w:r w:rsidRPr="00987BEB">
        <w:rPr>
          <w:rFonts w:ascii="Times New Roman" w:hAnsi="Times New Roman" w:cs="Times New Roman"/>
          <w:sz w:val="24"/>
          <w:szCs w:val="24"/>
        </w:rPr>
        <w:lastRenderedPageBreak/>
        <w:t>Pierpaolo</w:t>
      </w:r>
      <w:proofErr w:type="spellEnd"/>
      <w:r w:rsidRPr="00987BEB">
        <w:rPr>
          <w:rFonts w:ascii="Times New Roman" w:hAnsi="Times New Roman" w:cs="Times New Roman"/>
          <w:sz w:val="24"/>
          <w:szCs w:val="24"/>
        </w:rPr>
        <w:t xml:space="preserve"> </w:t>
      </w:r>
      <w:proofErr w:type="spellStart"/>
      <w:r w:rsidRPr="00987BEB">
        <w:rPr>
          <w:rFonts w:ascii="Times New Roman" w:hAnsi="Times New Roman" w:cs="Times New Roman"/>
          <w:sz w:val="24"/>
          <w:szCs w:val="24"/>
        </w:rPr>
        <w:t>Fratangelo</w:t>
      </w:r>
      <w:proofErr w:type="spellEnd"/>
      <w:r w:rsidRPr="00987BEB">
        <w:rPr>
          <w:rFonts w:ascii="Times New Roman" w:hAnsi="Times New Roman" w:cs="Times New Roman"/>
          <w:sz w:val="24"/>
          <w:szCs w:val="24"/>
        </w:rPr>
        <w:t xml:space="preserve">, 'The CDD Obligations Following a Risk-Based Approach', </w:t>
      </w:r>
      <w:r w:rsidRPr="00987BEB">
        <w:rPr>
          <w:rFonts w:ascii="Times New Roman" w:hAnsi="Times New Roman" w:cs="Times New Roman"/>
          <w:i/>
          <w:iCs/>
          <w:sz w:val="24"/>
          <w:szCs w:val="24"/>
        </w:rPr>
        <w:t>The New Anti-Money Laundering Law: First Perspectives on the 4th European Union Directive</w:t>
      </w:r>
      <w:r w:rsidRPr="00987BEB">
        <w:rPr>
          <w:rFonts w:ascii="Times New Roman" w:hAnsi="Times New Roman" w:cs="Times New Roman"/>
          <w:sz w:val="24"/>
          <w:szCs w:val="24"/>
        </w:rPr>
        <w:t xml:space="preserve"> (Palgrave Macmillan 2016).</w:t>
      </w:r>
    </w:p>
    <w:p w14:paraId="05E3E562"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 xml:space="preserve">Primavera De </w:t>
      </w:r>
      <w:proofErr w:type="spellStart"/>
      <w:r w:rsidRPr="00987BEB">
        <w:rPr>
          <w:rFonts w:ascii="Times New Roman" w:hAnsi="Times New Roman" w:cs="Times New Roman"/>
          <w:sz w:val="24"/>
          <w:szCs w:val="24"/>
        </w:rPr>
        <w:t>Filippi</w:t>
      </w:r>
      <w:proofErr w:type="spellEnd"/>
      <w:r w:rsidRPr="00987BEB">
        <w:rPr>
          <w:rFonts w:ascii="Times New Roman" w:hAnsi="Times New Roman" w:cs="Times New Roman"/>
          <w:sz w:val="24"/>
          <w:szCs w:val="24"/>
        </w:rPr>
        <w:t xml:space="preserve"> and Aaron Wright, </w:t>
      </w:r>
      <w:r w:rsidRPr="00987BEB">
        <w:rPr>
          <w:rFonts w:ascii="Times New Roman" w:hAnsi="Times New Roman" w:cs="Times New Roman"/>
          <w:i/>
          <w:iCs/>
          <w:sz w:val="24"/>
          <w:szCs w:val="24"/>
        </w:rPr>
        <w:t>Blockchain and the Law: The Rule of Code</w:t>
      </w:r>
      <w:r w:rsidRPr="00987BEB">
        <w:rPr>
          <w:rFonts w:ascii="Times New Roman" w:hAnsi="Times New Roman" w:cs="Times New Roman"/>
          <w:sz w:val="24"/>
          <w:szCs w:val="24"/>
        </w:rPr>
        <w:t> (Harvard University Press 2018).</w:t>
      </w:r>
    </w:p>
    <w:p w14:paraId="12E3A5C3" w14:textId="77777777" w:rsidR="00124D75" w:rsidRPr="004771E8" w:rsidRDefault="00124D75" w:rsidP="007E5589">
      <w:pPr>
        <w:spacing w:after="120" w:line="360" w:lineRule="auto"/>
        <w:jc w:val="both"/>
        <w:rPr>
          <w:rFonts w:ascii="Times New Roman" w:hAnsi="Times New Roman" w:cs="Times New Roman"/>
          <w:sz w:val="24"/>
          <w:szCs w:val="24"/>
        </w:rPr>
      </w:pPr>
      <w:r w:rsidRPr="007E5589">
        <w:rPr>
          <w:rFonts w:ascii="Times New Roman" w:hAnsi="Times New Roman" w:cs="Times New Roman"/>
          <w:sz w:val="24"/>
          <w:szCs w:val="24"/>
        </w:rPr>
        <w:t xml:space="preserve">Ralf Michaels, 'The Functional Method of Comparative Law', </w:t>
      </w:r>
      <w:r w:rsidRPr="007E5589">
        <w:rPr>
          <w:rFonts w:ascii="Times New Roman" w:hAnsi="Times New Roman" w:cs="Times New Roman"/>
          <w:i/>
          <w:iCs/>
          <w:sz w:val="24"/>
          <w:szCs w:val="24"/>
        </w:rPr>
        <w:t>The Oxford Handbook of Comparative Law</w:t>
      </w:r>
      <w:r w:rsidRPr="007E5589">
        <w:rPr>
          <w:rFonts w:ascii="Times New Roman" w:hAnsi="Times New Roman" w:cs="Times New Roman"/>
          <w:sz w:val="24"/>
          <w:szCs w:val="24"/>
        </w:rPr>
        <w:t xml:space="preserve"> (Oxford University Press 2006)</w:t>
      </w:r>
      <w:r>
        <w:rPr>
          <w:rFonts w:ascii="Times New Roman" w:hAnsi="Times New Roman" w:cs="Times New Roman"/>
          <w:sz w:val="24"/>
          <w:szCs w:val="24"/>
        </w:rPr>
        <w:t>.</w:t>
      </w:r>
    </w:p>
    <w:p w14:paraId="425AF66B" w14:textId="77777777" w:rsidR="00124D75" w:rsidRPr="00987BEB" w:rsidRDefault="00124D75" w:rsidP="00987BEB">
      <w:pPr>
        <w:spacing w:after="120" w:line="360" w:lineRule="auto"/>
        <w:jc w:val="both"/>
        <w:rPr>
          <w:rFonts w:ascii="Times New Roman" w:hAnsi="Times New Roman" w:cs="Times New Roman"/>
          <w:sz w:val="24"/>
          <w:szCs w:val="24"/>
          <w:lang w:val="pt-BR"/>
        </w:rPr>
      </w:pPr>
      <w:r w:rsidRPr="00987BEB">
        <w:rPr>
          <w:rFonts w:ascii="Times New Roman" w:hAnsi="Times New Roman" w:cs="Times New Roman"/>
          <w:sz w:val="24"/>
          <w:szCs w:val="24"/>
        </w:rPr>
        <w:t>'Ransomware' (</w:t>
      </w:r>
      <w:r w:rsidRPr="00987BEB">
        <w:rPr>
          <w:rFonts w:ascii="Times New Roman" w:hAnsi="Times New Roman" w:cs="Times New Roman"/>
          <w:i/>
          <w:iCs/>
          <w:sz w:val="24"/>
          <w:szCs w:val="24"/>
        </w:rPr>
        <w:t>Department of Homeland Security</w:t>
      </w:r>
      <w:r w:rsidRPr="00987BEB">
        <w:rPr>
          <w:rFonts w:ascii="Times New Roman" w:hAnsi="Times New Roman" w:cs="Times New Roman"/>
          <w:sz w:val="24"/>
          <w:szCs w:val="24"/>
        </w:rPr>
        <w:t>) &lt;https://www.us-cert.gov/Ransomware&gt; accessed 5 May 2020.</w:t>
      </w:r>
    </w:p>
    <w:p w14:paraId="36AC32C6"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 xml:space="preserve">Robert Hockett and </w:t>
      </w:r>
      <w:proofErr w:type="spellStart"/>
      <w:r w:rsidRPr="00987BEB">
        <w:rPr>
          <w:rFonts w:ascii="Times New Roman" w:hAnsi="Times New Roman" w:cs="Times New Roman"/>
          <w:sz w:val="24"/>
          <w:szCs w:val="24"/>
        </w:rPr>
        <w:t>Saule</w:t>
      </w:r>
      <w:proofErr w:type="spellEnd"/>
      <w:r w:rsidRPr="00987BEB">
        <w:rPr>
          <w:rFonts w:ascii="Times New Roman" w:hAnsi="Times New Roman" w:cs="Times New Roman"/>
          <w:sz w:val="24"/>
          <w:szCs w:val="24"/>
        </w:rPr>
        <w:t xml:space="preserve"> </w:t>
      </w:r>
      <w:proofErr w:type="spellStart"/>
      <w:r w:rsidRPr="00987BEB">
        <w:rPr>
          <w:rFonts w:ascii="Times New Roman" w:hAnsi="Times New Roman" w:cs="Times New Roman"/>
          <w:sz w:val="24"/>
          <w:szCs w:val="24"/>
        </w:rPr>
        <w:t>Omarova</w:t>
      </w:r>
      <w:proofErr w:type="spellEnd"/>
      <w:r w:rsidRPr="00987BEB">
        <w:rPr>
          <w:rFonts w:ascii="Times New Roman" w:hAnsi="Times New Roman" w:cs="Times New Roman"/>
          <w:sz w:val="24"/>
          <w:szCs w:val="24"/>
        </w:rPr>
        <w:t>, 'The Finance Franchise' (2017) 102 Cornell Law Review 1143-1218.</w:t>
      </w:r>
    </w:p>
    <w:p w14:paraId="0724AFD9" w14:textId="77777777" w:rsidR="00124D75" w:rsidRPr="00987BEB" w:rsidRDefault="00124D75" w:rsidP="00987BEB">
      <w:pPr>
        <w:spacing w:after="120" w:line="360" w:lineRule="auto"/>
        <w:jc w:val="both"/>
        <w:rPr>
          <w:rFonts w:ascii="Times New Roman" w:hAnsi="Times New Roman" w:cs="Times New Roman"/>
          <w:sz w:val="24"/>
          <w:szCs w:val="24"/>
          <w:lang w:val="pt-BR"/>
        </w:rPr>
      </w:pPr>
      <w:r w:rsidRPr="00987BEB">
        <w:rPr>
          <w:rFonts w:ascii="Times New Roman" w:hAnsi="Times New Roman" w:cs="Times New Roman"/>
          <w:sz w:val="24"/>
          <w:szCs w:val="24"/>
        </w:rPr>
        <w:t>Robert Stokes, 'Virtual Money Laundering: The Case of Bitcoin and The Linden Dollar' (2012) 21 Information &amp; Communications Technology Law 221-236.</w:t>
      </w:r>
    </w:p>
    <w:p w14:paraId="257ACA1C"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Simon Butler, 'Criminal Use of Cryptocurrencies: A Great New Threat or Is Cash Still King?' (2019) 4 Journal of Cyber Policy 326-345.</w:t>
      </w:r>
    </w:p>
    <w:p w14:paraId="72A86970" w14:textId="77777777" w:rsidR="00124D75" w:rsidRPr="00987BEB" w:rsidRDefault="00124D75" w:rsidP="00987BEB">
      <w:pPr>
        <w:spacing w:after="120" w:line="360" w:lineRule="auto"/>
        <w:jc w:val="both"/>
        <w:rPr>
          <w:rFonts w:ascii="Times New Roman" w:hAnsi="Times New Roman" w:cs="Times New Roman"/>
          <w:sz w:val="24"/>
          <w:szCs w:val="24"/>
        </w:rPr>
      </w:pPr>
      <w:r w:rsidRPr="00987BEB">
        <w:rPr>
          <w:rFonts w:ascii="Times New Roman" w:hAnsi="Times New Roman" w:cs="Times New Roman"/>
          <w:sz w:val="24"/>
          <w:szCs w:val="24"/>
        </w:rPr>
        <w:t>Thomas A. Frick, 'Virtual and Cryptocurrencies – Regulatory and Anti-Money Laundering Approaches in The European Union and In Switzerland' (2019) 20 ERA Forum 99-112.</w:t>
      </w:r>
    </w:p>
    <w:p w14:paraId="41E1E2A7" w14:textId="77777777" w:rsidR="00124D75" w:rsidRPr="00987BEB" w:rsidRDefault="00124D75" w:rsidP="00987BEB">
      <w:pPr>
        <w:spacing w:after="120" w:line="360" w:lineRule="auto"/>
        <w:jc w:val="both"/>
        <w:rPr>
          <w:rFonts w:ascii="Times New Roman" w:hAnsi="Times New Roman" w:cs="Times New Roman"/>
          <w:sz w:val="24"/>
          <w:szCs w:val="24"/>
          <w:lang w:val="en-US"/>
        </w:rPr>
      </w:pPr>
      <w:r w:rsidRPr="00987BEB">
        <w:rPr>
          <w:rFonts w:ascii="Times New Roman" w:hAnsi="Times New Roman" w:cs="Times New Roman"/>
          <w:sz w:val="24"/>
          <w:szCs w:val="24"/>
        </w:rPr>
        <w:t xml:space="preserve">Thomas </w:t>
      </w:r>
      <w:proofErr w:type="spellStart"/>
      <w:r w:rsidRPr="00987BEB">
        <w:rPr>
          <w:rFonts w:ascii="Times New Roman" w:hAnsi="Times New Roman" w:cs="Times New Roman"/>
          <w:sz w:val="24"/>
          <w:szCs w:val="24"/>
        </w:rPr>
        <w:t>Incalza</w:t>
      </w:r>
      <w:proofErr w:type="spellEnd"/>
      <w:r w:rsidRPr="00987BEB">
        <w:rPr>
          <w:rFonts w:ascii="Times New Roman" w:hAnsi="Times New Roman" w:cs="Times New Roman"/>
          <w:sz w:val="24"/>
          <w:szCs w:val="24"/>
        </w:rPr>
        <w:t xml:space="preserve">, 'National Anti-Money Laundering Legislation in A Unified Europe: </w:t>
      </w:r>
      <w:proofErr w:type="spellStart"/>
      <w:r w:rsidRPr="00987BEB">
        <w:rPr>
          <w:rFonts w:ascii="Times New Roman" w:hAnsi="Times New Roman" w:cs="Times New Roman"/>
          <w:i/>
          <w:iCs/>
          <w:sz w:val="24"/>
          <w:szCs w:val="24"/>
        </w:rPr>
        <w:t>Jyske</w:t>
      </w:r>
      <w:proofErr w:type="spellEnd"/>
      <w:r w:rsidRPr="00987BEB">
        <w:rPr>
          <w:rFonts w:ascii="Times New Roman" w:hAnsi="Times New Roman" w:cs="Times New Roman"/>
          <w:sz w:val="24"/>
          <w:szCs w:val="24"/>
        </w:rPr>
        <w:t>' (2014) 51 Common Market Law Review 1829–1850.</w:t>
      </w:r>
    </w:p>
    <w:p w14:paraId="11C0E8FA" w14:textId="77777777" w:rsidR="00124D75" w:rsidRPr="00F12416" w:rsidRDefault="00124D75" w:rsidP="00F12416">
      <w:pPr>
        <w:spacing w:after="120" w:line="360" w:lineRule="auto"/>
        <w:jc w:val="both"/>
        <w:rPr>
          <w:rFonts w:ascii="Times New Roman" w:hAnsi="Times New Roman" w:cs="Times New Roman"/>
          <w:sz w:val="24"/>
          <w:szCs w:val="24"/>
          <w:lang w:val="en-US"/>
        </w:rPr>
      </w:pPr>
      <w:r w:rsidRPr="00F12416">
        <w:rPr>
          <w:rFonts w:ascii="Times New Roman" w:hAnsi="Times New Roman" w:cs="Times New Roman"/>
          <w:sz w:val="24"/>
          <w:szCs w:val="24"/>
        </w:rPr>
        <w:t xml:space="preserve">Valentina </w:t>
      </w:r>
      <w:proofErr w:type="spellStart"/>
      <w:r w:rsidRPr="00F12416">
        <w:rPr>
          <w:rFonts w:ascii="Times New Roman" w:hAnsi="Times New Roman" w:cs="Times New Roman"/>
          <w:sz w:val="24"/>
          <w:szCs w:val="24"/>
        </w:rPr>
        <w:t>Covolo</w:t>
      </w:r>
      <w:proofErr w:type="spellEnd"/>
      <w:r w:rsidRPr="00F12416">
        <w:rPr>
          <w:rFonts w:ascii="Times New Roman" w:hAnsi="Times New Roman" w:cs="Times New Roman"/>
          <w:sz w:val="24"/>
          <w:szCs w:val="24"/>
        </w:rPr>
        <w:t>, 'The EU Response to Criminal Misuse of Cryptocurrencies: The Young, Already Outdated 5th Anti-Money Laundering Directive', University of Luxembourg Law Working Paper No. 2019-015.</w:t>
      </w:r>
    </w:p>
    <w:p w14:paraId="30B67D29" w14:textId="77777777" w:rsidR="00124D75" w:rsidRPr="007E5589" w:rsidRDefault="00124D75" w:rsidP="007E5589">
      <w:pPr>
        <w:spacing w:after="120" w:line="360" w:lineRule="auto"/>
        <w:jc w:val="both"/>
        <w:rPr>
          <w:rFonts w:ascii="Times New Roman" w:hAnsi="Times New Roman" w:cs="Times New Roman"/>
          <w:sz w:val="24"/>
          <w:szCs w:val="24"/>
        </w:rPr>
      </w:pPr>
      <w:proofErr w:type="spellStart"/>
      <w:r w:rsidRPr="007E5589">
        <w:rPr>
          <w:rFonts w:ascii="Times New Roman" w:hAnsi="Times New Roman" w:cs="Times New Roman"/>
          <w:sz w:val="24"/>
          <w:szCs w:val="24"/>
        </w:rPr>
        <w:t>Valsamis</w:t>
      </w:r>
      <w:proofErr w:type="spellEnd"/>
      <w:r w:rsidRPr="007E5589">
        <w:rPr>
          <w:rFonts w:ascii="Times New Roman" w:hAnsi="Times New Roman" w:cs="Times New Roman"/>
          <w:sz w:val="24"/>
          <w:szCs w:val="24"/>
        </w:rPr>
        <w:t xml:space="preserve"> </w:t>
      </w:r>
      <w:proofErr w:type="spellStart"/>
      <w:r w:rsidRPr="007E5589">
        <w:rPr>
          <w:rFonts w:ascii="Times New Roman" w:hAnsi="Times New Roman" w:cs="Times New Roman"/>
          <w:sz w:val="24"/>
          <w:szCs w:val="24"/>
        </w:rPr>
        <w:t>Mitsilegas</w:t>
      </w:r>
      <w:proofErr w:type="spellEnd"/>
      <w:r w:rsidRPr="007E5589">
        <w:rPr>
          <w:rFonts w:ascii="Times New Roman" w:hAnsi="Times New Roman" w:cs="Times New Roman"/>
          <w:sz w:val="24"/>
          <w:szCs w:val="24"/>
        </w:rPr>
        <w:t xml:space="preserve"> and Bill Gilmore, 'The EU legislative framework against money laundering and terrorist finance: a critical analysis in the light of evolving global standards' (2007) 56 International and Comparative Law Quarterly 119-141.</w:t>
      </w:r>
    </w:p>
    <w:sectPr w:rsidR="00124D75" w:rsidRPr="007E55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3F2D9" w14:textId="77777777" w:rsidR="0016166A" w:rsidRDefault="0016166A" w:rsidP="008D711B">
      <w:pPr>
        <w:spacing w:after="0" w:line="240" w:lineRule="auto"/>
      </w:pPr>
      <w:r>
        <w:separator/>
      </w:r>
    </w:p>
  </w:endnote>
  <w:endnote w:type="continuationSeparator" w:id="0">
    <w:p w14:paraId="66E3ACB4" w14:textId="77777777" w:rsidR="0016166A" w:rsidRDefault="0016166A" w:rsidP="008D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839E2" w14:textId="77777777" w:rsidR="0016166A" w:rsidRDefault="0016166A" w:rsidP="008D711B">
      <w:pPr>
        <w:spacing w:after="0" w:line="240" w:lineRule="auto"/>
      </w:pPr>
      <w:r>
        <w:separator/>
      </w:r>
    </w:p>
  </w:footnote>
  <w:footnote w:type="continuationSeparator" w:id="0">
    <w:p w14:paraId="4832E090" w14:textId="77777777" w:rsidR="0016166A" w:rsidRDefault="0016166A" w:rsidP="008D711B">
      <w:pPr>
        <w:spacing w:after="0" w:line="240" w:lineRule="auto"/>
      </w:pPr>
      <w:r>
        <w:continuationSeparator/>
      </w:r>
    </w:p>
  </w:footnote>
  <w:footnote w:id="1">
    <w:p w14:paraId="1953A7EA" w14:textId="77777777" w:rsidR="007C3473" w:rsidRDefault="004834B6" w:rsidP="007C3473">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4834B6">
        <w:rPr>
          <w:rFonts w:ascii="Times New Roman" w:hAnsi="Times New Roman" w:cs="Times New Roman"/>
        </w:rPr>
        <w:t>LLM, Faculty of Law. KU Leuven. Belgium</w:t>
      </w:r>
      <w:r>
        <w:rPr>
          <w:rFonts w:ascii="Times New Roman" w:hAnsi="Times New Roman" w:cs="Times New Roman"/>
        </w:rPr>
        <w:t>.</w:t>
      </w:r>
    </w:p>
    <w:p w14:paraId="1F2C5D00" w14:textId="25B484B4" w:rsidR="007C3473" w:rsidRPr="007C3473" w:rsidRDefault="007C3473" w:rsidP="007C3473">
      <w:pPr>
        <w:pStyle w:val="FootnoteText"/>
        <w:spacing w:after="120"/>
        <w:ind w:left="113" w:hanging="113"/>
        <w:jc w:val="both"/>
        <w:rPr>
          <w:rFonts w:ascii="Times New Roman" w:hAnsi="Times New Roman" w:cs="Times New Roman"/>
        </w:rPr>
      </w:pPr>
      <w:r w:rsidRPr="007C3473">
        <w:rPr>
          <w:rFonts w:ascii="Times New Roman" w:hAnsi="Times New Roman" w:cs="Times New Roman"/>
        </w:rPr>
        <w:t>eduardosfadv@gmail.com</w:t>
      </w:r>
    </w:p>
  </w:footnote>
  <w:footnote w:id="2">
    <w:p w14:paraId="41CA12C3" w14:textId="77777777" w:rsidR="00AC357D" w:rsidRPr="00CB3F88" w:rsidRDefault="00AC357D" w:rsidP="00AC357D">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CB3F88">
        <w:rPr>
          <w:rFonts w:ascii="Times New Roman" w:hAnsi="Times New Roman" w:cs="Times New Roman"/>
        </w:rPr>
        <w:t xml:space="preserve">P. </w:t>
      </w:r>
      <w:proofErr w:type="spellStart"/>
      <w:r w:rsidRPr="00CB3F88">
        <w:rPr>
          <w:rFonts w:ascii="Times New Roman" w:hAnsi="Times New Roman" w:cs="Times New Roman"/>
        </w:rPr>
        <w:t>Filippi</w:t>
      </w:r>
      <w:proofErr w:type="spellEnd"/>
      <w:r w:rsidRPr="00CB3F88">
        <w:rPr>
          <w:rFonts w:ascii="Times New Roman" w:hAnsi="Times New Roman" w:cs="Times New Roman"/>
        </w:rPr>
        <w:t>, 'Bitcoin: a regulatory nightmare to a libertarian dream' (2014) 3 Internet Policy Review 1-11.</w:t>
      </w:r>
    </w:p>
  </w:footnote>
  <w:footnote w:id="3">
    <w:p w14:paraId="2E0B6F43" w14:textId="77777777" w:rsidR="00AC357D" w:rsidRPr="00CB3F88" w:rsidRDefault="00AC357D" w:rsidP="00AC357D">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CB3F88">
        <w:rPr>
          <w:rFonts w:ascii="Times New Roman" w:hAnsi="Times New Roman" w:cs="Times New Roman"/>
        </w:rPr>
        <w:t xml:space="preserve">K. K. R. Choo, 'Cryptocurrency and virtual currency: Corruption and money laundering/terrorism financing risks?', </w:t>
      </w:r>
      <w:r w:rsidRPr="00CB3F88">
        <w:rPr>
          <w:rFonts w:ascii="Times New Roman" w:hAnsi="Times New Roman" w:cs="Times New Roman"/>
          <w:i/>
          <w:iCs/>
        </w:rPr>
        <w:t>Handbook of Digital Currency:</w:t>
      </w:r>
      <w:r w:rsidRPr="00CB3F88">
        <w:rPr>
          <w:rFonts w:ascii="Times New Roman" w:hAnsi="Times New Roman" w:cs="Times New Roman"/>
        </w:rPr>
        <w:t xml:space="preserve"> </w:t>
      </w:r>
      <w:r w:rsidRPr="00CB3F88">
        <w:rPr>
          <w:rFonts w:ascii="Times New Roman" w:hAnsi="Times New Roman" w:cs="Times New Roman"/>
          <w:i/>
          <w:iCs/>
        </w:rPr>
        <w:t>Bitcoin, Innovation, Financial Instruments, and Big Data</w:t>
      </w:r>
      <w:r w:rsidRPr="00CB3F88">
        <w:rPr>
          <w:rFonts w:ascii="Times New Roman" w:hAnsi="Times New Roman" w:cs="Times New Roman"/>
        </w:rPr>
        <w:t xml:space="preserve"> (Academic Press 2015) 283-307.</w:t>
      </w:r>
    </w:p>
  </w:footnote>
  <w:footnote w:id="4">
    <w:p w14:paraId="3C8A81C2" w14:textId="77777777" w:rsidR="00AC357D" w:rsidRPr="00CB3F88" w:rsidRDefault="00AC357D" w:rsidP="00AC357D">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CB3F88">
        <w:rPr>
          <w:rFonts w:ascii="Times New Roman" w:hAnsi="Times New Roman" w:cs="Times New Roman"/>
        </w:rPr>
        <w:t>Edgar G. Sanchez, 'Crypto-Currencies: The 21st Century's Money Laundering and Tax Havens' (2017) 28 University of Florida Journal of Law and Public Policy 167-191.</w:t>
      </w:r>
    </w:p>
  </w:footnote>
  <w:footnote w:id="5">
    <w:p w14:paraId="0A001CF3" w14:textId="77777777" w:rsidR="00D83374" w:rsidRPr="00CB3F88" w:rsidRDefault="00D83374" w:rsidP="00D83374">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CB3F88">
        <w:rPr>
          <w:rFonts w:ascii="Times New Roman" w:hAnsi="Times New Roman" w:cs="Times New Roman"/>
          <w:lang w:val="pt-BR"/>
        </w:rPr>
        <w:t>Financial Action Task Force, 'Guidance for a Risk-Based Approach to Virtual Assets and Virtual Asset Service Providers' (2019) 6.</w:t>
      </w:r>
    </w:p>
  </w:footnote>
  <w:footnote w:id="6">
    <w:p w14:paraId="138BFE18" w14:textId="77777777" w:rsidR="00D83374" w:rsidRPr="00CB3F88" w:rsidRDefault="00D83374" w:rsidP="00D83374">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CB3F88">
        <w:rPr>
          <w:rFonts w:ascii="Times New Roman" w:hAnsi="Times New Roman" w:cs="Times New Roman"/>
        </w:rPr>
        <w:t>Bill C-31, An Act to Implement Certain Provisions of the Budget Tabled in Parliament on February 11, 2014 and Other Measures, 2nd Session, 41st Parliament, 2014.</w:t>
      </w:r>
    </w:p>
  </w:footnote>
  <w:footnote w:id="7">
    <w:p w14:paraId="24D25839" w14:textId="77777777" w:rsidR="00D83374" w:rsidRPr="00CB3F88" w:rsidRDefault="00D83374" w:rsidP="00D83374">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CB3F88">
        <w:rPr>
          <w:rFonts w:ascii="Times New Roman" w:hAnsi="Times New Roman" w:cs="Times New Roman"/>
          <w:lang w:val="pt-BR"/>
        </w:rPr>
        <w:t>Anti-Money Laundering and Counter-Terrorism Financing Amendment Act 2017.</w:t>
      </w:r>
    </w:p>
  </w:footnote>
  <w:footnote w:id="8">
    <w:p w14:paraId="6E67C2D0" w14:textId="77777777" w:rsidR="00D83374" w:rsidRPr="00CB3F88" w:rsidRDefault="00D83374" w:rsidP="00D83374">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CB3F88">
        <w:rPr>
          <w:rFonts w:ascii="Times New Roman" w:hAnsi="Times New Roman" w:cs="Times New Roman"/>
          <w:lang w:val="pt-BR"/>
        </w:rPr>
        <w:t xml:space="preserve">BRASIL. </w:t>
      </w:r>
      <w:r w:rsidRPr="00CB3F88">
        <w:rPr>
          <w:rFonts w:ascii="Times New Roman" w:hAnsi="Times New Roman" w:cs="Times New Roman"/>
          <w:lang w:val="pt-BR"/>
        </w:rPr>
        <w:t>Instrução Normativa da Receita Federal do Brasil nº 1.888, de 03 de maio de 2019. Institui e disciplina a obrigatoriedade de prestação de informações relativas às operações realizadas com criptoativos à Secretaria Especial da Receita Federal do Brasil (RFB). Diário Oficial da União. Brasília, DF, 07 maio 2019. Seção 1, p. 14.</w:t>
      </w:r>
    </w:p>
  </w:footnote>
  <w:footnote w:id="9">
    <w:p w14:paraId="20F0F9F7" w14:textId="77777777" w:rsidR="00D83374" w:rsidRPr="00CB3F88" w:rsidRDefault="00D83374" w:rsidP="00D8337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0" w:name="_Hlk38576499"/>
      <w:r w:rsidRPr="00CB3F88">
        <w:rPr>
          <w:rFonts w:ascii="Times New Roman" w:hAnsi="Times New Roman" w:cs="Times New Roman"/>
          <w:lang w:val="en-US"/>
        </w:rPr>
        <w:t>Directive (EU) 2018/843 of the European Parliament and of the Council of 30 May 2018 amending Directive (EU) 2015/849 on the prevention of the use of the financial system for the purposes of money laundering or terrorist financing, and amending Directives 2009/138/EC and 2013/36/EU OJ L 156, 19.6.2018.</w:t>
      </w:r>
      <w:bookmarkEnd w:id="0"/>
    </w:p>
  </w:footnote>
  <w:footnote w:id="10">
    <w:p w14:paraId="4D02AA98" w14:textId="77777777" w:rsidR="00F5673B" w:rsidRPr="00CB3F88" w:rsidRDefault="00F5673B" w:rsidP="00F5673B">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CB3F88">
        <w:rPr>
          <w:rFonts w:ascii="Times New Roman" w:hAnsi="Times New Roman" w:cs="Times New Roman"/>
          <w:lang w:val="pt-BR"/>
        </w:rPr>
        <w:t xml:space="preserve">Lorna Woods, Philippa Watson and Marios Costa, </w:t>
      </w:r>
      <w:r w:rsidRPr="00CB3F88">
        <w:rPr>
          <w:rFonts w:ascii="Times New Roman" w:hAnsi="Times New Roman" w:cs="Times New Roman"/>
          <w:i/>
          <w:iCs/>
          <w:lang w:val="pt-BR"/>
        </w:rPr>
        <w:t>Steiner &amp; Woods EU Law</w:t>
      </w:r>
      <w:r w:rsidRPr="00CB3F88">
        <w:rPr>
          <w:rFonts w:ascii="Times New Roman" w:hAnsi="Times New Roman" w:cs="Times New Roman"/>
          <w:lang w:val="pt-BR"/>
        </w:rPr>
        <w:t xml:space="preserve"> (13th edn, Oxford University Press 2017) 70.</w:t>
      </w:r>
    </w:p>
  </w:footnote>
  <w:footnote w:id="11">
    <w:p w14:paraId="7455CCC3" w14:textId="77777777" w:rsidR="00F5673B" w:rsidRPr="00CB3F88" w:rsidRDefault="00F5673B" w:rsidP="00F5673B">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proofErr w:type="spellStart"/>
      <w:r w:rsidRPr="00CB3F88">
        <w:rPr>
          <w:rFonts w:ascii="Times New Roman" w:hAnsi="Times New Roman" w:cs="Times New Roman"/>
        </w:rPr>
        <w:t>Valsamis</w:t>
      </w:r>
      <w:proofErr w:type="spellEnd"/>
      <w:r w:rsidRPr="00CB3F88">
        <w:rPr>
          <w:rFonts w:ascii="Times New Roman" w:hAnsi="Times New Roman" w:cs="Times New Roman"/>
        </w:rPr>
        <w:t xml:space="preserve"> </w:t>
      </w:r>
      <w:proofErr w:type="spellStart"/>
      <w:r w:rsidRPr="00CB3F88">
        <w:rPr>
          <w:rFonts w:ascii="Times New Roman" w:hAnsi="Times New Roman" w:cs="Times New Roman"/>
        </w:rPr>
        <w:t>Mitsilegas</w:t>
      </w:r>
      <w:proofErr w:type="spellEnd"/>
      <w:r w:rsidRPr="00CB3F88">
        <w:rPr>
          <w:rFonts w:ascii="Times New Roman" w:hAnsi="Times New Roman" w:cs="Times New Roman"/>
        </w:rPr>
        <w:t xml:space="preserve"> and Bill Gilmore, 'The EU legislative framework against money laundering and terrorist finance: a critical analysis in the light of evolving global standards' (2007) 56 International and Comparative Law Quarterly 119-141.</w:t>
      </w:r>
    </w:p>
  </w:footnote>
  <w:footnote w:id="12">
    <w:p w14:paraId="0A09D1E0" w14:textId="77777777" w:rsidR="00F5673B" w:rsidRPr="00CB3F88" w:rsidRDefault="00F5673B" w:rsidP="00F5673B">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CB3F88">
        <w:rPr>
          <w:rFonts w:ascii="Times New Roman" w:hAnsi="Times New Roman" w:cs="Times New Roman"/>
        </w:rPr>
        <w:t xml:space="preserve">Case C-290/98 </w:t>
      </w:r>
      <w:r w:rsidRPr="00CB3F88">
        <w:rPr>
          <w:rFonts w:ascii="Times New Roman" w:hAnsi="Times New Roman" w:cs="Times New Roman"/>
          <w:i/>
          <w:iCs/>
        </w:rPr>
        <w:t>Commission v Austria</w:t>
      </w:r>
      <w:r w:rsidRPr="00CB3F88">
        <w:rPr>
          <w:rFonts w:ascii="Times New Roman" w:hAnsi="Times New Roman" w:cs="Times New Roman"/>
        </w:rPr>
        <w:t xml:space="preserve"> [2000] ECR I-7835,</w:t>
      </w:r>
      <w:r w:rsidRPr="00CB3F88">
        <w:rPr>
          <w:rFonts w:ascii="Times New Roman" w:hAnsi="Times New Roman" w:cs="Times New Roman"/>
          <w:lang w:val="en-US"/>
        </w:rPr>
        <w:t xml:space="preserve"> Opinion of AG </w:t>
      </w:r>
      <w:proofErr w:type="spellStart"/>
      <w:r w:rsidRPr="00CB3F88">
        <w:rPr>
          <w:rFonts w:ascii="Times New Roman" w:hAnsi="Times New Roman" w:cs="Times New Roman"/>
          <w:lang w:val="en-US"/>
        </w:rPr>
        <w:t>Saggio</w:t>
      </w:r>
      <w:proofErr w:type="spellEnd"/>
      <w:r w:rsidRPr="00CB3F88">
        <w:rPr>
          <w:rFonts w:ascii="Times New Roman" w:hAnsi="Times New Roman" w:cs="Times New Roman"/>
          <w:lang w:val="en-US"/>
        </w:rPr>
        <w:t>, para 57 (emphasis added).</w:t>
      </w:r>
    </w:p>
  </w:footnote>
  <w:footnote w:id="13">
    <w:p w14:paraId="3C060B05" w14:textId="77777777" w:rsidR="00F5673B" w:rsidRPr="00CB3F88" w:rsidRDefault="00F5673B" w:rsidP="00F5673B">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CB3F88">
        <w:rPr>
          <w:rFonts w:ascii="Times New Roman" w:hAnsi="Times New Roman" w:cs="Times New Roman"/>
        </w:rPr>
        <w:t>'EU Members Adopt Tougher Crypto Rules Than AML Directive Requires' (</w:t>
      </w:r>
      <w:r w:rsidRPr="00CB3F88">
        <w:rPr>
          <w:rFonts w:ascii="Times New Roman" w:hAnsi="Times New Roman" w:cs="Times New Roman"/>
          <w:i/>
          <w:iCs/>
        </w:rPr>
        <w:t>Financial Accountant</w:t>
      </w:r>
      <w:r w:rsidRPr="00CB3F88">
        <w:rPr>
          <w:rFonts w:ascii="Times New Roman" w:hAnsi="Times New Roman" w:cs="Times New Roman"/>
        </w:rPr>
        <w:t>, 2019) &lt;https://www.financialaccountant.co.uk/news/eu-members-adopt-tougher-crypto-rules-than-aml-directive-requires&gt; accessed 4 May 2020.</w:t>
      </w:r>
    </w:p>
  </w:footnote>
  <w:footnote w:id="14">
    <w:p w14:paraId="6FE63679" w14:textId="77777777" w:rsidR="00F5673B" w:rsidRPr="00CB3F88" w:rsidRDefault="00F5673B" w:rsidP="00F5673B">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Nikola </w:t>
      </w:r>
      <w:proofErr w:type="spellStart"/>
      <w:r w:rsidRPr="00CB3F88">
        <w:rPr>
          <w:rFonts w:ascii="Times New Roman" w:hAnsi="Times New Roman" w:cs="Times New Roman"/>
          <w:lang w:val="en-US"/>
        </w:rPr>
        <w:t>Paunović</w:t>
      </w:r>
      <w:proofErr w:type="spellEnd"/>
      <w:r w:rsidRPr="00CB3F88">
        <w:rPr>
          <w:rFonts w:ascii="Times New Roman" w:hAnsi="Times New Roman" w:cs="Times New Roman"/>
          <w:lang w:val="en-US"/>
        </w:rPr>
        <w:t>, 'Terrorist Financing as The Associated Predicate Offence of Money Laundering in The Context of The New EU Criminal Law Framework for The Protection of The Financial System' [2019] EU and Member States – Legal and Economic Issues 659-683.</w:t>
      </w:r>
    </w:p>
  </w:footnote>
  <w:footnote w:id="15">
    <w:p w14:paraId="12F18DC1" w14:textId="77777777" w:rsidR="00F5673B" w:rsidRPr="00CB3F88" w:rsidRDefault="00F5673B" w:rsidP="00F5673B">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CB3F88">
        <w:rPr>
          <w:rFonts w:ascii="Times New Roman" w:hAnsi="Times New Roman" w:cs="Times New Roman"/>
        </w:rPr>
        <w:t xml:space="preserve">M. </w:t>
      </w:r>
      <w:proofErr w:type="spellStart"/>
      <w:r w:rsidRPr="00CB3F88">
        <w:rPr>
          <w:rFonts w:ascii="Times New Roman" w:hAnsi="Times New Roman" w:cs="Times New Roman"/>
        </w:rPr>
        <w:t>Siems</w:t>
      </w:r>
      <w:proofErr w:type="spellEnd"/>
      <w:r w:rsidRPr="00CB3F88">
        <w:rPr>
          <w:rFonts w:ascii="Times New Roman" w:hAnsi="Times New Roman" w:cs="Times New Roman"/>
        </w:rPr>
        <w:t xml:space="preserve">, 'A World without Law Professors', </w:t>
      </w:r>
      <w:r w:rsidRPr="00CB3F88">
        <w:rPr>
          <w:rFonts w:ascii="Times New Roman" w:hAnsi="Times New Roman" w:cs="Times New Roman"/>
          <w:i/>
          <w:iCs/>
        </w:rPr>
        <w:t>Methodologies of Legal Research: Which Kind of Method for What Kind of Discipline?</w:t>
      </w:r>
      <w:r w:rsidRPr="00CB3F88">
        <w:rPr>
          <w:rFonts w:ascii="Times New Roman" w:hAnsi="Times New Roman" w:cs="Times New Roman"/>
        </w:rPr>
        <w:t xml:space="preserve"> (Hart 2011) 79-82.</w:t>
      </w:r>
    </w:p>
  </w:footnote>
  <w:footnote w:id="16">
    <w:p w14:paraId="6E68BECD" w14:textId="77777777" w:rsidR="00F5673B" w:rsidRPr="00CB3F88" w:rsidRDefault="00F5673B" w:rsidP="00F5673B">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CB3F88">
        <w:rPr>
          <w:rFonts w:ascii="Times New Roman" w:hAnsi="Times New Roman" w:cs="Times New Roman"/>
        </w:rPr>
        <w:t xml:space="preserve">Ralf Michaels, 'The Functional Method of Comparative Law', </w:t>
      </w:r>
      <w:r w:rsidRPr="00CB3F88">
        <w:rPr>
          <w:rFonts w:ascii="Times New Roman" w:hAnsi="Times New Roman" w:cs="Times New Roman"/>
          <w:i/>
          <w:iCs/>
        </w:rPr>
        <w:t>The Oxford Handbook of Comparative Law</w:t>
      </w:r>
      <w:r w:rsidRPr="00CB3F88">
        <w:rPr>
          <w:rFonts w:ascii="Times New Roman" w:hAnsi="Times New Roman" w:cs="Times New Roman"/>
        </w:rPr>
        <w:t xml:space="preserve"> (Oxford University Press 2006) 361.</w:t>
      </w:r>
    </w:p>
  </w:footnote>
  <w:footnote w:id="17">
    <w:p w14:paraId="06FEFDA2" w14:textId="658F8CDC" w:rsidR="00E16425" w:rsidRPr="00CB3F88" w:rsidRDefault="00E16425" w:rsidP="00E16425">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bookmarkStart w:id="1" w:name="_Hlk51521445"/>
      <w:r w:rsidRPr="00CB3F88">
        <w:rPr>
          <w:rFonts w:ascii="Times New Roman" w:hAnsi="Times New Roman" w:cs="Times New Roman"/>
        </w:rPr>
        <w:t>Lindsay X. Lin, 'Deconstructing Decentralized Exchanges' [2019] Stanford Journal of Blockchain Law &amp; Policy.</w:t>
      </w:r>
      <w:bookmarkEnd w:id="1"/>
    </w:p>
  </w:footnote>
  <w:footnote w:id="18">
    <w:p w14:paraId="25D89668" w14:textId="77777777" w:rsidR="00987BEB" w:rsidRPr="00CB3F88" w:rsidRDefault="00987BEB" w:rsidP="004771E8">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European Central Bank, 'Virtual Currency Schemes' (2012) 44.</w:t>
      </w:r>
    </w:p>
  </w:footnote>
  <w:footnote w:id="19">
    <w:p w14:paraId="5E6094AC" w14:textId="77777777" w:rsidR="00987BEB" w:rsidRPr="00CB3F88" w:rsidRDefault="00987BEB" w:rsidP="00387645">
      <w:pPr>
        <w:pStyle w:val="FootnoteText"/>
        <w:spacing w:after="120"/>
        <w:ind w:left="113" w:hanging="113"/>
        <w:jc w:val="both"/>
        <w:rPr>
          <w:rFonts w:ascii="Times New Roman" w:hAnsi="Times New Roman" w:cs="Times New Roman"/>
          <w:i/>
          <w:iC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Garrick Hileman and Michel </w:t>
      </w:r>
      <w:proofErr w:type="spellStart"/>
      <w:r w:rsidRPr="00CB3F88">
        <w:rPr>
          <w:rFonts w:ascii="Times New Roman" w:hAnsi="Times New Roman" w:cs="Times New Roman"/>
        </w:rPr>
        <w:t>Rauchs</w:t>
      </w:r>
      <w:proofErr w:type="spellEnd"/>
      <w:r w:rsidRPr="00CB3F88">
        <w:rPr>
          <w:rFonts w:ascii="Times New Roman" w:hAnsi="Times New Roman" w:cs="Times New Roman"/>
        </w:rPr>
        <w:t>, </w:t>
      </w:r>
      <w:r w:rsidRPr="00CB3F88">
        <w:rPr>
          <w:rFonts w:ascii="Times New Roman" w:hAnsi="Times New Roman" w:cs="Times New Roman"/>
          <w:i/>
          <w:iCs/>
        </w:rPr>
        <w:t>Global Cryptocurrency Benchmarking Study</w:t>
      </w:r>
      <w:r w:rsidRPr="00CB3F88">
        <w:rPr>
          <w:rFonts w:ascii="Times New Roman" w:hAnsi="Times New Roman" w:cs="Times New Roman"/>
        </w:rPr>
        <w:t> (Cambridge Centre for Alternative Finance 2017) 28.</w:t>
      </w:r>
    </w:p>
  </w:footnote>
  <w:footnote w:id="20">
    <w:p w14:paraId="4DAEE28E" w14:textId="3B5567F8" w:rsidR="00987BEB" w:rsidRPr="00CB3F88" w:rsidRDefault="00987BEB" w:rsidP="00387645">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European Central Bank (</w:t>
      </w:r>
      <w:r w:rsidR="009A15FC">
        <w:rPr>
          <w:rFonts w:ascii="Times New Roman" w:hAnsi="Times New Roman" w:cs="Times New Roman"/>
        </w:rPr>
        <w:t>n 18</w:t>
      </w:r>
      <w:r w:rsidRPr="00CB3F88">
        <w:rPr>
          <w:rFonts w:ascii="Times New Roman" w:hAnsi="Times New Roman" w:cs="Times New Roman"/>
        </w:rPr>
        <w:t>) 21.</w:t>
      </w:r>
    </w:p>
  </w:footnote>
  <w:footnote w:id="21">
    <w:p w14:paraId="50365F0C" w14:textId="77777777" w:rsidR="00987BEB" w:rsidRPr="00CB3F88" w:rsidRDefault="00987BEB" w:rsidP="00387645">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2" w:name="_Hlk39405941"/>
      <w:r w:rsidRPr="00CB3F88">
        <w:rPr>
          <w:rFonts w:ascii="Times New Roman" w:hAnsi="Times New Roman" w:cs="Times New Roman"/>
        </w:rPr>
        <w:t>Paul Vigna and Michael Casey, </w:t>
      </w:r>
      <w:r w:rsidRPr="00CB3F88">
        <w:rPr>
          <w:rFonts w:ascii="Times New Roman" w:hAnsi="Times New Roman" w:cs="Times New Roman"/>
          <w:i/>
          <w:iCs/>
        </w:rPr>
        <w:t>The Age of Cryptocurrency: How Bitcoin and Digital Money Are Challenging the Global Economic Order</w:t>
      </w:r>
      <w:r w:rsidRPr="00CB3F88">
        <w:rPr>
          <w:rFonts w:ascii="Times New Roman" w:hAnsi="Times New Roman" w:cs="Times New Roman"/>
        </w:rPr>
        <w:t> (Macmillan 2015) 124-126.</w:t>
      </w:r>
      <w:bookmarkEnd w:id="2"/>
    </w:p>
  </w:footnote>
  <w:footnote w:id="22">
    <w:p w14:paraId="58D70C63" w14:textId="69F156D3" w:rsidR="00987BEB" w:rsidRPr="00CB3F88" w:rsidRDefault="00987BEB" w:rsidP="003A256A">
      <w:pPr>
        <w:pStyle w:val="FootnoteText"/>
        <w:spacing w:after="120"/>
        <w:ind w:left="113" w:hanging="113"/>
        <w:jc w:val="both"/>
        <w:rPr>
          <w:rFonts w:ascii="Times New Roman" w:hAnsi="Times New Roman" w:cs="Times New Roman"/>
          <w:i/>
          <w:iC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Garrick Hileman and Michel </w:t>
      </w:r>
      <w:proofErr w:type="spellStart"/>
      <w:r w:rsidRPr="00CB3F88">
        <w:rPr>
          <w:rFonts w:ascii="Times New Roman" w:hAnsi="Times New Roman" w:cs="Times New Roman"/>
        </w:rPr>
        <w:t>Rauchs</w:t>
      </w:r>
      <w:proofErr w:type="spellEnd"/>
      <w:r w:rsidRPr="00CB3F88">
        <w:rPr>
          <w:rFonts w:ascii="Times New Roman" w:hAnsi="Times New Roman" w:cs="Times New Roman"/>
        </w:rPr>
        <w:t xml:space="preserve"> (</w:t>
      </w:r>
      <w:r w:rsidR="00876AD8">
        <w:rPr>
          <w:rFonts w:ascii="Times New Roman" w:hAnsi="Times New Roman" w:cs="Times New Roman"/>
        </w:rPr>
        <w:t>n 19</w:t>
      </w:r>
      <w:r w:rsidRPr="00CB3F88">
        <w:rPr>
          <w:rFonts w:ascii="Times New Roman" w:hAnsi="Times New Roman" w:cs="Times New Roman"/>
        </w:rPr>
        <w:t>) 48.</w:t>
      </w:r>
    </w:p>
  </w:footnote>
  <w:footnote w:id="23">
    <w:p w14:paraId="1D492B23" w14:textId="1A67E20F" w:rsidR="00987BEB" w:rsidRPr="00CB3F88" w:rsidRDefault="00987BEB" w:rsidP="003A256A">
      <w:pPr>
        <w:pStyle w:val="FootnoteText"/>
        <w:spacing w:after="120"/>
        <w:ind w:left="113" w:hanging="113"/>
        <w:jc w:val="both"/>
        <w:rPr>
          <w:rFonts w:ascii="Times New Roman" w:hAnsi="Times New Roman" w:cs="Times New Roman"/>
          <w:i/>
          <w:iC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Garrick Hileman and Michel </w:t>
      </w:r>
      <w:proofErr w:type="spellStart"/>
      <w:r w:rsidRPr="00CB3F88">
        <w:rPr>
          <w:rFonts w:ascii="Times New Roman" w:hAnsi="Times New Roman" w:cs="Times New Roman"/>
        </w:rPr>
        <w:t>Rauchs</w:t>
      </w:r>
      <w:proofErr w:type="spellEnd"/>
      <w:r w:rsidRPr="00CB3F88">
        <w:rPr>
          <w:rFonts w:ascii="Times New Roman" w:hAnsi="Times New Roman" w:cs="Times New Roman"/>
        </w:rPr>
        <w:t xml:space="preserve"> (</w:t>
      </w:r>
      <w:r w:rsidR="00876AD8">
        <w:rPr>
          <w:rFonts w:ascii="Times New Roman" w:hAnsi="Times New Roman" w:cs="Times New Roman"/>
        </w:rPr>
        <w:t>n 19</w:t>
      </w:r>
      <w:r w:rsidRPr="00CB3F88">
        <w:rPr>
          <w:rFonts w:ascii="Times New Roman" w:hAnsi="Times New Roman" w:cs="Times New Roman"/>
        </w:rPr>
        <w:t>) 48.</w:t>
      </w:r>
    </w:p>
  </w:footnote>
  <w:footnote w:id="24">
    <w:p w14:paraId="38DF78A9" w14:textId="77777777" w:rsidR="00987BEB" w:rsidRPr="00CB3F88" w:rsidRDefault="00987BEB" w:rsidP="00CB089A">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3" w:name="_Hlk39391390"/>
      <w:r w:rsidRPr="00CB3F88">
        <w:rPr>
          <w:rFonts w:ascii="Times New Roman" w:hAnsi="Times New Roman" w:cs="Times New Roman"/>
        </w:rPr>
        <w:t xml:space="preserve">Robert Hockett and </w:t>
      </w:r>
      <w:proofErr w:type="spellStart"/>
      <w:r w:rsidRPr="00CB3F88">
        <w:rPr>
          <w:rFonts w:ascii="Times New Roman" w:hAnsi="Times New Roman" w:cs="Times New Roman"/>
        </w:rPr>
        <w:t>Saule</w:t>
      </w:r>
      <w:proofErr w:type="spellEnd"/>
      <w:r w:rsidRPr="00CB3F88">
        <w:rPr>
          <w:rFonts w:ascii="Times New Roman" w:hAnsi="Times New Roman" w:cs="Times New Roman"/>
        </w:rPr>
        <w:t xml:space="preserve"> </w:t>
      </w:r>
      <w:proofErr w:type="spellStart"/>
      <w:r w:rsidRPr="00CB3F88">
        <w:rPr>
          <w:rFonts w:ascii="Times New Roman" w:hAnsi="Times New Roman" w:cs="Times New Roman"/>
        </w:rPr>
        <w:t>Omarova</w:t>
      </w:r>
      <w:proofErr w:type="spellEnd"/>
      <w:r w:rsidRPr="00CB3F88">
        <w:rPr>
          <w:rFonts w:ascii="Times New Roman" w:hAnsi="Times New Roman" w:cs="Times New Roman"/>
        </w:rPr>
        <w:t>, 'The Finance Franchise' (2017) 102 Cornell Law Review 1143-1218.</w:t>
      </w:r>
      <w:bookmarkEnd w:id="3"/>
    </w:p>
  </w:footnote>
  <w:footnote w:id="25">
    <w:p w14:paraId="5EF816EE" w14:textId="77777777" w:rsidR="00987BEB" w:rsidRPr="00CB3F88" w:rsidRDefault="00987BEB" w:rsidP="000E4ACA">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4" w:name="_Hlk39391933"/>
      <w:r w:rsidRPr="00CB3F88">
        <w:rPr>
          <w:rFonts w:ascii="Times New Roman" w:hAnsi="Times New Roman" w:cs="Times New Roman"/>
          <w:lang w:val="en-US"/>
        </w:rPr>
        <w:t xml:space="preserve">Malte </w:t>
      </w:r>
      <w:proofErr w:type="spellStart"/>
      <w:r w:rsidRPr="00CB3F88">
        <w:rPr>
          <w:rFonts w:ascii="Times New Roman" w:hAnsi="Times New Roman" w:cs="Times New Roman"/>
          <w:lang w:val="en-US"/>
        </w:rPr>
        <w:t>Möser</w:t>
      </w:r>
      <w:proofErr w:type="spellEnd"/>
      <w:r w:rsidRPr="00CB3F88">
        <w:rPr>
          <w:rFonts w:ascii="Times New Roman" w:hAnsi="Times New Roman" w:cs="Times New Roman"/>
          <w:lang w:val="en-US"/>
        </w:rPr>
        <w:t xml:space="preserve">, 'Anonymity of Bitcoin Transactions: An Analysis of Mixing Services', </w:t>
      </w:r>
      <w:r w:rsidRPr="00CB3F88">
        <w:rPr>
          <w:rFonts w:ascii="Times New Roman" w:hAnsi="Times New Roman" w:cs="Times New Roman"/>
          <w:i/>
          <w:iCs/>
          <w:lang w:val="en-US"/>
        </w:rPr>
        <w:t>Münster Bitcoin Conference</w:t>
      </w:r>
      <w:r w:rsidRPr="00CB3F88">
        <w:rPr>
          <w:rFonts w:ascii="Times New Roman" w:hAnsi="Times New Roman" w:cs="Times New Roman"/>
          <w:lang w:val="en-US"/>
        </w:rPr>
        <w:t xml:space="preserve"> (2013).</w:t>
      </w:r>
      <w:bookmarkEnd w:id="4"/>
    </w:p>
  </w:footnote>
  <w:footnote w:id="26">
    <w:p w14:paraId="2CF8B759" w14:textId="77777777" w:rsidR="00987BEB" w:rsidRPr="00CB3F88" w:rsidRDefault="00987BEB" w:rsidP="000E4ACA">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5" w:name="_Hlk39394414"/>
      <w:r w:rsidRPr="00CB3F88">
        <w:rPr>
          <w:rFonts w:ascii="Times New Roman" w:hAnsi="Times New Roman" w:cs="Times New Roman"/>
          <w:iCs/>
        </w:rPr>
        <w:t>'Guide on Privacy Coins: Comparison of Anonymous Cryptocurrencies' (</w:t>
      </w:r>
      <w:r w:rsidRPr="00CB3F88">
        <w:rPr>
          <w:rFonts w:ascii="Times New Roman" w:hAnsi="Times New Roman" w:cs="Times New Roman"/>
          <w:i/>
        </w:rPr>
        <w:t>Master the Crypto: Cryptocurrency Investment Trading Guides</w:t>
      </w:r>
      <w:r w:rsidRPr="00CB3F88">
        <w:rPr>
          <w:rFonts w:ascii="Times New Roman" w:hAnsi="Times New Roman" w:cs="Times New Roman"/>
          <w:iCs/>
        </w:rPr>
        <w:t>) &lt;https://masterthecrypto.com/privacy-coins-anonymous-cryptocurrencies/&gt; accessed 3 May 2020.</w:t>
      </w:r>
      <w:bookmarkEnd w:id="5"/>
    </w:p>
  </w:footnote>
  <w:footnote w:id="27">
    <w:p w14:paraId="5890AAFD" w14:textId="55D5DCB5" w:rsidR="00987BEB" w:rsidRPr="00CB3F88" w:rsidRDefault="00987BEB" w:rsidP="00742694">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6" w:name="_Hlk51517927"/>
      <w:r w:rsidR="007F4ECB" w:rsidRPr="007F4ECB">
        <w:rPr>
          <w:rFonts w:ascii="Times New Roman" w:hAnsi="Times New Roman" w:cs="Times New Roman"/>
        </w:rPr>
        <w:t xml:space="preserve">Philipp </w:t>
      </w:r>
      <w:proofErr w:type="spellStart"/>
      <w:r w:rsidR="007F4ECB" w:rsidRPr="007F4ECB">
        <w:rPr>
          <w:rFonts w:ascii="Times New Roman" w:hAnsi="Times New Roman" w:cs="Times New Roman"/>
        </w:rPr>
        <w:t>Maume</w:t>
      </w:r>
      <w:proofErr w:type="spellEnd"/>
      <w:r w:rsidR="007F4ECB" w:rsidRPr="007F4ECB">
        <w:rPr>
          <w:rFonts w:ascii="Times New Roman" w:hAnsi="Times New Roman" w:cs="Times New Roman"/>
        </w:rPr>
        <w:t xml:space="preserve"> and Mathias </w:t>
      </w:r>
      <w:proofErr w:type="spellStart"/>
      <w:r w:rsidR="007F4ECB" w:rsidRPr="007F4ECB">
        <w:rPr>
          <w:rFonts w:ascii="Times New Roman" w:hAnsi="Times New Roman" w:cs="Times New Roman"/>
        </w:rPr>
        <w:t>Fromberger</w:t>
      </w:r>
      <w:proofErr w:type="spellEnd"/>
      <w:r w:rsidR="007F4ECB" w:rsidRPr="007F4ECB">
        <w:rPr>
          <w:rFonts w:ascii="Times New Roman" w:hAnsi="Times New Roman" w:cs="Times New Roman"/>
        </w:rPr>
        <w:t>, 'Regulation of Initial Coin Offerings: Reconciling U.S. and E.U. Securities Laws' (2019) 19 Chicago Journal of International Law 548-585</w:t>
      </w:r>
      <w:r w:rsidR="007F4ECB">
        <w:rPr>
          <w:rFonts w:ascii="Times New Roman" w:hAnsi="Times New Roman" w:cs="Times New Roman"/>
        </w:rPr>
        <w:t>.</w:t>
      </w:r>
      <w:bookmarkEnd w:id="6"/>
    </w:p>
  </w:footnote>
  <w:footnote w:id="28">
    <w:p w14:paraId="6A7FF7B9" w14:textId="77777777" w:rsidR="00987BEB" w:rsidRPr="00CB3F88" w:rsidRDefault="00987BEB" w:rsidP="0074269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7" w:name="_Hlk34659017"/>
      <w:r w:rsidRPr="00CB3F88">
        <w:rPr>
          <w:rFonts w:ascii="Times New Roman" w:hAnsi="Times New Roman" w:cs="Times New Roman"/>
          <w:lang w:val="en-US"/>
        </w:rPr>
        <w:t xml:space="preserve">Case C‑264/14 </w:t>
      </w:r>
      <w:proofErr w:type="spellStart"/>
      <w:r w:rsidRPr="00CB3F88">
        <w:rPr>
          <w:rFonts w:ascii="Times New Roman" w:hAnsi="Times New Roman" w:cs="Times New Roman"/>
          <w:i/>
          <w:iCs/>
          <w:lang w:val="en-US"/>
        </w:rPr>
        <w:t>Skatteverket</w:t>
      </w:r>
      <w:proofErr w:type="spellEnd"/>
      <w:r w:rsidRPr="00CB3F88">
        <w:rPr>
          <w:rFonts w:ascii="Times New Roman" w:hAnsi="Times New Roman" w:cs="Times New Roman"/>
          <w:i/>
          <w:iCs/>
          <w:lang w:val="en-US"/>
        </w:rPr>
        <w:t xml:space="preserve"> v David </w:t>
      </w:r>
      <w:proofErr w:type="spellStart"/>
      <w:r w:rsidRPr="00CB3F88">
        <w:rPr>
          <w:rFonts w:ascii="Times New Roman" w:hAnsi="Times New Roman" w:cs="Times New Roman"/>
          <w:i/>
          <w:iCs/>
          <w:lang w:val="en-US"/>
        </w:rPr>
        <w:t>Hedqvist</w:t>
      </w:r>
      <w:bookmarkEnd w:id="7"/>
      <w:proofErr w:type="spellEnd"/>
      <w:r w:rsidRPr="00CB3F88">
        <w:rPr>
          <w:rFonts w:ascii="Times New Roman" w:hAnsi="Times New Roman" w:cs="Times New Roman"/>
          <w:lang w:val="en-US"/>
        </w:rPr>
        <w:t xml:space="preserve"> [2015] ECR I-718</w:t>
      </w:r>
      <w:r w:rsidRPr="00CB3F88">
        <w:rPr>
          <w:rFonts w:ascii="Times New Roman" w:hAnsi="Times New Roman" w:cs="Times New Roman"/>
          <w:lang w:val="nl-BE"/>
        </w:rPr>
        <w:t>.</w:t>
      </w:r>
    </w:p>
  </w:footnote>
  <w:footnote w:id="29">
    <w:p w14:paraId="0DCED71F" w14:textId="77777777" w:rsidR="00987BEB" w:rsidRPr="00CB3F88" w:rsidRDefault="00987BEB" w:rsidP="0074269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Ibid</w:t>
      </w:r>
      <w:r w:rsidRPr="00CB3F88">
        <w:rPr>
          <w:rFonts w:ascii="Times New Roman" w:hAnsi="Times New Roman" w:cs="Times New Roman"/>
          <w:lang w:val="nl-BE"/>
        </w:rPr>
        <w:t>.</w:t>
      </w:r>
    </w:p>
  </w:footnote>
  <w:footnote w:id="30">
    <w:p w14:paraId="61983535" w14:textId="3B12F905" w:rsidR="00987BEB" w:rsidRPr="00CB3F88" w:rsidRDefault="00987BEB" w:rsidP="0074269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i/>
          <w:iCs/>
        </w:rPr>
        <w:t xml:space="preserve">AA v Persons Unknown &amp; </w:t>
      </w:r>
      <w:proofErr w:type="spellStart"/>
      <w:r w:rsidRPr="00CB3F88">
        <w:rPr>
          <w:rFonts w:ascii="Times New Roman" w:hAnsi="Times New Roman" w:cs="Times New Roman"/>
          <w:i/>
          <w:iCs/>
        </w:rPr>
        <w:t>Ors</w:t>
      </w:r>
      <w:proofErr w:type="spellEnd"/>
      <w:r w:rsidRPr="00CB3F88">
        <w:rPr>
          <w:rFonts w:ascii="Times New Roman" w:hAnsi="Times New Roman" w:cs="Times New Roman"/>
          <w:i/>
          <w:iCs/>
        </w:rPr>
        <w:t>, Re Bitcoin</w:t>
      </w:r>
      <w:r w:rsidRPr="00CB3F88">
        <w:rPr>
          <w:rFonts w:ascii="Times New Roman" w:hAnsi="Times New Roman" w:cs="Times New Roman"/>
        </w:rPr>
        <w:t xml:space="preserve"> [2019] EWHC 3556 (Comm).</w:t>
      </w:r>
    </w:p>
  </w:footnote>
  <w:footnote w:id="31">
    <w:p w14:paraId="778717CE" w14:textId="77777777" w:rsidR="00987BEB" w:rsidRPr="00CB3F88" w:rsidRDefault="00987BEB" w:rsidP="0074269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lang w:val="en-US"/>
        </w:rPr>
        <w:t>Sentencia</w:t>
      </w:r>
      <w:proofErr w:type="spellEnd"/>
      <w:r w:rsidRPr="00CB3F88">
        <w:rPr>
          <w:rFonts w:ascii="Times New Roman" w:hAnsi="Times New Roman" w:cs="Times New Roman"/>
          <w:lang w:val="en-US"/>
        </w:rPr>
        <w:t xml:space="preserve"> del Tribunal Supremo (Sala 2ª, </w:t>
      </w:r>
      <w:proofErr w:type="spellStart"/>
      <w:r w:rsidRPr="00CB3F88">
        <w:rPr>
          <w:rFonts w:ascii="Times New Roman" w:hAnsi="Times New Roman" w:cs="Times New Roman"/>
          <w:lang w:val="en-US"/>
        </w:rPr>
        <w:t>Sección</w:t>
      </w:r>
      <w:proofErr w:type="spellEnd"/>
      <w:r w:rsidRPr="00CB3F88">
        <w:rPr>
          <w:rFonts w:ascii="Times New Roman" w:hAnsi="Times New Roman" w:cs="Times New Roman"/>
          <w:lang w:val="en-US"/>
        </w:rPr>
        <w:t xml:space="preserve"> 2ª) nº 326/2019 (</w:t>
      </w:r>
      <w:proofErr w:type="spellStart"/>
      <w:r w:rsidRPr="00CB3F88">
        <w:rPr>
          <w:rFonts w:ascii="Times New Roman" w:hAnsi="Times New Roman" w:cs="Times New Roman"/>
          <w:lang w:val="en-US"/>
        </w:rPr>
        <w:t>recurso</w:t>
      </w:r>
      <w:proofErr w:type="spellEnd"/>
      <w:r w:rsidRPr="00CB3F88">
        <w:rPr>
          <w:rFonts w:ascii="Times New Roman" w:hAnsi="Times New Roman" w:cs="Times New Roman"/>
          <w:lang w:val="en-US"/>
        </w:rPr>
        <w:t xml:space="preserve"> nº 998/2018) de 20 de Junio de 2019.</w:t>
      </w:r>
    </w:p>
  </w:footnote>
  <w:footnote w:id="32">
    <w:p w14:paraId="2E90B628" w14:textId="18838AB6" w:rsidR="00987BEB" w:rsidRPr="00CB3F88" w:rsidRDefault="00987BEB" w:rsidP="00742694">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Comm. Nanterre (6e </w:t>
      </w:r>
      <w:proofErr w:type="spellStart"/>
      <w:r w:rsidRPr="00CB3F88">
        <w:rPr>
          <w:rFonts w:ascii="Times New Roman" w:hAnsi="Times New Roman" w:cs="Times New Roman"/>
          <w:lang w:val="en-US"/>
        </w:rPr>
        <w:t>ch.</w:t>
      </w:r>
      <w:proofErr w:type="spellEnd"/>
      <w:r w:rsidRPr="00CB3F88">
        <w:rPr>
          <w:rFonts w:ascii="Times New Roman" w:hAnsi="Times New Roman" w:cs="Times New Roman"/>
          <w:lang w:val="en-US"/>
        </w:rPr>
        <w:t xml:space="preserve">), 26 </w:t>
      </w:r>
      <w:proofErr w:type="spellStart"/>
      <w:r w:rsidRPr="00CB3F88">
        <w:rPr>
          <w:rFonts w:ascii="Times New Roman" w:hAnsi="Times New Roman" w:cs="Times New Roman"/>
          <w:lang w:val="en-US"/>
        </w:rPr>
        <w:t>février</w:t>
      </w:r>
      <w:proofErr w:type="spellEnd"/>
      <w:r w:rsidRPr="00CB3F88">
        <w:rPr>
          <w:rFonts w:ascii="Times New Roman" w:hAnsi="Times New Roman" w:cs="Times New Roman"/>
          <w:lang w:val="en-US"/>
        </w:rPr>
        <w:t xml:space="preserve"> 2020.</w:t>
      </w:r>
    </w:p>
  </w:footnote>
  <w:footnote w:id="33">
    <w:p w14:paraId="7DFAB00C" w14:textId="77777777" w:rsidR="00987BEB" w:rsidRPr="00CB3F88" w:rsidRDefault="00987BEB" w:rsidP="00BD387C">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8" w:name="_Hlk39600485"/>
      <w:r w:rsidRPr="00CB3F88">
        <w:rPr>
          <w:rFonts w:ascii="Times New Roman" w:hAnsi="Times New Roman" w:cs="Times New Roman"/>
          <w:lang w:val="en-US"/>
        </w:rPr>
        <w:t>Directive 2009/110/EC of the European Parliament and of the Council of 16 September 2009 on the taking up, pursuit and prudential supervision of the business of electronic money institutions amending Directives 2005/60/EC and 2006/48/EC and repealing Directive 2000/46/EC OJ L 267, 10.10.2009, p. 7–17, Article 2(2).</w:t>
      </w:r>
      <w:bookmarkEnd w:id="8"/>
    </w:p>
  </w:footnote>
  <w:footnote w:id="34">
    <w:p w14:paraId="44BD1563" w14:textId="73839008" w:rsidR="00987BEB" w:rsidRPr="00CB3F88" w:rsidRDefault="00987BEB" w:rsidP="00BD387C">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Directive 2009/110/EC (n </w:t>
      </w:r>
      <w:r w:rsidR="00323345">
        <w:rPr>
          <w:rFonts w:ascii="Times New Roman" w:hAnsi="Times New Roman" w:cs="Times New Roman"/>
          <w:lang w:val="en-US"/>
        </w:rPr>
        <w:t>3</w:t>
      </w:r>
      <w:r w:rsidR="002E6E5A">
        <w:rPr>
          <w:rFonts w:ascii="Times New Roman" w:hAnsi="Times New Roman" w:cs="Times New Roman"/>
          <w:lang w:val="en-US"/>
        </w:rPr>
        <w:t>3</w:t>
      </w:r>
      <w:r w:rsidRPr="00CB3F88">
        <w:rPr>
          <w:rFonts w:ascii="Times New Roman" w:hAnsi="Times New Roman" w:cs="Times New Roman"/>
          <w:lang w:val="en-US"/>
        </w:rPr>
        <w:t>), Article 11(2).</w:t>
      </w:r>
    </w:p>
  </w:footnote>
  <w:footnote w:id="35">
    <w:p w14:paraId="1CED6DBE" w14:textId="77777777" w:rsidR="00987BEB" w:rsidRPr="00CB3F88" w:rsidRDefault="00987BEB" w:rsidP="00BD387C">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iCs/>
          <w:lang w:val="en-US"/>
        </w:rPr>
        <w:t xml:space="preserve">Noah </w:t>
      </w:r>
      <w:proofErr w:type="spellStart"/>
      <w:r w:rsidRPr="00CB3F88">
        <w:rPr>
          <w:rFonts w:ascii="Times New Roman" w:hAnsi="Times New Roman" w:cs="Times New Roman"/>
          <w:iCs/>
          <w:lang w:val="en-US"/>
        </w:rPr>
        <w:t>Vardi</w:t>
      </w:r>
      <w:proofErr w:type="spellEnd"/>
      <w:r w:rsidRPr="00CB3F88">
        <w:rPr>
          <w:rFonts w:ascii="Times New Roman" w:hAnsi="Times New Roman" w:cs="Times New Roman"/>
          <w:iCs/>
          <w:lang w:val="en-US"/>
        </w:rPr>
        <w:t xml:space="preserve">, 'Bit by Bit: Assessing the Legal Nature of Virtual Currencies', </w:t>
      </w:r>
      <w:r w:rsidRPr="00CB3F88">
        <w:rPr>
          <w:rFonts w:ascii="Times New Roman" w:hAnsi="Times New Roman" w:cs="Times New Roman"/>
          <w:i/>
          <w:lang w:val="en-US"/>
        </w:rPr>
        <w:t>Bitcoin and Mobile Payments: Constructing a European Union Framework</w:t>
      </w:r>
      <w:r w:rsidRPr="00CB3F88">
        <w:rPr>
          <w:rFonts w:ascii="Times New Roman" w:hAnsi="Times New Roman" w:cs="Times New Roman"/>
          <w:iCs/>
          <w:lang w:val="en-US"/>
        </w:rPr>
        <w:t xml:space="preserve"> (Palgrave Macmillan 2016) 55-71.</w:t>
      </w:r>
    </w:p>
  </w:footnote>
  <w:footnote w:id="36">
    <w:p w14:paraId="5247F0C8" w14:textId="77777777" w:rsidR="00834A47" w:rsidRPr="00CB3F88" w:rsidRDefault="00834A47" w:rsidP="00834A47">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rPr>
        <w:t xml:space="preserve"> </w:t>
      </w:r>
      <w:bookmarkStart w:id="10" w:name="_Hlk51689359"/>
      <w:r w:rsidRPr="00CB3F88">
        <w:rPr>
          <w:rFonts w:ascii="Times New Roman" w:hAnsi="Times New Roman" w:cs="Times New Roman"/>
        </w:rPr>
        <w:t>'Money Laundering' (</w:t>
      </w:r>
      <w:r w:rsidRPr="00CB3F88">
        <w:rPr>
          <w:rFonts w:ascii="Times New Roman" w:hAnsi="Times New Roman" w:cs="Times New Roman"/>
          <w:i/>
          <w:iCs/>
        </w:rPr>
        <w:t>Financial Action Task Force</w:t>
      </w:r>
      <w:r w:rsidRPr="00CB3F88">
        <w:rPr>
          <w:rFonts w:ascii="Times New Roman" w:hAnsi="Times New Roman" w:cs="Times New Roman"/>
        </w:rPr>
        <w:t>, 2011) &lt;https://www.fatf-gafi.org/faq/moneylaundering/&gt; accessed 9 March 2020.</w:t>
      </w:r>
      <w:bookmarkEnd w:id="10"/>
    </w:p>
  </w:footnote>
  <w:footnote w:id="37">
    <w:p w14:paraId="5085A3FB" w14:textId="77777777" w:rsidR="00987BEB" w:rsidRPr="00CB3F88" w:rsidRDefault="00987BEB" w:rsidP="009D43E5">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CB3F88">
        <w:rPr>
          <w:rFonts w:ascii="Times New Roman" w:hAnsi="Times New Roman" w:cs="Times New Roman"/>
        </w:rPr>
        <w:t>'Ransomware' (</w:t>
      </w:r>
      <w:r w:rsidRPr="00CB3F88">
        <w:rPr>
          <w:rFonts w:ascii="Times New Roman" w:hAnsi="Times New Roman" w:cs="Times New Roman"/>
          <w:i/>
          <w:iCs/>
        </w:rPr>
        <w:t>Department of Homeland Security</w:t>
      </w:r>
      <w:r w:rsidRPr="00CB3F88">
        <w:rPr>
          <w:rFonts w:ascii="Times New Roman" w:hAnsi="Times New Roman" w:cs="Times New Roman"/>
        </w:rPr>
        <w:t>) &lt;https://www.us-cert.gov/Ransomware&gt; accessed 5 May 2020.</w:t>
      </w:r>
    </w:p>
  </w:footnote>
  <w:footnote w:id="38">
    <w:p w14:paraId="62828491" w14:textId="77777777" w:rsidR="00987BEB" w:rsidRPr="00CB3F88" w:rsidRDefault="00987BEB" w:rsidP="009D43E5">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11" w:name="_Hlk39584094"/>
      <w:r w:rsidRPr="00CB3F88">
        <w:rPr>
          <w:rFonts w:ascii="Times New Roman" w:hAnsi="Times New Roman" w:cs="Times New Roman"/>
        </w:rPr>
        <w:t>European Union Agency for Law Enforcement Cooperation, 'Internet Organised Crime Threat Assessment' (2019) 54.</w:t>
      </w:r>
      <w:bookmarkEnd w:id="11"/>
    </w:p>
  </w:footnote>
  <w:footnote w:id="39">
    <w:p w14:paraId="1B5D1528" w14:textId="77777777" w:rsidR="00987BEB" w:rsidRPr="00CB3F88" w:rsidRDefault="00987BEB" w:rsidP="001E29E7">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bookmarkStart w:id="12" w:name="_Hlk39585156"/>
      <w:r w:rsidRPr="00CB3F88">
        <w:rPr>
          <w:rFonts w:ascii="Times New Roman" w:hAnsi="Times New Roman" w:cs="Times New Roman"/>
        </w:rPr>
        <w:t>Malcolm Campbell-Verduyn, 'Bitcoin, Crypto-Coins, And Global Anti-Money Laundering Governance' (2018) 69 Crime, Law and Social Change 283–305</w:t>
      </w:r>
      <w:bookmarkEnd w:id="12"/>
      <w:r w:rsidRPr="00CB3F88">
        <w:rPr>
          <w:rFonts w:ascii="Times New Roman" w:hAnsi="Times New Roman" w:cs="Times New Roman"/>
        </w:rPr>
        <w:t>.</w:t>
      </w:r>
    </w:p>
  </w:footnote>
  <w:footnote w:id="40">
    <w:p w14:paraId="5CCC2E96" w14:textId="77777777" w:rsidR="00987BEB" w:rsidRPr="00CB3F88" w:rsidRDefault="00987BEB" w:rsidP="001E29E7">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bookmarkStart w:id="13" w:name="_Hlk39599305"/>
      <w:r w:rsidRPr="00CB3F88">
        <w:rPr>
          <w:rFonts w:ascii="Times New Roman" w:hAnsi="Times New Roman" w:cs="Times New Roman"/>
        </w:rPr>
        <w:t>Robert Stokes, 'Virtual Money Laundering: The Case of Bitcoin and The Linden Dollar' (2012) 21 Information &amp; Communications Technology Law 221-236.</w:t>
      </w:r>
      <w:bookmarkEnd w:id="13"/>
    </w:p>
  </w:footnote>
  <w:footnote w:id="41">
    <w:p w14:paraId="4D05BB30" w14:textId="77777777" w:rsidR="00987BEB" w:rsidRPr="00CB3F88" w:rsidRDefault="00987BEB" w:rsidP="001E29E7">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rPr>
        <w:t>Pierpaolo</w:t>
      </w:r>
      <w:proofErr w:type="spellEnd"/>
      <w:r w:rsidRPr="00CB3F88">
        <w:rPr>
          <w:rFonts w:ascii="Times New Roman" w:hAnsi="Times New Roman" w:cs="Times New Roman"/>
        </w:rPr>
        <w:t xml:space="preserve"> </w:t>
      </w:r>
      <w:proofErr w:type="spellStart"/>
      <w:r w:rsidRPr="00CB3F88">
        <w:rPr>
          <w:rFonts w:ascii="Times New Roman" w:hAnsi="Times New Roman" w:cs="Times New Roman"/>
        </w:rPr>
        <w:t>Fratangelo</w:t>
      </w:r>
      <w:proofErr w:type="spellEnd"/>
      <w:r w:rsidRPr="00CB3F88">
        <w:rPr>
          <w:rFonts w:ascii="Times New Roman" w:hAnsi="Times New Roman" w:cs="Times New Roman"/>
        </w:rPr>
        <w:t xml:space="preserve">, 'The CDD Obligations Following a Risk-Based Approach', </w:t>
      </w:r>
      <w:r w:rsidRPr="00CB3F88">
        <w:rPr>
          <w:rFonts w:ascii="Times New Roman" w:hAnsi="Times New Roman" w:cs="Times New Roman"/>
          <w:i/>
          <w:iCs/>
        </w:rPr>
        <w:t>The New Anti-Money Laundering Law: First Perspectives on the 4th European Union Directive</w:t>
      </w:r>
      <w:r w:rsidRPr="00CB3F88">
        <w:rPr>
          <w:rFonts w:ascii="Times New Roman" w:hAnsi="Times New Roman" w:cs="Times New Roman"/>
        </w:rPr>
        <w:t xml:space="preserve"> (Palgrave Macmillan 2016) 14-15.</w:t>
      </w:r>
    </w:p>
  </w:footnote>
  <w:footnote w:id="42">
    <w:p w14:paraId="77343734" w14:textId="77777777" w:rsidR="00987BEB" w:rsidRPr="00CB3F88" w:rsidRDefault="00987BEB" w:rsidP="000E5C9B">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rPr>
        <w:t>Carolin</w:t>
      </w:r>
      <w:proofErr w:type="spellEnd"/>
      <w:r w:rsidRPr="00CB3F88">
        <w:rPr>
          <w:rFonts w:ascii="Times New Roman" w:hAnsi="Times New Roman" w:cs="Times New Roman"/>
        </w:rPr>
        <w:t xml:space="preserve"> Kaiser, 'The Classification of Virtual Currencies and Mobile Payments in Terms of The Old and New European Anti-Money Laundering Frameworks', </w:t>
      </w:r>
      <w:r w:rsidRPr="00CB3F88">
        <w:rPr>
          <w:rFonts w:ascii="Times New Roman" w:hAnsi="Times New Roman" w:cs="Times New Roman"/>
          <w:i/>
          <w:iCs/>
        </w:rPr>
        <w:t>Bitcoin and Mobile Payments: Constructing a European Union Framework</w:t>
      </w:r>
      <w:r w:rsidRPr="00CB3F88">
        <w:rPr>
          <w:rFonts w:ascii="Times New Roman" w:hAnsi="Times New Roman" w:cs="Times New Roman"/>
        </w:rPr>
        <w:t> (Palgrave Macmillan 2016) 212-215.</w:t>
      </w:r>
    </w:p>
  </w:footnote>
  <w:footnote w:id="43">
    <w:p w14:paraId="082B6AB1" w14:textId="71E7B59C" w:rsidR="00987BEB" w:rsidRPr="00CB3F88" w:rsidRDefault="00987BEB" w:rsidP="005F0EE0">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Directive 2005/60/EC of the European Parliament and of the Council of 26 October 2005 on the prevention of the use of the financial system for the purpose of money laundering and terrorist financing OJ L 309, 25.11.2005, p. 15–36, </w:t>
      </w:r>
      <w:r>
        <w:rPr>
          <w:rFonts w:ascii="Times New Roman" w:hAnsi="Times New Roman" w:cs="Times New Roman"/>
          <w:lang w:val="en-US"/>
        </w:rPr>
        <w:t>Article 1(2)</w:t>
      </w:r>
      <w:r w:rsidRPr="00CB3F88">
        <w:rPr>
          <w:rFonts w:ascii="Times New Roman" w:hAnsi="Times New Roman" w:cs="Times New Roman"/>
          <w:lang w:val="en-US"/>
        </w:rPr>
        <w:t>.</w:t>
      </w:r>
    </w:p>
  </w:footnote>
  <w:footnote w:id="44">
    <w:p w14:paraId="48F1F558" w14:textId="59D39CE2" w:rsidR="00987BEB" w:rsidRPr="00CB3F88" w:rsidRDefault="00987BEB" w:rsidP="005F0EE0">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rPr>
        <w:t>Carolin</w:t>
      </w:r>
      <w:proofErr w:type="spellEnd"/>
      <w:r w:rsidRPr="00CB3F88">
        <w:rPr>
          <w:rFonts w:ascii="Times New Roman" w:hAnsi="Times New Roman" w:cs="Times New Roman"/>
        </w:rPr>
        <w:t xml:space="preserve"> Kaiser (n </w:t>
      </w:r>
      <w:r w:rsidR="002E6E5A">
        <w:rPr>
          <w:rFonts w:ascii="Times New Roman" w:hAnsi="Times New Roman" w:cs="Times New Roman"/>
        </w:rPr>
        <w:t>42</w:t>
      </w:r>
      <w:r w:rsidRPr="00CB3F88">
        <w:rPr>
          <w:rFonts w:ascii="Times New Roman" w:hAnsi="Times New Roman" w:cs="Times New Roman"/>
        </w:rPr>
        <w:t>) 212-215.</w:t>
      </w:r>
    </w:p>
  </w:footnote>
  <w:footnote w:id="45">
    <w:p w14:paraId="0381D34C" w14:textId="0244C285" w:rsidR="00987BEB" w:rsidRPr="00CB3F88" w:rsidRDefault="00987BEB" w:rsidP="005F0EE0">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Directive 2005/60/EC (n </w:t>
      </w:r>
      <w:r>
        <w:rPr>
          <w:rFonts w:ascii="Times New Roman" w:hAnsi="Times New Roman" w:cs="Times New Roman"/>
        </w:rPr>
        <w:t>4</w:t>
      </w:r>
      <w:r w:rsidR="00B614EA">
        <w:rPr>
          <w:rFonts w:ascii="Times New Roman" w:hAnsi="Times New Roman" w:cs="Times New Roman"/>
        </w:rPr>
        <w:t>3</w:t>
      </w:r>
      <w:r w:rsidRPr="00CB3F88">
        <w:rPr>
          <w:rFonts w:ascii="Times New Roman" w:hAnsi="Times New Roman" w:cs="Times New Roman"/>
        </w:rPr>
        <w:t>), Article 3(3).</w:t>
      </w:r>
    </w:p>
  </w:footnote>
  <w:footnote w:id="46">
    <w:p w14:paraId="30D79EDE" w14:textId="683D547B" w:rsidR="00987BEB" w:rsidRPr="00CB3F88" w:rsidRDefault="00987BEB" w:rsidP="005F0EE0">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rPr>
        <w:t>Carolin</w:t>
      </w:r>
      <w:proofErr w:type="spellEnd"/>
      <w:r w:rsidRPr="00CB3F88">
        <w:rPr>
          <w:rFonts w:ascii="Times New Roman" w:hAnsi="Times New Roman" w:cs="Times New Roman"/>
        </w:rPr>
        <w:t xml:space="preserve"> Kaiser (n </w:t>
      </w:r>
      <w:r w:rsidR="00B614EA">
        <w:rPr>
          <w:rFonts w:ascii="Times New Roman" w:hAnsi="Times New Roman" w:cs="Times New Roman"/>
        </w:rPr>
        <w:t>42</w:t>
      </w:r>
      <w:r w:rsidRPr="00CB3F88">
        <w:rPr>
          <w:rFonts w:ascii="Times New Roman" w:hAnsi="Times New Roman" w:cs="Times New Roman"/>
        </w:rPr>
        <w:t>) 212-215.</w:t>
      </w:r>
    </w:p>
  </w:footnote>
  <w:footnote w:id="47">
    <w:p w14:paraId="21673ABA" w14:textId="6B18C022" w:rsidR="00987BEB" w:rsidRPr="00CB3F88" w:rsidRDefault="00987BEB" w:rsidP="005F0EE0">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Directive 2005/60/EC (n </w:t>
      </w:r>
      <w:r>
        <w:rPr>
          <w:rFonts w:ascii="Times New Roman" w:hAnsi="Times New Roman" w:cs="Times New Roman"/>
        </w:rPr>
        <w:t>4</w:t>
      </w:r>
      <w:r w:rsidR="00B614EA">
        <w:rPr>
          <w:rFonts w:ascii="Times New Roman" w:hAnsi="Times New Roman" w:cs="Times New Roman"/>
        </w:rPr>
        <w:t>3</w:t>
      </w:r>
      <w:r w:rsidRPr="00CB3F88">
        <w:rPr>
          <w:rFonts w:ascii="Times New Roman" w:hAnsi="Times New Roman" w:cs="Times New Roman"/>
        </w:rPr>
        <w:t>), Article 3(</w:t>
      </w:r>
      <w:r>
        <w:rPr>
          <w:rFonts w:ascii="Times New Roman" w:hAnsi="Times New Roman" w:cs="Times New Roman"/>
        </w:rPr>
        <w:t>2</w:t>
      </w:r>
      <w:r w:rsidRPr="00CB3F88">
        <w:rPr>
          <w:rFonts w:ascii="Times New Roman" w:hAnsi="Times New Roman" w:cs="Times New Roman"/>
        </w:rPr>
        <w:t>)</w:t>
      </w:r>
      <w:r>
        <w:rPr>
          <w:rFonts w:ascii="Times New Roman" w:hAnsi="Times New Roman" w:cs="Times New Roman"/>
        </w:rPr>
        <w:t>(a)</w:t>
      </w:r>
      <w:r w:rsidRPr="00CB3F88">
        <w:rPr>
          <w:rFonts w:ascii="Times New Roman" w:hAnsi="Times New Roman" w:cs="Times New Roman"/>
        </w:rPr>
        <w:t>.</w:t>
      </w:r>
    </w:p>
  </w:footnote>
  <w:footnote w:id="48">
    <w:p w14:paraId="35611675" w14:textId="24B1EF0D" w:rsidR="00987BEB" w:rsidRPr="00CB3F88" w:rsidRDefault="00987BEB" w:rsidP="005F0EE0">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rPr>
        <w:t>Carolin</w:t>
      </w:r>
      <w:proofErr w:type="spellEnd"/>
      <w:r w:rsidRPr="00CB3F88">
        <w:rPr>
          <w:rFonts w:ascii="Times New Roman" w:hAnsi="Times New Roman" w:cs="Times New Roman"/>
        </w:rPr>
        <w:t xml:space="preserve"> Kaiser (n </w:t>
      </w:r>
      <w:r w:rsidR="00B614EA">
        <w:rPr>
          <w:rFonts w:ascii="Times New Roman" w:hAnsi="Times New Roman" w:cs="Times New Roman"/>
        </w:rPr>
        <w:t>42</w:t>
      </w:r>
      <w:r w:rsidRPr="00CB3F88">
        <w:rPr>
          <w:rFonts w:ascii="Times New Roman" w:hAnsi="Times New Roman" w:cs="Times New Roman"/>
        </w:rPr>
        <w:t>) 212-215.</w:t>
      </w:r>
    </w:p>
  </w:footnote>
  <w:footnote w:id="49">
    <w:p w14:paraId="46A19568" w14:textId="77777777" w:rsidR="00987BEB" w:rsidRPr="00CB3F88" w:rsidRDefault="00987BEB" w:rsidP="005F0EE0">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Mo Egan, 'A Bit(Coin) Of A Problem for The EU AML Framework', </w:t>
      </w:r>
      <w:r w:rsidRPr="00CB3F88">
        <w:rPr>
          <w:rFonts w:ascii="Times New Roman" w:hAnsi="Times New Roman" w:cs="Times New Roman"/>
          <w:i/>
          <w:iCs/>
        </w:rPr>
        <w:t>The Palgrave Handbook of Criminal and Terrorism Financing Law</w:t>
      </w:r>
      <w:r w:rsidRPr="00CB3F88">
        <w:rPr>
          <w:rFonts w:ascii="Times New Roman" w:hAnsi="Times New Roman" w:cs="Times New Roman"/>
        </w:rPr>
        <w:t> (Palgrave Macmillan 2018) 189.</w:t>
      </w:r>
    </w:p>
  </w:footnote>
  <w:footnote w:id="50">
    <w:p w14:paraId="787E6748" w14:textId="77777777" w:rsidR="00987BEB" w:rsidRPr="00CB3F88" w:rsidRDefault="00987BEB" w:rsidP="00756C02">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Financial Action Task Force and Council of Europe, 'Money Laundering Through Money Remittance and Currency Exchange Providers' (2010) 9.</w:t>
      </w:r>
    </w:p>
  </w:footnote>
  <w:footnote w:id="51">
    <w:p w14:paraId="6D29B775" w14:textId="2630E4EC" w:rsidR="00987BEB" w:rsidRPr="00CB3F88" w:rsidRDefault="00987BEB" w:rsidP="00756C02">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14" w:name="_Hlk51518256"/>
      <w:r w:rsidR="00D54C02" w:rsidRPr="00D54C02">
        <w:rPr>
          <w:rFonts w:ascii="Times New Roman" w:hAnsi="Times New Roman" w:cs="Times New Roman"/>
        </w:rPr>
        <w:t>Financial Action Task Force, 'Report on New Payment Methods' (2006) 16</w:t>
      </w:r>
      <w:r w:rsidRPr="00CB3F88">
        <w:rPr>
          <w:rFonts w:ascii="Times New Roman" w:hAnsi="Times New Roman" w:cs="Times New Roman"/>
        </w:rPr>
        <w:t>.</w:t>
      </w:r>
      <w:bookmarkEnd w:id="14"/>
    </w:p>
  </w:footnote>
  <w:footnote w:id="52">
    <w:p w14:paraId="4C3B5148" w14:textId="7C4F226C" w:rsidR="00987BEB" w:rsidRPr="00CB3F88" w:rsidRDefault="00987BEB" w:rsidP="00756C02">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Directive 2005/60/EC (n </w:t>
      </w:r>
      <w:r>
        <w:rPr>
          <w:rFonts w:ascii="Times New Roman" w:hAnsi="Times New Roman" w:cs="Times New Roman"/>
        </w:rPr>
        <w:t>4</w:t>
      </w:r>
      <w:r w:rsidR="00E70992">
        <w:rPr>
          <w:rFonts w:ascii="Times New Roman" w:hAnsi="Times New Roman" w:cs="Times New Roman"/>
        </w:rPr>
        <w:t>3</w:t>
      </w:r>
      <w:r w:rsidRPr="00CB3F88">
        <w:rPr>
          <w:rFonts w:ascii="Times New Roman" w:hAnsi="Times New Roman" w:cs="Times New Roman"/>
        </w:rPr>
        <w:t>), Recital 5.</w:t>
      </w:r>
    </w:p>
  </w:footnote>
  <w:footnote w:id="53">
    <w:p w14:paraId="634C4782" w14:textId="71E40AEC" w:rsidR="00987BEB" w:rsidRPr="00CB3F88" w:rsidRDefault="00987BEB" w:rsidP="00924B52">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European Banking Authority, 'Opinion On ‘Virtual Currencies’' (2014) 32-35.</w:t>
      </w:r>
    </w:p>
  </w:footnote>
  <w:footnote w:id="54">
    <w:p w14:paraId="0C983808" w14:textId="77777777" w:rsidR="00987BEB" w:rsidRPr="00CB3F88" w:rsidRDefault="00987BEB" w:rsidP="00924B52">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Commission, Directorate-General for Financial Stability, Financial Services and Capital Markets Union, 'Minutes of The Meeting, Payment Systems Market Expert Group' (2014) 2-3.</w:t>
      </w:r>
    </w:p>
  </w:footnote>
  <w:footnote w:id="55">
    <w:p w14:paraId="3D701C4F" w14:textId="63570A78" w:rsidR="00987BEB" w:rsidRPr="00CB3F88" w:rsidRDefault="00987BEB" w:rsidP="00924B52">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15" w:name="_Hlk37518523"/>
      <w:r w:rsidRPr="00CB3F88">
        <w:rPr>
          <w:rFonts w:ascii="Times New Roman" w:hAnsi="Times New Roman" w:cs="Times New Roman"/>
        </w:rPr>
        <w:t>European Central Bank (</w:t>
      </w:r>
      <w:r w:rsidR="009A15FC">
        <w:rPr>
          <w:rFonts w:ascii="Times New Roman" w:hAnsi="Times New Roman" w:cs="Times New Roman"/>
        </w:rPr>
        <w:t>n 18</w:t>
      </w:r>
      <w:r w:rsidRPr="00CB3F88">
        <w:rPr>
          <w:rFonts w:ascii="Times New Roman" w:hAnsi="Times New Roman" w:cs="Times New Roman"/>
        </w:rPr>
        <w:t>) 44.</w:t>
      </w:r>
      <w:bookmarkEnd w:id="15"/>
    </w:p>
  </w:footnote>
  <w:footnote w:id="56">
    <w:p w14:paraId="4D17A1FA" w14:textId="5096C2E3" w:rsidR="00987BEB" w:rsidRPr="00CB3F88" w:rsidRDefault="00987BEB" w:rsidP="00924B52">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European Banking Authority (n </w:t>
      </w:r>
      <w:r>
        <w:rPr>
          <w:rFonts w:ascii="Times New Roman" w:hAnsi="Times New Roman" w:cs="Times New Roman"/>
        </w:rPr>
        <w:t>5</w:t>
      </w:r>
      <w:r w:rsidR="00754B54">
        <w:rPr>
          <w:rFonts w:ascii="Times New Roman" w:hAnsi="Times New Roman" w:cs="Times New Roman"/>
        </w:rPr>
        <w:t>3</w:t>
      </w:r>
      <w:r w:rsidRPr="00CB3F88">
        <w:rPr>
          <w:rFonts w:ascii="Times New Roman" w:hAnsi="Times New Roman" w:cs="Times New Roman"/>
        </w:rPr>
        <w:t>) 32-35.</w:t>
      </w:r>
    </w:p>
  </w:footnote>
  <w:footnote w:id="57">
    <w:p w14:paraId="4675B984" w14:textId="77777777" w:rsidR="00987BEB" w:rsidRPr="00CB3F88" w:rsidRDefault="00987BEB" w:rsidP="00BF1A30">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General Secretariat of the Council of the European Union, 'Proposal for A Directive of The European Parliament and Of the Council on The Prevention of The Use of The Financial System for The Purpose of Money Laundering and Terrorist Financing' (2015) 1-3</w:t>
      </w:r>
      <w:r>
        <w:rPr>
          <w:rFonts w:ascii="Times New Roman" w:hAnsi="Times New Roman" w:cs="Times New Roman"/>
        </w:rPr>
        <w:t>.</w:t>
      </w:r>
    </w:p>
  </w:footnote>
  <w:footnote w:id="58">
    <w:p w14:paraId="529BB0F1" w14:textId="77777777" w:rsidR="00987BEB" w:rsidRPr="00CB3F88" w:rsidRDefault="00987BEB" w:rsidP="00BF1A30">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Niels </w:t>
      </w:r>
      <w:proofErr w:type="spellStart"/>
      <w:r w:rsidRPr="00CB3F88">
        <w:rPr>
          <w:rFonts w:ascii="Times New Roman" w:hAnsi="Times New Roman" w:cs="Times New Roman"/>
        </w:rPr>
        <w:t>Vandezande</w:t>
      </w:r>
      <w:proofErr w:type="spellEnd"/>
      <w:r w:rsidRPr="00CB3F88">
        <w:rPr>
          <w:rFonts w:ascii="Times New Roman" w:hAnsi="Times New Roman" w:cs="Times New Roman"/>
        </w:rPr>
        <w:t>, 'Virtual Currencies Under EU Anti-Money Laundering Law' (2017) 33 Computer Law &amp; Security Review 341-353.</w:t>
      </w:r>
    </w:p>
  </w:footnote>
  <w:footnote w:id="59">
    <w:p w14:paraId="29DC1984" w14:textId="77777777" w:rsidR="00987BEB" w:rsidRPr="00CB3F88" w:rsidRDefault="00987BEB" w:rsidP="00BF1A30">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16" w:name="_Hlk37528208"/>
      <w:r w:rsidRPr="00CB3F88">
        <w:rPr>
          <w:rFonts w:ascii="Times New Roman" w:hAnsi="Times New Roman" w:cs="Times New Roman"/>
        </w:rPr>
        <w:t>European Parliament, 'Virtual currencies and terrorist financing: assessing the risks and evaluating responses' (2018)</w:t>
      </w:r>
      <w:bookmarkEnd w:id="16"/>
      <w:r w:rsidRPr="00CB3F88">
        <w:rPr>
          <w:rFonts w:ascii="Times New Roman" w:hAnsi="Times New Roman" w:cs="Times New Roman"/>
        </w:rPr>
        <w:t xml:space="preserve"> 24.</w:t>
      </w:r>
    </w:p>
  </w:footnote>
  <w:footnote w:id="60">
    <w:p w14:paraId="1C8F009D" w14:textId="77777777" w:rsidR="00987BEB" w:rsidRPr="00CB3F88" w:rsidRDefault="00987BEB" w:rsidP="00BF1A30">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17" w:name="_Hlk37540684"/>
      <w:r w:rsidRPr="00CB3F88">
        <w:rPr>
          <w:rFonts w:ascii="Times New Roman" w:hAnsi="Times New Roman" w:cs="Times New Roman"/>
        </w:rPr>
        <w:t>European Union Agency for Law Enforcement Cooperation, 'Changes in modus operandi of Islamic State terrorist attacks' (2016) 7</w:t>
      </w:r>
      <w:bookmarkEnd w:id="17"/>
      <w:r w:rsidRPr="00CB3F88">
        <w:rPr>
          <w:rFonts w:ascii="Times New Roman" w:hAnsi="Times New Roman" w:cs="Times New Roman"/>
        </w:rPr>
        <w:t>.</w:t>
      </w:r>
    </w:p>
  </w:footnote>
  <w:footnote w:id="61">
    <w:p w14:paraId="6BC1DF7F" w14:textId="77777777" w:rsidR="00987BEB" w:rsidRPr="00CB3F88" w:rsidRDefault="00987BEB" w:rsidP="00BF1A30">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Commission, 'Report from the Commission to the European Parliament and to the Council on the assessment of the risks of money laundering and terrorist financing affecting the internal market and relating to cross-border situations' COM (2017) 340 final.</w:t>
      </w:r>
    </w:p>
  </w:footnote>
  <w:footnote w:id="62">
    <w:p w14:paraId="5413B07A" w14:textId="2E21FE3D" w:rsidR="00987BEB" w:rsidRPr="00CB3F88" w:rsidRDefault="00987BEB" w:rsidP="00BF1A30">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Peggy Valcke, Niels </w:t>
      </w:r>
      <w:proofErr w:type="spellStart"/>
      <w:r w:rsidRPr="00CB3F88">
        <w:rPr>
          <w:rFonts w:ascii="Times New Roman" w:hAnsi="Times New Roman" w:cs="Times New Roman"/>
        </w:rPr>
        <w:t>Vandezande</w:t>
      </w:r>
      <w:proofErr w:type="spellEnd"/>
      <w:r w:rsidRPr="00CB3F88">
        <w:rPr>
          <w:rFonts w:ascii="Times New Roman" w:hAnsi="Times New Roman" w:cs="Times New Roman"/>
        </w:rPr>
        <w:t xml:space="preserve"> and Nathan Van de Velde, 'The Evolution of Third-Party Payment Providers and Cryptocurrencies Under the EU's Upcoming PSD2 and AMLD4', SWIFT Institute Working Paper No. 2015-001 56</w:t>
      </w:r>
      <w:r>
        <w:rPr>
          <w:rFonts w:ascii="Times New Roman" w:hAnsi="Times New Roman" w:cs="Times New Roman"/>
        </w:rPr>
        <w:t>.</w:t>
      </w:r>
    </w:p>
  </w:footnote>
  <w:footnote w:id="63">
    <w:p w14:paraId="646AE30B" w14:textId="20B5177E" w:rsidR="00987BEB" w:rsidRPr="00CB3F88" w:rsidRDefault="00987BEB" w:rsidP="00BF1A30">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Niels </w:t>
      </w:r>
      <w:proofErr w:type="spellStart"/>
      <w:r w:rsidRPr="00CB3F88">
        <w:rPr>
          <w:rFonts w:ascii="Times New Roman" w:hAnsi="Times New Roman" w:cs="Times New Roman"/>
        </w:rPr>
        <w:t>Vandezande</w:t>
      </w:r>
      <w:proofErr w:type="spellEnd"/>
      <w:r w:rsidRPr="00CB3F88">
        <w:rPr>
          <w:rFonts w:ascii="Times New Roman" w:hAnsi="Times New Roman" w:cs="Times New Roman"/>
        </w:rPr>
        <w:t xml:space="preserve"> (n </w:t>
      </w:r>
      <w:r w:rsidR="0025734D">
        <w:rPr>
          <w:rFonts w:ascii="Times New Roman" w:hAnsi="Times New Roman" w:cs="Times New Roman"/>
        </w:rPr>
        <w:t>5</w:t>
      </w:r>
      <w:r w:rsidR="00AA7021">
        <w:rPr>
          <w:rFonts w:ascii="Times New Roman" w:hAnsi="Times New Roman" w:cs="Times New Roman"/>
        </w:rPr>
        <w:t>8</w:t>
      </w:r>
      <w:r w:rsidRPr="00CB3F88">
        <w:rPr>
          <w:rFonts w:ascii="Times New Roman" w:hAnsi="Times New Roman" w:cs="Times New Roman"/>
        </w:rPr>
        <w:t>) 341-353.</w:t>
      </w:r>
    </w:p>
  </w:footnote>
  <w:footnote w:id="64">
    <w:p w14:paraId="34CC8034" w14:textId="13E1AE6D" w:rsidR="00987BEB" w:rsidRPr="00CB3F88" w:rsidRDefault="00987BEB" w:rsidP="00FC4FA3">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18" w:name="_Hlk38576478"/>
      <w:r w:rsidRPr="00CB3F88">
        <w:rPr>
          <w:rFonts w:ascii="Times New Roman" w:hAnsi="Times New Roman" w:cs="Times New Roman"/>
          <w:lang w:val="en-US"/>
        </w:rPr>
        <w:t>Directive (EU) 2015/849 of the European Parliament and of the Council of 20 May 2015 on the prevention of the use of the financial system for the purposes of money laundering or terrorist financing, amending Regulation (EU) No 648/2012 of the European Parliament and of the Council, and repealing Directive 2005/60/EC of the European Parliament and of the Council and Commission Directive 2006/70/EC OJ L 141, 5.6.2015, p. 73–117</w:t>
      </w:r>
      <w:bookmarkEnd w:id="18"/>
      <w:r w:rsidRPr="00CB3F88">
        <w:rPr>
          <w:rFonts w:ascii="Times New Roman" w:hAnsi="Times New Roman" w:cs="Times New Roman"/>
        </w:rPr>
        <w:t>,</w:t>
      </w:r>
      <w:r>
        <w:rPr>
          <w:rFonts w:ascii="Times New Roman" w:hAnsi="Times New Roman" w:cs="Times New Roman"/>
        </w:rPr>
        <w:t xml:space="preserve"> </w:t>
      </w:r>
      <w:r w:rsidRPr="00CB3F88">
        <w:rPr>
          <w:rFonts w:ascii="Times New Roman" w:hAnsi="Times New Roman" w:cs="Times New Roman"/>
        </w:rPr>
        <w:t>Article 3(2)(a)</w:t>
      </w:r>
      <w:r>
        <w:rPr>
          <w:rFonts w:ascii="Times New Roman" w:hAnsi="Times New Roman" w:cs="Times New Roman"/>
        </w:rPr>
        <w:t>.</w:t>
      </w:r>
    </w:p>
  </w:footnote>
  <w:footnote w:id="65">
    <w:p w14:paraId="63114ABA" w14:textId="77777777" w:rsidR="00987BEB" w:rsidRPr="00CB3F88" w:rsidRDefault="00987BEB" w:rsidP="00FC4FA3">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Directive 2013/36/EU of the European Parliament and of the Council of 26 June 2013 on access to the activity of credit institutions and the prudential supervision of credit institutions and investment firms, amending Directive 2002/87/EC and repealing Directives 2006/48/EC and 2006/49/EC, Annex I, point 5.</w:t>
      </w:r>
    </w:p>
  </w:footnote>
  <w:footnote w:id="66">
    <w:p w14:paraId="28A0B5DC" w14:textId="59840F8C" w:rsidR="00987BEB" w:rsidRPr="00CB3F88" w:rsidRDefault="00987BEB" w:rsidP="00FC4FA3">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Directive 2013/36/EU (n </w:t>
      </w:r>
      <w:r w:rsidR="0025734D">
        <w:rPr>
          <w:rFonts w:ascii="Times New Roman" w:hAnsi="Times New Roman" w:cs="Times New Roman"/>
        </w:rPr>
        <w:t>6</w:t>
      </w:r>
      <w:r w:rsidR="00D20836">
        <w:rPr>
          <w:rFonts w:ascii="Times New Roman" w:hAnsi="Times New Roman" w:cs="Times New Roman"/>
        </w:rPr>
        <w:t>5</w:t>
      </w:r>
      <w:r w:rsidRPr="00CB3F88">
        <w:rPr>
          <w:rFonts w:ascii="Times New Roman" w:hAnsi="Times New Roman" w:cs="Times New Roman"/>
        </w:rPr>
        <w:t>), Annex I, point 4.</w:t>
      </w:r>
    </w:p>
  </w:footnote>
  <w:footnote w:id="67">
    <w:p w14:paraId="4E74D53D" w14:textId="77777777" w:rsidR="00987BEB" w:rsidRPr="00CB3F88" w:rsidRDefault="00987BEB" w:rsidP="00FC4FA3">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19" w:name="_Hlk37585524"/>
      <w:proofErr w:type="spellStart"/>
      <w:r w:rsidRPr="00CB3F88">
        <w:rPr>
          <w:rFonts w:ascii="Times New Roman" w:hAnsi="Times New Roman" w:cs="Times New Roman"/>
        </w:rPr>
        <w:t>Kaido</w:t>
      </w:r>
      <w:proofErr w:type="spellEnd"/>
      <w:r w:rsidRPr="00CB3F88">
        <w:rPr>
          <w:rFonts w:ascii="Times New Roman" w:hAnsi="Times New Roman" w:cs="Times New Roman"/>
        </w:rPr>
        <w:t xml:space="preserve"> </w:t>
      </w:r>
      <w:proofErr w:type="spellStart"/>
      <w:r w:rsidRPr="00CB3F88">
        <w:rPr>
          <w:rFonts w:ascii="Times New Roman" w:hAnsi="Times New Roman" w:cs="Times New Roman"/>
        </w:rPr>
        <w:t>Künnapas</w:t>
      </w:r>
      <w:proofErr w:type="spellEnd"/>
      <w:r w:rsidRPr="00CB3F88">
        <w:rPr>
          <w:rFonts w:ascii="Times New Roman" w:hAnsi="Times New Roman" w:cs="Times New Roman"/>
        </w:rPr>
        <w:t xml:space="preserve">, 'From Bitcoin to Smart Contracts: Legal Revolution or Evolution from The Perspective Of </w:t>
      </w:r>
      <w:r w:rsidRPr="00CB3F88">
        <w:rPr>
          <w:rFonts w:ascii="Times New Roman" w:hAnsi="Times New Roman" w:cs="Times New Roman"/>
          <w:i/>
          <w:iCs/>
        </w:rPr>
        <w:t xml:space="preserve">De </w:t>
      </w:r>
      <w:proofErr w:type="spellStart"/>
      <w:r w:rsidRPr="00CB3F88">
        <w:rPr>
          <w:rFonts w:ascii="Times New Roman" w:hAnsi="Times New Roman" w:cs="Times New Roman"/>
          <w:i/>
          <w:iCs/>
        </w:rPr>
        <w:t>Lege</w:t>
      </w:r>
      <w:proofErr w:type="spellEnd"/>
      <w:r w:rsidRPr="00CB3F88">
        <w:rPr>
          <w:rFonts w:ascii="Times New Roman" w:hAnsi="Times New Roman" w:cs="Times New Roman"/>
          <w:i/>
          <w:iCs/>
        </w:rPr>
        <w:t xml:space="preserve"> Ferenda</w:t>
      </w:r>
      <w:r w:rsidRPr="00CB3F88">
        <w:rPr>
          <w:rFonts w:ascii="Times New Roman" w:hAnsi="Times New Roman" w:cs="Times New Roman"/>
        </w:rPr>
        <w:t>?', </w:t>
      </w:r>
      <w:r w:rsidRPr="00CB3F88">
        <w:rPr>
          <w:rFonts w:ascii="Times New Roman" w:hAnsi="Times New Roman" w:cs="Times New Roman"/>
          <w:i/>
          <w:iCs/>
        </w:rPr>
        <w:t xml:space="preserve">The Future of Law and </w:t>
      </w:r>
      <w:proofErr w:type="spellStart"/>
      <w:r w:rsidRPr="00CB3F88">
        <w:rPr>
          <w:rFonts w:ascii="Times New Roman" w:hAnsi="Times New Roman" w:cs="Times New Roman"/>
          <w:i/>
          <w:iCs/>
        </w:rPr>
        <w:t>eTechnologies</w:t>
      </w:r>
      <w:proofErr w:type="spellEnd"/>
      <w:r w:rsidRPr="00CB3F88">
        <w:rPr>
          <w:rFonts w:ascii="Times New Roman" w:hAnsi="Times New Roman" w:cs="Times New Roman"/>
        </w:rPr>
        <w:t> (Springer 2016) 111-131.</w:t>
      </w:r>
      <w:bookmarkEnd w:id="19"/>
    </w:p>
  </w:footnote>
  <w:footnote w:id="68">
    <w:p w14:paraId="6E72B362" w14:textId="78DB1C58" w:rsidR="00987BEB" w:rsidRPr="00CB3F88" w:rsidRDefault="00987BEB" w:rsidP="00FC4FA3">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Niels </w:t>
      </w:r>
      <w:proofErr w:type="spellStart"/>
      <w:r w:rsidRPr="00CB3F88">
        <w:rPr>
          <w:rFonts w:ascii="Times New Roman" w:hAnsi="Times New Roman" w:cs="Times New Roman"/>
        </w:rPr>
        <w:t>Vandezande</w:t>
      </w:r>
      <w:proofErr w:type="spellEnd"/>
      <w:r w:rsidRPr="00CB3F88">
        <w:rPr>
          <w:rFonts w:ascii="Times New Roman" w:hAnsi="Times New Roman" w:cs="Times New Roman"/>
        </w:rPr>
        <w:t xml:space="preserve"> (n </w:t>
      </w:r>
      <w:r w:rsidR="0025734D">
        <w:rPr>
          <w:rFonts w:ascii="Times New Roman" w:hAnsi="Times New Roman" w:cs="Times New Roman"/>
        </w:rPr>
        <w:t>5</w:t>
      </w:r>
      <w:r w:rsidR="002B23C3">
        <w:rPr>
          <w:rFonts w:ascii="Times New Roman" w:hAnsi="Times New Roman" w:cs="Times New Roman"/>
        </w:rPr>
        <w:t>8</w:t>
      </w:r>
      <w:r w:rsidRPr="00CB3F88">
        <w:rPr>
          <w:rFonts w:ascii="Times New Roman" w:hAnsi="Times New Roman" w:cs="Times New Roman"/>
        </w:rPr>
        <w:t>) 341-353.</w:t>
      </w:r>
    </w:p>
  </w:footnote>
  <w:footnote w:id="69">
    <w:p w14:paraId="014DB1F7" w14:textId="37BEAD1D" w:rsidR="00987BEB" w:rsidRPr="00CB3F88" w:rsidRDefault="00987BEB" w:rsidP="00FC4FA3">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Thomas A. Frick, 'Virtual and Cryptocurrencies – Regulatory and Anti-Money Laundering Approaches in The European Union and In Switzerland' (2019) 20 ERA Forum 99-112</w:t>
      </w:r>
      <w:r>
        <w:rPr>
          <w:rFonts w:ascii="Times New Roman" w:hAnsi="Times New Roman" w:cs="Times New Roman"/>
        </w:rPr>
        <w:t>.</w:t>
      </w:r>
    </w:p>
  </w:footnote>
  <w:footnote w:id="70">
    <w:p w14:paraId="312381A0" w14:textId="15F88073" w:rsidR="00987BEB" w:rsidRPr="00CB3F88" w:rsidRDefault="00987BEB" w:rsidP="00021712">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00D83374" w:rsidRPr="00CB3F88">
        <w:rPr>
          <w:rFonts w:ascii="Times New Roman" w:hAnsi="Times New Roman" w:cs="Times New Roman"/>
        </w:rPr>
        <w:t xml:space="preserve">Directive (EU) 2018/843 (n </w:t>
      </w:r>
      <w:r w:rsidR="00135BB9">
        <w:rPr>
          <w:rFonts w:ascii="Times New Roman" w:hAnsi="Times New Roman" w:cs="Times New Roman"/>
        </w:rPr>
        <w:t>9</w:t>
      </w:r>
      <w:r w:rsidR="00D83374" w:rsidRPr="00CB3F88">
        <w:rPr>
          <w:rFonts w:ascii="Times New Roman" w:hAnsi="Times New Roman" w:cs="Times New Roman"/>
        </w:rPr>
        <w:t>)</w:t>
      </w:r>
      <w:r w:rsidRPr="00021712">
        <w:rPr>
          <w:rFonts w:ascii="Times New Roman" w:hAnsi="Times New Roman" w:cs="Times New Roman"/>
        </w:rPr>
        <w:t>, Article 1(2)(d)</w:t>
      </w:r>
      <w:r>
        <w:rPr>
          <w:rFonts w:ascii="Times New Roman" w:hAnsi="Times New Roman" w:cs="Times New Roman"/>
        </w:rPr>
        <w:t>.</w:t>
      </w:r>
    </w:p>
  </w:footnote>
  <w:footnote w:id="71">
    <w:p w14:paraId="4DC6433A" w14:textId="1D96DC14" w:rsidR="00987BEB" w:rsidRPr="00CB3F88" w:rsidRDefault="00987BEB" w:rsidP="00021712">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Directive (EU) 2018/843 (n </w:t>
      </w:r>
      <w:r w:rsidR="00135BB9">
        <w:rPr>
          <w:rFonts w:ascii="Times New Roman" w:hAnsi="Times New Roman" w:cs="Times New Roman"/>
        </w:rPr>
        <w:t>9</w:t>
      </w:r>
      <w:r w:rsidRPr="00CB3F88">
        <w:rPr>
          <w:rFonts w:ascii="Times New Roman" w:hAnsi="Times New Roman" w:cs="Times New Roman"/>
        </w:rPr>
        <w:t>), Recital 11.</w:t>
      </w:r>
    </w:p>
  </w:footnote>
  <w:footnote w:id="72">
    <w:p w14:paraId="5A1078A0" w14:textId="77777777" w:rsidR="00987BEB" w:rsidRPr="00CB3F88" w:rsidRDefault="00987BEB" w:rsidP="00021712">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Directive (EU) 2015/2366 of the European Parliament and of the Council of 25 November 2015 on payment services in the internal market, amending Directives 2002/65/EC, 2009/110/EC and 2013/36/EU and Regulation (EU) No 1093/2010, and repealing Directive 2007/64/EC OJ L 337, 23.12.2015, p. 35-127, Article 4(25).</w:t>
      </w:r>
    </w:p>
  </w:footnote>
  <w:footnote w:id="73">
    <w:p w14:paraId="14B6C4C7" w14:textId="13514653" w:rsidR="00987BEB" w:rsidRPr="00CB3F88" w:rsidRDefault="00987BEB" w:rsidP="00B40C99">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Directive (EU) 2015/2366 (n </w:t>
      </w:r>
      <w:r w:rsidR="00A82297">
        <w:rPr>
          <w:rFonts w:ascii="Times New Roman" w:hAnsi="Times New Roman" w:cs="Times New Roman"/>
          <w:lang w:val="en-US"/>
        </w:rPr>
        <w:t>72</w:t>
      </w:r>
      <w:r w:rsidRPr="00CB3F88">
        <w:rPr>
          <w:rFonts w:ascii="Times New Roman" w:hAnsi="Times New Roman" w:cs="Times New Roman"/>
          <w:lang w:val="en-US"/>
        </w:rPr>
        <w:t>), Article 3(1)(k)</w:t>
      </w:r>
      <w:r>
        <w:rPr>
          <w:rFonts w:ascii="Times New Roman" w:hAnsi="Times New Roman" w:cs="Times New Roman"/>
          <w:lang w:val="en-US"/>
        </w:rPr>
        <w:t xml:space="preserve">; </w:t>
      </w:r>
      <w:r w:rsidRPr="00B40C99">
        <w:rPr>
          <w:rFonts w:ascii="Times New Roman" w:hAnsi="Times New Roman" w:cs="Times New Roman"/>
          <w:lang w:val="nl-BE"/>
        </w:rPr>
        <w:t xml:space="preserve">Directive (EU) 2018/843 (n </w:t>
      </w:r>
      <w:r w:rsidR="0048316D">
        <w:rPr>
          <w:rFonts w:ascii="Times New Roman" w:hAnsi="Times New Roman" w:cs="Times New Roman"/>
          <w:lang w:val="nl-BE"/>
        </w:rPr>
        <w:t>9</w:t>
      </w:r>
      <w:r w:rsidRPr="00B40C99">
        <w:rPr>
          <w:rFonts w:ascii="Times New Roman" w:hAnsi="Times New Roman" w:cs="Times New Roman"/>
          <w:lang w:val="nl-BE"/>
        </w:rPr>
        <w:t>), Recital 10</w:t>
      </w:r>
      <w:r>
        <w:rPr>
          <w:rFonts w:ascii="Times New Roman" w:hAnsi="Times New Roman" w:cs="Times New Roman"/>
          <w:lang w:val="nl-BE"/>
        </w:rPr>
        <w:t>.</w:t>
      </w:r>
    </w:p>
  </w:footnote>
  <w:footnote w:id="74">
    <w:p w14:paraId="05129A7C" w14:textId="77777777" w:rsidR="00987BEB" w:rsidRPr="00CB3F88" w:rsidRDefault="00987BEB" w:rsidP="00145525">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20" w:name="_Hlk39609154"/>
      <w:r w:rsidRPr="00CB3F88">
        <w:rPr>
          <w:rFonts w:ascii="Times New Roman" w:hAnsi="Times New Roman" w:cs="Times New Roman"/>
        </w:rPr>
        <w:t>Simon Butler, 'Criminal Use of Cryptocurrencies: A Great New Threat or Is Cash Still King?' (2019) 4 Journal of Cyber Policy 326-345.</w:t>
      </w:r>
      <w:bookmarkEnd w:id="20"/>
    </w:p>
  </w:footnote>
  <w:footnote w:id="75">
    <w:p w14:paraId="6EF96258" w14:textId="5D14038E" w:rsidR="00987BEB" w:rsidRPr="00CB3F88" w:rsidRDefault="00987BEB" w:rsidP="00145525">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Directive (EU) 2018/843 (n </w:t>
      </w:r>
      <w:r w:rsidR="00155975">
        <w:rPr>
          <w:rFonts w:ascii="Times New Roman" w:hAnsi="Times New Roman" w:cs="Times New Roman"/>
        </w:rPr>
        <w:t>9</w:t>
      </w:r>
      <w:r w:rsidRPr="00CB3F88">
        <w:rPr>
          <w:rFonts w:ascii="Times New Roman" w:hAnsi="Times New Roman" w:cs="Times New Roman"/>
        </w:rPr>
        <w:t>), Recital 8.</w:t>
      </w:r>
    </w:p>
  </w:footnote>
  <w:footnote w:id="76">
    <w:p w14:paraId="2333DE20" w14:textId="21DA624D" w:rsidR="00987BEB" w:rsidRPr="00CB3F88" w:rsidRDefault="00987BEB" w:rsidP="00EA4722">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Directive (EU) 2018/843 (n </w:t>
      </w:r>
      <w:r w:rsidR="00155975">
        <w:rPr>
          <w:rFonts w:ascii="Times New Roman" w:hAnsi="Times New Roman" w:cs="Times New Roman"/>
        </w:rPr>
        <w:t>9</w:t>
      </w:r>
      <w:r w:rsidRPr="00CB3F88">
        <w:rPr>
          <w:rFonts w:ascii="Times New Roman" w:hAnsi="Times New Roman" w:cs="Times New Roman"/>
        </w:rPr>
        <w:t xml:space="preserve">), Recital </w:t>
      </w:r>
      <w:r>
        <w:rPr>
          <w:rFonts w:ascii="Times New Roman" w:hAnsi="Times New Roman" w:cs="Times New Roman"/>
        </w:rPr>
        <w:t>9</w:t>
      </w:r>
      <w:r w:rsidRPr="00CB3F88">
        <w:rPr>
          <w:rFonts w:ascii="Times New Roman" w:hAnsi="Times New Roman" w:cs="Times New Roman"/>
        </w:rPr>
        <w:t>.</w:t>
      </w:r>
    </w:p>
  </w:footnote>
  <w:footnote w:id="77">
    <w:p w14:paraId="2AEDAC95" w14:textId="7E30162C" w:rsidR="00987BEB" w:rsidRPr="00AE1ABC" w:rsidRDefault="00987BEB" w:rsidP="00EA4722">
      <w:pPr>
        <w:pStyle w:val="FootnoteText"/>
        <w:spacing w:after="120"/>
        <w:ind w:left="113" w:hanging="113"/>
        <w:jc w:val="both"/>
        <w:rPr>
          <w:rFonts w:ascii="Times New Roman" w:hAnsi="Times New Roman" w:cs="Times New Roman"/>
          <w:lang w:val="pt-BR"/>
        </w:rPr>
      </w:pPr>
      <w:r w:rsidRPr="00AE1ABC">
        <w:rPr>
          <w:rStyle w:val="FootnoteReference"/>
          <w:rFonts w:ascii="Times New Roman" w:hAnsi="Times New Roman" w:cs="Times New Roman"/>
        </w:rPr>
        <w:footnoteRef/>
      </w:r>
      <w:r w:rsidRPr="00AE1ABC">
        <w:rPr>
          <w:rFonts w:ascii="Times New Roman" w:hAnsi="Times New Roman" w:cs="Times New Roman"/>
          <w:lang w:val="pt-BR"/>
        </w:rPr>
        <w:t xml:space="preserve"> </w:t>
      </w:r>
      <w:r w:rsidRPr="00AE1ABC">
        <w:rPr>
          <w:rFonts w:ascii="Times New Roman" w:hAnsi="Times New Roman" w:cs="Times New Roman"/>
          <w:i/>
          <w:iCs/>
        </w:rPr>
        <w:t>Commission v Austria</w:t>
      </w:r>
      <w:r w:rsidRPr="00AE1ABC">
        <w:rPr>
          <w:rFonts w:ascii="Times New Roman" w:hAnsi="Times New Roman" w:cs="Times New Roman"/>
        </w:rPr>
        <w:t xml:space="preserve"> (n </w:t>
      </w:r>
      <w:r w:rsidR="00AE1ABC" w:rsidRPr="00AE1ABC">
        <w:rPr>
          <w:rFonts w:ascii="Times New Roman" w:hAnsi="Times New Roman" w:cs="Times New Roman"/>
        </w:rPr>
        <w:t>1</w:t>
      </w:r>
      <w:r w:rsidR="004600AD">
        <w:rPr>
          <w:rFonts w:ascii="Times New Roman" w:hAnsi="Times New Roman" w:cs="Times New Roman"/>
        </w:rPr>
        <w:t>2</w:t>
      </w:r>
      <w:r w:rsidRPr="00AE1ABC">
        <w:rPr>
          <w:rFonts w:ascii="Times New Roman" w:hAnsi="Times New Roman" w:cs="Times New Roman"/>
        </w:rPr>
        <w:t>),</w:t>
      </w:r>
      <w:r w:rsidRPr="00AE1ABC">
        <w:rPr>
          <w:rFonts w:ascii="Times New Roman" w:hAnsi="Times New Roman" w:cs="Times New Roman"/>
          <w:lang w:val="en-US"/>
        </w:rPr>
        <w:t xml:space="preserve"> Opinion of AG </w:t>
      </w:r>
      <w:proofErr w:type="spellStart"/>
      <w:r w:rsidRPr="00AE1ABC">
        <w:rPr>
          <w:rFonts w:ascii="Times New Roman" w:hAnsi="Times New Roman" w:cs="Times New Roman"/>
          <w:lang w:val="en-US"/>
        </w:rPr>
        <w:t>Saggio</w:t>
      </w:r>
      <w:proofErr w:type="spellEnd"/>
      <w:r w:rsidRPr="00AE1ABC">
        <w:rPr>
          <w:rFonts w:ascii="Times New Roman" w:hAnsi="Times New Roman" w:cs="Times New Roman"/>
          <w:lang w:val="en-US"/>
        </w:rPr>
        <w:t>, para 57.</w:t>
      </w:r>
    </w:p>
  </w:footnote>
  <w:footnote w:id="78">
    <w:p w14:paraId="2B3D1058" w14:textId="5745E6AB" w:rsidR="00987BEB" w:rsidRPr="00CB3F88" w:rsidRDefault="00987BEB" w:rsidP="00EA4722">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Thomas A. Frick (n </w:t>
      </w:r>
      <w:r w:rsidR="00AE1ABC">
        <w:rPr>
          <w:rFonts w:ascii="Times New Roman" w:hAnsi="Times New Roman" w:cs="Times New Roman"/>
        </w:rPr>
        <w:t>6</w:t>
      </w:r>
      <w:r w:rsidR="004600AD">
        <w:rPr>
          <w:rFonts w:ascii="Times New Roman" w:hAnsi="Times New Roman" w:cs="Times New Roman"/>
        </w:rPr>
        <w:t>9</w:t>
      </w:r>
      <w:r w:rsidRPr="00CB3F88">
        <w:rPr>
          <w:rFonts w:ascii="Times New Roman" w:hAnsi="Times New Roman" w:cs="Times New Roman"/>
        </w:rPr>
        <w:t>) 99-112.</w:t>
      </w:r>
    </w:p>
  </w:footnote>
  <w:footnote w:id="79">
    <w:p w14:paraId="64CDD426" w14:textId="6C4F31D1" w:rsidR="00987BEB" w:rsidRPr="00CB3F88" w:rsidRDefault="00987BEB" w:rsidP="004E6D60">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Directive (EU) 2018/843 (n </w:t>
      </w:r>
      <w:r w:rsidR="004600AD">
        <w:rPr>
          <w:rFonts w:ascii="Times New Roman" w:hAnsi="Times New Roman" w:cs="Times New Roman"/>
        </w:rPr>
        <w:t>9</w:t>
      </w:r>
      <w:r w:rsidRPr="00CB3F88">
        <w:rPr>
          <w:rFonts w:ascii="Times New Roman" w:hAnsi="Times New Roman" w:cs="Times New Roman"/>
        </w:rPr>
        <w:t>), Article 1(1).</w:t>
      </w:r>
    </w:p>
  </w:footnote>
  <w:footnote w:id="80">
    <w:p w14:paraId="476AE1A8" w14:textId="1C480278" w:rsidR="00987BEB" w:rsidRPr="00CB3F88" w:rsidRDefault="00987BEB" w:rsidP="004E6D60">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Directive (EU) 2018/843 (n </w:t>
      </w:r>
      <w:r w:rsidR="004600AD">
        <w:rPr>
          <w:rFonts w:ascii="Times New Roman" w:hAnsi="Times New Roman" w:cs="Times New Roman"/>
        </w:rPr>
        <w:t>9</w:t>
      </w:r>
      <w:r w:rsidRPr="00CB3F88">
        <w:rPr>
          <w:rFonts w:ascii="Times New Roman" w:hAnsi="Times New Roman" w:cs="Times New Roman"/>
        </w:rPr>
        <w:t>), Article 1(2).</w:t>
      </w:r>
    </w:p>
  </w:footnote>
  <w:footnote w:id="81">
    <w:p w14:paraId="18C37BF7" w14:textId="5FAE43A6" w:rsidR="00987BEB" w:rsidRPr="00CB3F88" w:rsidRDefault="00987BEB" w:rsidP="004E6D60">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Directive (EU) 2018/843 (n </w:t>
      </w:r>
      <w:r w:rsidR="004600AD">
        <w:rPr>
          <w:rFonts w:ascii="Times New Roman" w:hAnsi="Times New Roman" w:cs="Times New Roman"/>
        </w:rPr>
        <w:t>9</w:t>
      </w:r>
      <w:r w:rsidRPr="00CB3F88">
        <w:rPr>
          <w:rFonts w:ascii="Times New Roman" w:hAnsi="Times New Roman" w:cs="Times New Roman"/>
        </w:rPr>
        <w:t>), Article 1(29).</w:t>
      </w:r>
    </w:p>
  </w:footnote>
  <w:footnote w:id="82">
    <w:p w14:paraId="56FDCFEF" w14:textId="77777777" w:rsidR="00987BEB" w:rsidRPr="00CB3F88" w:rsidRDefault="00987BEB" w:rsidP="00A60018">
      <w:pPr>
        <w:pStyle w:val="FootnoteText"/>
        <w:spacing w:after="120"/>
        <w:ind w:left="113" w:hanging="113"/>
        <w:jc w:val="both"/>
        <w:rPr>
          <w:rFonts w:ascii="Times New Roman" w:hAnsi="Times New Roman" w:cs="Times New Roman"/>
          <w:lang w:val="pt-BR"/>
        </w:rPr>
      </w:pPr>
      <w:r w:rsidRPr="00CB3F88">
        <w:rPr>
          <w:rStyle w:val="FootnoteReference"/>
          <w:rFonts w:ascii="Times New Roman" w:hAnsi="Times New Roman" w:cs="Times New Roman"/>
        </w:rPr>
        <w:footnoteRef/>
      </w:r>
      <w:r w:rsidRPr="00CB3F88">
        <w:rPr>
          <w:rFonts w:ascii="Times New Roman" w:hAnsi="Times New Roman" w:cs="Times New Roman"/>
          <w:lang w:val="pt-BR"/>
        </w:rPr>
        <w:t xml:space="preserve"> </w:t>
      </w:r>
      <w:r w:rsidRPr="00CB3F88">
        <w:rPr>
          <w:rFonts w:ascii="Times New Roman" w:hAnsi="Times New Roman" w:cs="Times New Roman"/>
          <w:lang w:val="en-US"/>
        </w:rPr>
        <w:t>European Central Bank, '</w:t>
      </w:r>
      <w:r w:rsidRPr="00CB3F88">
        <w:rPr>
          <w:rFonts w:ascii="Times New Roman" w:hAnsi="Times New Roman" w:cs="Times New Roman"/>
        </w:rPr>
        <w:t>Opinion of the European Central Bank of 12 October 2016 on a proposal for a directive of the European Parliament and of the Council amending Directive (EU) 2015/849 on the prevention of the use of the financial system for the purposes of money laundering or terrorist financing and amending Directive 2009/101/EC</w:t>
      </w:r>
      <w:r w:rsidRPr="00CB3F88">
        <w:rPr>
          <w:rFonts w:ascii="Times New Roman" w:hAnsi="Times New Roman" w:cs="Times New Roman"/>
          <w:lang w:val="en-US"/>
        </w:rPr>
        <w:t>' (2016) 3.</w:t>
      </w:r>
    </w:p>
  </w:footnote>
  <w:footnote w:id="83">
    <w:p w14:paraId="6055B881" w14:textId="77777777" w:rsidR="00987BEB" w:rsidRPr="00CB3F88" w:rsidRDefault="00987BEB" w:rsidP="00A60018">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Jonathan Rohr and Aaron Wright, 'Blockchain-based Token Sales, Initial Coin Offerings, and the Democratization of Public Capital Markets' (2019) 70 Hastings Law Journal 463-524.</w:t>
      </w:r>
    </w:p>
  </w:footnote>
  <w:footnote w:id="84">
    <w:p w14:paraId="6F576DD0" w14:textId="77777777" w:rsidR="00987BEB" w:rsidRPr="00CB3F88" w:rsidRDefault="00987BEB" w:rsidP="00A60018">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21" w:name="_Hlk38540990"/>
      <w:r w:rsidRPr="00CB3F88">
        <w:rPr>
          <w:rFonts w:ascii="Times New Roman" w:hAnsi="Times New Roman" w:cs="Times New Roman"/>
        </w:rPr>
        <w:t xml:space="preserve">Philipp Hacker and Chris </w:t>
      </w:r>
      <w:proofErr w:type="spellStart"/>
      <w:r w:rsidRPr="00CB3F88">
        <w:rPr>
          <w:rFonts w:ascii="Times New Roman" w:hAnsi="Times New Roman" w:cs="Times New Roman"/>
        </w:rPr>
        <w:t>Thomale</w:t>
      </w:r>
      <w:proofErr w:type="spellEnd"/>
      <w:r w:rsidRPr="00CB3F88">
        <w:rPr>
          <w:rFonts w:ascii="Times New Roman" w:hAnsi="Times New Roman" w:cs="Times New Roman"/>
        </w:rPr>
        <w:t>, 'Crypto-Securities Regulation: ICOs, Token Sales and Cryptocurrencies Under EU Financial Law' (2018) 15 European Company and Financial Law Review 645–696.</w:t>
      </w:r>
      <w:bookmarkEnd w:id="21"/>
    </w:p>
  </w:footnote>
  <w:footnote w:id="85">
    <w:p w14:paraId="1C7F7915" w14:textId="77777777" w:rsidR="00987BEB" w:rsidRPr="00CB3F88" w:rsidRDefault="00987BEB" w:rsidP="00A60018">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Primavera De </w:t>
      </w:r>
      <w:proofErr w:type="spellStart"/>
      <w:r w:rsidRPr="00CB3F88">
        <w:rPr>
          <w:rFonts w:ascii="Times New Roman" w:hAnsi="Times New Roman" w:cs="Times New Roman"/>
        </w:rPr>
        <w:t>Filippi</w:t>
      </w:r>
      <w:proofErr w:type="spellEnd"/>
      <w:r w:rsidRPr="00CB3F88">
        <w:rPr>
          <w:rFonts w:ascii="Times New Roman" w:hAnsi="Times New Roman" w:cs="Times New Roman"/>
        </w:rPr>
        <w:t xml:space="preserve"> and Aaron Wright, </w:t>
      </w:r>
      <w:r w:rsidRPr="00CB3F88">
        <w:rPr>
          <w:rFonts w:ascii="Times New Roman" w:hAnsi="Times New Roman" w:cs="Times New Roman"/>
          <w:i/>
          <w:iCs/>
        </w:rPr>
        <w:t>Blockchain and the Law: The Rule of Code</w:t>
      </w:r>
      <w:r w:rsidRPr="00CB3F88">
        <w:rPr>
          <w:rFonts w:ascii="Times New Roman" w:hAnsi="Times New Roman" w:cs="Times New Roman"/>
        </w:rPr>
        <w:t> (Harvard University Press 2018) 74.</w:t>
      </w:r>
    </w:p>
  </w:footnote>
  <w:footnote w:id="86">
    <w:p w14:paraId="38C30CD4" w14:textId="77777777" w:rsidR="00987BEB" w:rsidRPr="00CB3F88" w:rsidRDefault="00987BEB" w:rsidP="00AE718B">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Alexander </w:t>
      </w:r>
      <w:proofErr w:type="spellStart"/>
      <w:r w:rsidRPr="00CB3F88">
        <w:rPr>
          <w:rFonts w:ascii="Times New Roman" w:hAnsi="Times New Roman" w:cs="Times New Roman"/>
        </w:rPr>
        <w:t>Snyers</w:t>
      </w:r>
      <w:proofErr w:type="spellEnd"/>
      <w:r w:rsidRPr="00CB3F88">
        <w:rPr>
          <w:rFonts w:ascii="Times New Roman" w:hAnsi="Times New Roman" w:cs="Times New Roman"/>
        </w:rPr>
        <w:t xml:space="preserve"> and Karl Pauwels, 'ICOs In Belgium: Down the Rabbit Hole into Legal No Man's Land? Part 1' (2018) 29 International Company and Commercial Law Review 483-510.</w:t>
      </w:r>
    </w:p>
  </w:footnote>
  <w:footnote w:id="87">
    <w:p w14:paraId="3F9288C1" w14:textId="77777777" w:rsidR="00987BEB" w:rsidRPr="00CB3F88" w:rsidRDefault="00987BEB" w:rsidP="00AE718B">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rPr>
        <w:t>Apolline</w:t>
      </w:r>
      <w:proofErr w:type="spellEnd"/>
      <w:r w:rsidRPr="00CB3F88">
        <w:rPr>
          <w:rFonts w:ascii="Times New Roman" w:hAnsi="Times New Roman" w:cs="Times New Roman"/>
        </w:rPr>
        <w:t xml:space="preserve"> </w:t>
      </w:r>
      <w:proofErr w:type="spellStart"/>
      <w:r w:rsidRPr="00CB3F88">
        <w:rPr>
          <w:rFonts w:ascii="Times New Roman" w:hAnsi="Times New Roman" w:cs="Times New Roman"/>
        </w:rPr>
        <w:t>Blandin</w:t>
      </w:r>
      <w:proofErr w:type="spellEnd"/>
      <w:r w:rsidRPr="00CB3F88">
        <w:rPr>
          <w:rFonts w:ascii="Times New Roman" w:hAnsi="Times New Roman" w:cs="Times New Roman"/>
        </w:rPr>
        <w:t xml:space="preserve"> and others, </w:t>
      </w:r>
      <w:r w:rsidRPr="00CB3F88">
        <w:rPr>
          <w:rFonts w:ascii="Times New Roman" w:hAnsi="Times New Roman" w:cs="Times New Roman"/>
          <w:i/>
          <w:iCs/>
        </w:rPr>
        <w:t xml:space="preserve">Global </w:t>
      </w:r>
      <w:proofErr w:type="spellStart"/>
      <w:r w:rsidRPr="00CB3F88">
        <w:rPr>
          <w:rFonts w:ascii="Times New Roman" w:hAnsi="Times New Roman" w:cs="Times New Roman"/>
          <w:i/>
          <w:iCs/>
        </w:rPr>
        <w:t>Cryptoasset</w:t>
      </w:r>
      <w:proofErr w:type="spellEnd"/>
      <w:r w:rsidRPr="00CB3F88">
        <w:rPr>
          <w:rFonts w:ascii="Times New Roman" w:hAnsi="Times New Roman" w:cs="Times New Roman"/>
          <w:i/>
          <w:iCs/>
        </w:rPr>
        <w:t xml:space="preserve"> Regulatory Landscape Study</w:t>
      </w:r>
      <w:r w:rsidRPr="00CB3F88">
        <w:rPr>
          <w:rFonts w:ascii="Times New Roman" w:hAnsi="Times New Roman" w:cs="Times New Roman"/>
        </w:rPr>
        <w:t> (Cambridge Centre for Alternative Finance 2019) 85.</w:t>
      </w:r>
    </w:p>
  </w:footnote>
  <w:footnote w:id="88">
    <w:p w14:paraId="38B590B3" w14:textId="77777777" w:rsidR="00987BEB" w:rsidRPr="00CB3F88" w:rsidRDefault="00987BEB" w:rsidP="00AE718B">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European Securities and Markets Authority, 'Advice: Initial Coin Offerings and Crypto-Assets' (2019) 36.</w:t>
      </w:r>
    </w:p>
  </w:footnote>
  <w:footnote w:id="89">
    <w:p w14:paraId="2635F368" w14:textId="77777777" w:rsidR="00987BEB" w:rsidRPr="00CB3F88" w:rsidRDefault="00987BEB" w:rsidP="00AE718B">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Dirk A. </w:t>
      </w:r>
      <w:proofErr w:type="spellStart"/>
      <w:r w:rsidRPr="00CB3F88">
        <w:rPr>
          <w:rFonts w:ascii="Times New Roman" w:hAnsi="Times New Roman" w:cs="Times New Roman"/>
        </w:rPr>
        <w:t>Zetzsche</w:t>
      </w:r>
      <w:proofErr w:type="spellEnd"/>
      <w:r w:rsidRPr="00CB3F88">
        <w:rPr>
          <w:rFonts w:ascii="Times New Roman" w:hAnsi="Times New Roman" w:cs="Times New Roman"/>
        </w:rPr>
        <w:t xml:space="preserve"> and others, 'The ICO Gold Rush: It’s a Scam, It’s a Bubble, It’s a Super Challenge for Regulators' (2019) 60 Harvard International Law Journal 267-315.</w:t>
      </w:r>
    </w:p>
  </w:footnote>
  <w:footnote w:id="90">
    <w:p w14:paraId="366B7000" w14:textId="16E52FB4" w:rsidR="00987BEB" w:rsidRPr="00CB3F88" w:rsidRDefault="00987BEB" w:rsidP="004D76B1">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European Securities and Markets Authority (n </w:t>
      </w:r>
      <w:r w:rsidR="000C4802">
        <w:rPr>
          <w:rFonts w:ascii="Times New Roman" w:hAnsi="Times New Roman" w:cs="Times New Roman"/>
        </w:rPr>
        <w:t>88</w:t>
      </w:r>
      <w:r w:rsidRPr="00CB3F88">
        <w:rPr>
          <w:rFonts w:ascii="Times New Roman" w:hAnsi="Times New Roman" w:cs="Times New Roman"/>
        </w:rPr>
        <w:t>) 36.</w:t>
      </w:r>
    </w:p>
  </w:footnote>
  <w:footnote w:id="91">
    <w:p w14:paraId="7E671011" w14:textId="77777777" w:rsidR="00987BEB" w:rsidRPr="00CB3F88" w:rsidRDefault="00987BEB" w:rsidP="00E86DCD">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Lars </w:t>
      </w:r>
      <w:proofErr w:type="spellStart"/>
      <w:r w:rsidRPr="00CB3F88">
        <w:rPr>
          <w:rFonts w:ascii="Times New Roman" w:hAnsi="Times New Roman" w:cs="Times New Roman"/>
        </w:rPr>
        <w:t>Haffke</w:t>
      </w:r>
      <w:proofErr w:type="spellEnd"/>
      <w:r w:rsidRPr="00CB3F88">
        <w:rPr>
          <w:rFonts w:ascii="Times New Roman" w:hAnsi="Times New Roman" w:cs="Times New Roman"/>
        </w:rPr>
        <w:t>, Mathias </w:t>
      </w:r>
      <w:proofErr w:type="spellStart"/>
      <w:r w:rsidRPr="00CB3F88">
        <w:rPr>
          <w:rFonts w:ascii="Times New Roman" w:hAnsi="Times New Roman" w:cs="Times New Roman"/>
        </w:rPr>
        <w:t>Fromberger</w:t>
      </w:r>
      <w:proofErr w:type="spellEnd"/>
      <w:r w:rsidRPr="00CB3F88">
        <w:rPr>
          <w:rFonts w:ascii="Times New Roman" w:hAnsi="Times New Roman" w:cs="Times New Roman"/>
        </w:rPr>
        <w:t xml:space="preserve"> and Patrick Zimmermann, 'Cryptocurrencies and anti</w:t>
      </w:r>
      <w:r w:rsidRPr="00CB3F88">
        <w:rPr>
          <w:rFonts w:ascii="Times New Roman" w:hAnsi="Times New Roman" w:cs="Times New Roman"/>
        </w:rPr>
        <w:noBreakHyphen/>
        <w:t>money laundering: the shortcomings of the fifth AML Directive (EU) and how to address them' [2019] Journal of Banking Regulation.</w:t>
      </w:r>
    </w:p>
  </w:footnote>
  <w:footnote w:id="92">
    <w:p w14:paraId="1D0EB5D6" w14:textId="44A76F9B" w:rsidR="00987BEB" w:rsidRPr="00CB3F88" w:rsidRDefault="00987BEB" w:rsidP="00E86DCD">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Directive (EU) 2015/849 </w:t>
      </w:r>
      <w:r w:rsidRPr="00CB3F88">
        <w:rPr>
          <w:rFonts w:ascii="Times New Roman" w:hAnsi="Times New Roman" w:cs="Times New Roman"/>
        </w:rPr>
        <w:t xml:space="preserve">(n </w:t>
      </w:r>
      <w:r w:rsidR="005B55F4">
        <w:rPr>
          <w:rFonts w:ascii="Times New Roman" w:hAnsi="Times New Roman" w:cs="Times New Roman"/>
        </w:rPr>
        <w:t>6</w:t>
      </w:r>
      <w:r w:rsidR="00C44C76">
        <w:rPr>
          <w:rFonts w:ascii="Times New Roman" w:hAnsi="Times New Roman" w:cs="Times New Roman"/>
        </w:rPr>
        <w:t>4</w:t>
      </w:r>
      <w:r w:rsidRPr="00CB3F88">
        <w:rPr>
          <w:rFonts w:ascii="Times New Roman" w:hAnsi="Times New Roman" w:cs="Times New Roman"/>
        </w:rPr>
        <w:t>), Article 3(5)</w:t>
      </w:r>
      <w:r w:rsidRPr="00CB3F88">
        <w:rPr>
          <w:rFonts w:ascii="Times New Roman" w:hAnsi="Times New Roman" w:cs="Times New Roman"/>
          <w:lang w:val="en-US"/>
        </w:rPr>
        <w:t>.</w:t>
      </w:r>
    </w:p>
  </w:footnote>
  <w:footnote w:id="93">
    <w:p w14:paraId="2EB99EE1" w14:textId="24D46DE8" w:rsidR="00987BEB" w:rsidRPr="00CB3F88" w:rsidRDefault="00987BEB" w:rsidP="00E86DCD">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Directive (EU) 2015/849 </w:t>
      </w:r>
      <w:r w:rsidRPr="00CB3F88">
        <w:rPr>
          <w:rFonts w:ascii="Times New Roman" w:hAnsi="Times New Roman" w:cs="Times New Roman"/>
        </w:rPr>
        <w:t xml:space="preserve">(n </w:t>
      </w:r>
      <w:r w:rsidR="005B55F4">
        <w:rPr>
          <w:rFonts w:ascii="Times New Roman" w:hAnsi="Times New Roman" w:cs="Times New Roman"/>
        </w:rPr>
        <w:t>6</w:t>
      </w:r>
      <w:r w:rsidR="00C44C76">
        <w:rPr>
          <w:rFonts w:ascii="Times New Roman" w:hAnsi="Times New Roman" w:cs="Times New Roman"/>
        </w:rPr>
        <w:t>4</w:t>
      </w:r>
      <w:r w:rsidRPr="00CB3F88">
        <w:rPr>
          <w:rFonts w:ascii="Times New Roman" w:hAnsi="Times New Roman" w:cs="Times New Roman"/>
        </w:rPr>
        <w:t>), Article 3(3)(b)</w:t>
      </w:r>
      <w:r w:rsidRPr="00CB3F88">
        <w:rPr>
          <w:rFonts w:ascii="Times New Roman" w:hAnsi="Times New Roman" w:cs="Times New Roman"/>
          <w:lang w:val="en-US"/>
        </w:rPr>
        <w:t>.</w:t>
      </w:r>
    </w:p>
  </w:footnote>
  <w:footnote w:id="94">
    <w:p w14:paraId="7564EB34" w14:textId="23C9C296" w:rsidR="00987BEB" w:rsidRPr="00CB3F88" w:rsidRDefault="00987BEB" w:rsidP="00E86DCD">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The Money Laundering and Terrorist Financing (Amendment) Regulations 2019. At the time of writing, although the UK left the EU in on January 31, 2020, “Union law shall be applicable to and in the United Kingdom during the transition period”, “which shall start on the date of entry into force of this Agreement and end on 31 December 2020”, see Agreement on the withdrawal of the United Kingdom of Great Britain and Northern Ireland from the European Union and the European Atomic Energy Community OJ C 384I, 12.11.2019, p. 1–177,</w:t>
      </w:r>
      <w:r>
        <w:rPr>
          <w:rFonts w:ascii="Times New Roman" w:hAnsi="Times New Roman" w:cs="Times New Roman"/>
          <w:lang w:val="en-US"/>
        </w:rPr>
        <w:t xml:space="preserve"> </w:t>
      </w:r>
      <w:r w:rsidRPr="00CB3F88">
        <w:rPr>
          <w:rFonts w:ascii="Times New Roman" w:hAnsi="Times New Roman" w:cs="Times New Roman"/>
          <w:lang w:val="en-US"/>
        </w:rPr>
        <w:t>Articles 126 and 127(1)</w:t>
      </w:r>
      <w:r>
        <w:rPr>
          <w:rFonts w:ascii="Times New Roman" w:hAnsi="Times New Roman" w:cs="Times New Roman"/>
          <w:lang w:val="en-US"/>
        </w:rPr>
        <w:t>.</w:t>
      </w:r>
    </w:p>
  </w:footnote>
  <w:footnote w:id="95">
    <w:p w14:paraId="534790F2" w14:textId="77777777" w:rsidR="00987BEB" w:rsidRPr="00CB3F88" w:rsidRDefault="00987BEB" w:rsidP="00E86DCD">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lang w:val="en-US"/>
        </w:rPr>
        <w:t>Décret</w:t>
      </w:r>
      <w:proofErr w:type="spellEnd"/>
      <w:r w:rsidRPr="00CB3F88">
        <w:rPr>
          <w:rFonts w:ascii="Times New Roman" w:hAnsi="Times New Roman" w:cs="Times New Roman"/>
          <w:lang w:val="en-US"/>
        </w:rPr>
        <w:t xml:space="preserve"> n° 2019-1213 du 21 </w:t>
      </w:r>
      <w:proofErr w:type="spellStart"/>
      <w:r w:rsidRPr="00CB3F88">
        <w:rPr>
          <w:rFonts w:ascii="Times New Roman" w:hAnsi="Times New Roman" w:cs="Times New Roman"/>
          <w:lang w:val="en-US"/>
        </w:rPr>
        <w:t>novembre</w:t>
      </w:r>
      <w:proofErr w:type="spellEnd"/>
      <w:r w:rsidRPr="00CB3F88">
        <w:rPr>
          <w:rFonts w:ascii="Times New Roman" w:hAnsi="Times New Roman" w:cs="Times New Roman"/>
          <w:lang w:val="en-US"/>
        </w:rPr>
        <w:t xml:space="preserve"> 2019 </w:t>
      </w:r>
      <w:proofErr w:type="spellStart"/>
      <w:r w:rsidRPr="00CB3F88">
        <w:rPr>
          <w:rFonts w:ascii="Times New Roman" w:hAnsi="Times New Roman" w:cs="Times New Roman"/>
          <w:lang w:val="en-US"/>
        </w:rPr>
        <w:t>relatif</w:t>
      </w:r>
      <w:proofErr w:type="spellEnd"/>
      <w:r w:rsidRPr="00CB3F88">
        <w:rPr>
          <w:rFonts w:ascii="Times New Roman" w:hAnsi="Times New Roman" w:cs="Times New Roman"/>
          <w:lang w:val="en-US"/>
        </w:rPr>
        <w:t xml:space="preserve"> aux </w:t>
      </w:r>
      <w:proofErr w:type="spellStart"/>
      <w:r w:rsidRPr="00CB3F88">
        <w:rPr>
          <w:rFonts w:ascii="Times New Roman" w:hAnsi="Times New Roman" w:cs="Times New Roman"/>
          <w:lang w:val="en-US"/>
        </w:rPr>
        <w:t>prestataires</w:t>
      </w:r>
      <w:proofErr w:type="spellEnd"/>
      <w:r w:rsidRPr="00CB3F88">
        <w:rPr>
          <w:rFonts w:ascii="Times New Roman" w:hAnsi="Times New Roman" w:cs="Times New Roman"/>
          <w:lang w:val="en-US"/>
        </w:rPr>
        <w:t xml:space="preserve"> de services sur </w:t>
      </w:r>
      <w:proofErr w:type="spellStart"/>
      <w:r w:rsidRPr="00CB3F88">
        <w:rPr>
          <w:rFonts w:ascii="Times New Roman" w:hAnsi="Times New Roman" w:cs="Times New Roman"/>
          <w:lang w:val="en-US"/>
        </w:rPr>
        <w:t>actifs</w:t>
      </w:r>
      <w:proofErr w:type="spellEnd"/>
      <w:r w:rsidRPr="00CB3F88">
        <w:rPr>
          <w:rFonts w:ascii="Times New Roman" w:hAnsi="Times New Roman" w:cs="Times New Roman"/>
          <w:lang w:val="en-US"/>
        </w:rPr>
        <w:t xml:space="preserve"> </w:t>
      </w:r>
      <w:proofErr w:type="spellStart"/>
      <w:r w:rsidRPr="00CB3F88">
        <w:rPr>
          <w:rFonts w:ascii="Times New Roman" w:hAnsi="Times New Roman" w:cs="Times New Roman"/>
          <w:lang w:val="en-US"/>
        </w:rPr>
        <w:t>numériques</w:t>
      </w:r>
      <w:proofErr w:type="spellEnd"/>
      <w:r w:rsidRPr="00CB3F88">
        <w:rPr>
          <w:rFonts w:ascii="Times New Roman" w:hAnsi="Times New Roman" w:cs="Times New Roman"/>
          <w:lang w:val="en-US"/>
        </w:rPr>
        <w:t xml:space="preserve">, JORF n° 0271 du 22 </w:t>
      </w:r>
      <w:proofErr w:type="spellStart"/>
      <w:r w:rsidRPr="00CB3F88">
        <w:rPr>
          <w:rFonts w:ascii="Times New Roman" w:hAnsi="Times New Roman" w:cs="Times New Roman"/>
          <w:lang w:val="en-US"/>
        </w:rPr>
        <w:t>novembre</w:t>
      </w:r>
      <w:proofErr w:type="spellEnd"/>
      <w:r w:rsidRPr="00CB3F88">
        <w:rPr>
          <w:rFonts w:ascii="Times New Roman" w:hAnsi="Times New Roman" w:cs="Times New Roman"/>
          <w:lang w:val="en-US"/>
        </w:rPr>
        <w:t xml:space="preserve"> 2019.</w:t>
      </w:r>
    </w:p>
  </w:footnote>
  <w:footnote w:id="96">
    <w:p w14:paraId="01E3CFE6" w14:textId="0E1C1516" w:rsidR="00987BEB" w:rsidRPr="00CB3F88" w:rsidRDefault="00987BEB" w:rsidP="00E86DCD">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lang w:val="en-US"/>
        </w:rPr>
        <w:t>Decreto</w:t>
      </w:r>
      <w:proofErr w:type="spellEnd"/>
      <w:r w:rsidRPr="00CB3F88">
        <w:rPr>
          <w:rFonts w:ascii="Times New Roman" w:hAnsi="Times New Roman" w:cs="Times New Roman"/>
          <w:lang w:val="en-US"/>
        </w:rPr>
        <w:t xml:space="preserve"> </w:t>
      </w:r>
      <w:proofErr w:type="spellStart"/>
      <w:r w:rsidRPr="00CB3F88">
        <w:rPr>
          <w:rFonts w:ascii="Times New Roman" w:hAnsi="Times New Roman" w:cs="Times New Roman"/>
          <w:lang w:val="en-US"/>
        </w:rPr>
        <w:t>Legislativo</w:t>
      </w:r>
      <w:proofErr w:type="spellEnd"/>
      <w:r w:rsidRPr="00CB3F88">
        <w:rPr>
          <w:rFonts w:ascii="Times New Roman" w:hAnsi="Times New Roman" w:cs="Times New Roman"/>
          <w:lang w:val="en-US"/>
        </w:rPr>
        <w:t xml:space="preserve"> 21 </w:t>
      </w:r>
      <w:proofErr w:type="spellStart"/>
      <w:r w:rsidRPr="00CB3F88">
        <w:rPr>
          <w:rFonts w:ascii="Times New Roman" w:hAnsi="Times New Roman" w:cs="Times New Roman"/>
          <w:lang w:val="en-US"/>
        </w:rPr>
        <w:t>novembre</w:t>
      </w:r>
      <w:proofErr w:type="spellEnd"/>
      <w:r w:rsidRPr="00CB3F88">
        <w:rPr>
          <w:rFonts w:ascii="Times New Roman" w:hAnsi="Times New Roman" w:cs="Times New Roman"/>
          <w:lang w:val="en-US"/>
        </w:rPr>
        <w:t xml:space="preserve"> 2007, n. 231</w:t>
      </w:r>
      <w:r w:rsidRPr="00CB3F88">
        <w:rPr>
          <w:rFonts w:ascii="Times New Roman" w:hAnsi="Times New Roman" w:cs="Times New Roman"/>
        </w:rPr>
        <w:t>, GU n. 290 del 14-12-2007.</w:t>
      </w:r>
    </w:p>
  </w:footnote>
  <w:footnote w:id="97">
    <w:p w14:paraId="7AB4E698" w14:textId="6E9B48C3" w:rsidR="00987BEB" w:rsidRPr="00CB3F88" w:rsidRDefault="00987BEB" w:rsidP="00E86DCD">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22" w:name="_Hlk39614308"/>
      <w:r w:rsidRPr="00CB3F88">
        <w:rPr>
          <w:rFonts w:ascii="Times New Roman" w:hAnsi="Times New Roman" w:cs="Times New Roman"/>
          <w:lang w:val="en-US"/>
        </w:rPr>
        <w:t>Measures Against Money Laundering Act</w:t>
      </w:r>
      <w:bookmarkEnd w:id="22"/>
      <w:r w:rsidRPr="00CB3F88">
        <w:rPr>
          <w:rFonts w:ascii="Times New Roman" w:hAnsi="Times New Roman" w:cs="Times New Roman"/>
          <w:lang w:val="en-US"/>
        </w:rPr>
        <w:t>.</w:t>
      </w:r>
    </w:p>
  </w:footnote>
  <w:footnote w:id="98">
    <w:p w14:paraId="29B7D382" w14:textId="77777777" w:rsidR="00987BEB" w:rsidRPr="00CB3F88" w:rsidRDefault="00987BEB" w:rsidP="00016205">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Aleksandra Bal, </w:t>
      </w:r>
      <w:r w:rsidRPr="00CB3F88">
        <w:rPr>
          <w:rFonts w:ascii="Times New Roman" w:hAnsi="Times New Roman" w:cs="Times New Roman"/>
          <w:i/>
          <w:iCs/>
        </w:rPr>
        <w:t>Taxation, Virtual Currency and Blockchain</w:t>
      </w:r>
      <w:r w:rsidRPr="00CB3F88">
        <w:rPr>
          <w:rFonts w:ascii="Times New Roman" w:hAnsi="Times New Roman" w:cs="Times New Roman"/>
        </w:rPr>
        <w:t> (Wolters Kluwer 2018).</w:t>
      </w:r>
    </w:p>
  </w:footnote>
  <w:footnote w:id="99">
    <w:p w14:paraId="6269FA5C" w14:textId="5A7445CC" w:rsidR="00987BEB" w:rsidRPr="00CB3F88" w:rsidRDefault="00987BEB" w:rsidP="00AC3A6B">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Directive (EU) 2018/843 (n </w:t>
      </w:r>
      <w:r w:rsidR="009A6B88">
        <w:rPr>
          <w:rFonts w:ascii="Times New Roman" w:hAnsi="Times New Roman" w:cs="Times New Roman"/>
        </w:rPr>
        <w:t>9</w:t>
      </w:r>
      <w:r w:rsidRPr="00CB3F88">
        <w:rPr>
          <w:rFonts w:ascii="Times New Roman" w:hAnsi="Times New Roman" w:cs="Times New Roman"/>
        </w:rPr>
        <w:t xml:space="preserve">), Recital 10 </w:t>
      </w:r>
      <w:bookmarkStart w:id="23" w:name="_Hlk38014721"/>
      <w:r w:rsidRPr="00CB3F88">
        <w:rPr>
          <w:rFonts w:ascii="Times New Roman" w:hAnsi="Times New Roman" w:cs="Times New Roman"/>
        </w:rPr>
        <w:t>(emphasis added)</w:t>
      </w:r>
      <w:bookmarkEnd w:id="23"/>
      <w:r w:rsidR="00B633D1">
        <w:rPr>
          <w:rFonts w:ascii="Times New Roman" w:hAnsi="Times New Roman" w:cs="Times New Roman"/>
        </w:rPr>
        <w:t>.</w:t>
      </w:r>
    </w:p>
  </w:footnote>
  <w:footnote w:id="100">
    <w:p w14:paraId="006542F6" w14:textId="21F7E76E" w:rsidR="00987BEB" w:rsidRPr="00CB3F88" w:rsidRDefault="00987BEB" w:rsidP="00A4291D">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Lars </w:t>
      </w:r>
      <w:proofErr w:type="spellStart"/>
      <w:r w:rsidRPr="00CB3F88">
        <w:rPr>
          <w:rFonts w:ascii="Times New Roman" w:hAnsi="Times New Roman" w:cs="Times New Roman"/>
        </w:rPr>
        <w:t>Haffke</w:t>
      </w:r>
      <w:proofErr w:type="spellEnd"/>
      <w:r w:rsidRPr="00CB3F88">
        <w:rPr>
          <w:rFonts w:ascii="Times New Roman" w:hAnsi="Times New Roman" w:cs="Times New Roman"/>
        </w:rPr>
        <w:t>, Mathias </w:t>
      </w:r>
      <w:proofErr w:type="spellStart"/>
      <w:r w:rsidRPr="00CB3F88">
        <w:rPr>
          <w:rFonts w:ascii="Times New Roman" w:hAnsi="Times New Roman" w:cs="Times New Roman"/>
        </w:rPr>
        <w:t>Fromberger</w:t>
      </w:r>
      <w:proofErr w:type="spellEnd"/>
      <w:r w:rsidRPr="00CB3F88">
        <w:rPr>
          <w:rFonts w:ascii="Times New Roman" w:hAnsi="Times New Roman" w:cs="Times New Roman"/>
        </w:rPr>
        <w:t xml:space="preserve"> and Patrick Zimmermann (n </w:t>
      </w:r>
      <w:r w:rsidR="005B55F4">
        <w:rPr>
          <w:rFonts w:ascii="Times New Roman" w:hAnsi="Times New Roman" w:cs="Times New Roman"/>
        </w:rPr>
        <w:t>9</w:t>
      </w:r>
      <w:r w:rsidR="00087EE3">
        <w:rPr>
          <w:rFonts w:ascii="Times New Roman" w:hAnsi="Times New Roman" w:cs="Times New Roman"/>
        </w:rPr>
        <w:t>1</w:t>
      </w:r>
      <w:r w:rsidRPr="00CB3F88">
        <w:rPr>
          <w:rFonts w:ascii="Times New Roman" w:hAnsi="Times New Roman" w:cs="Times New Roman"/>
        </w:rPr>
        <w:t>).</w:t>
      </w:r>
    </w:p>
  </w:footnote>
  <w:footnote w:id="101">
    <w:p w14:paraId="75E407BA" w14:textId="77777777" w:rsidR="00275BA5" w:rsidRPr="00CB3F88" w:rsidRDefault="00275BA5" w:rsidP="00275BA5">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24" w:name="_Hlk51683717"/>
      <w:r w:rsidRPr="00CB3F88">
        <w:rPr>
          <w:rFonts w:ascii="Times New Roman" w:hAnsi="Times New Roman" w:cs="Times New Roman"/>
          <w:lang w:val="en-US"/>
        </w:rPr>
        <w:t xml:space="preserve">Case C-162/97 </w:t>
      </w:r>
      <w:r w:rsidRPr="00CB3F88">
        <w:rPr>
          <w:rFonts w:ascii="Times New Roman" w:hAnsi="Times New Roman" w:cs="Times New Roman"/>
          <w:i/>
          <w:iCs/>
          <w:lang w:val="en-US"/>
        </w:rPr>
        <w:t xml:space="preserve">Nilsson v </w:t>
      </w:r>
      <w:proofErr w:type="spellStart"/>
      <w:r w:rsidRPr="00CB3F88">
        <w:rPr>
          <w:rFonts w:ascii="Times New Roman" w:hAnsi="Times New Roman" w:cs="Times New Roman"/>
          <w:i/>
          <w:iCs/>
          <w:lang w:val="en-US"/>
        </w:rPr>
        <w:t>Angličtině</w:t>
      </w:r>
      <w:proofErr w:type="spellEnd"/>
      <w:r w:rsidRPr="00CB3F88">
        <w:rPr>
          <w:rFonts w:ascii="Times New Roman" w:hAnsi="Times New Roman" w:cs="Times New Roman"/>
          <w:lang w:val="en-US"/>
        </w:rPr>
        <w:t xml:space="preserve"> [1998] ECR I-7477.</w:t>
      </w:r>
      <w:bookmarkEnd w:id="24"/>
    </w:p>
  </w:footnote>
  <w:footnote w:id="102">
    <w:p w14:paraId="362E8D22" w14:textId="573C85B1" w:rsidR="00987BEB" w:rsidRPr="00CB3F88" w:rsidRDefault="00987BEB" w:rsidP="00A84B07">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Lars </w:t>
      </w:r>
      <w:proofErr w:type="spellStart"/>
      <w:r w:rsidRPr="00CB3F88">
        <w:rPr>
          <w:rFonts w:ascii="Times New Roman" w:hAnsi="Times New Roman" w:cs="Times New Roman"/>
        </w:rPr>
        <w:t>Haffke</w:t>
      </w:r>
      <w:proofErr w:type="spellEnd"/>
      <w:r w:rsidRPr="00CB3F88">
        <w:rPr>
          <w:rFonts w:ascii="Times New Roman" w:hAnsi="Times New Roman" w:cs="Times New Roman"/>
        </w:rPr>
        <w:t>, Mathias </w:t>
      </w:r>
      <w:proofErr w:type="spellStart"/>
      <w:r w:rsidRPr="00CB3F88">
        <w:rPr>
          <w:rFonts w:ascii="Times New Roman" w:hAnsi="Times New Roman" w:cs="Times New Roman"/>
        </w:rPr>
        <w:t>Fromberger</w:t>
      </w:r>
      <w:proofErr w:type="spellEnd"/>
      <w:r w:rsidRPr="00CB3F88">
        <w:rPr>
          <w:rFonts w:ascii="Times New Roman" w:hAnsi="Times New Roman" w:cs="Times New Roman"/>
        </w:rPr>
        <w:t xml:space="preserve"> and Patrick Zimmermann (n </w:t>
      </w:r>
      <w:r w:rsidR="005B55F4">
        <w:rPr>
          <w:rFonts w:ascii="Times New Roman" w:hAnsi="Times New Roman" w:cs="Times New Roman"/>
        </w:rPr>
        <w:t>9</w:t>
      </w:r>
      <w:r w:rsidR="00087EE3">
        <w:rPr>
          <w:rFonts w:ascii="Times New Roman" w:hAnsi="Times New Roman" w:cs="Times New Roman"/>
        </w:rPr>
        <w:t>1</w:t>
      </w:r>
      <w:r w:rsidRPr="00CB3F88">
        <w:rPr>
          <w:rFonts w:ascii="Times New Roman" w:hAnsi="Times New Roman" w:cs="Times New Roman"/>
        </w:rPr>
        <w:t>).</w:t>
      </w:r>
    </w:p>
  </w:footnote>
  <w:footnote w:id="103">
    <w:p w14:paraId="540E8089" w14:textId="24DBF800" w:rsidR="00987BEB" w:rsidRPr="00CB3F88" w:rsidRDefault="00987BEB" w:rsidP="00075B11">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Measures Against Money Laundering Act.</w:t>
      </w:r>
    </w:p>
  </w:footnote>
  <w:footnote w:id="104">
    <w:p w14:paraId="6FF7EEBE" w14:textId="4D202271" w:rsidR="00987BEB" w:rsidRPr="00CB3F88" w:rsidRDefault="00987BEB" w:rsidP="00075B11">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25" w:name="_Hlk38005142"/>
      <w:proofErr w:type="spellStart"/>
      <w:r w:rsidRPr="00CB3F88">
        <w:rPr>
          <w:rFonts w:ascii="Times New Roman" w:hAnsi="Times New Roman" w:cs="Times New Roman"/>
          <w:lang w:val="en-US"/>
        </w:rPr>
        <w:t>Decreto</w:t>
      </w:r>
      <w:proofErr w:type="spellEnd"/>
      <w:r w:rsidRPr="00CB3F88">
        <w:rPr>
          <w:rFonts w:ascii="Times New Roman" w:hAnsi="Times New Roman" w:cs="Times New Roman"/>
          <w:lang w:val="en-US"/>
        </w:rPr>
        <w:t xml:space="preserve"> </w:t>
      </w:r>
      <w:proofErr w:type="spellStart"/>
      <w:r w:rsidRPr="00CB3F88">
        <w:rPr>
          <w:rFonts w:ascii="Times New Roman" w:hAnsi="Times New Roman" w:cs="Times New Roman"/>
          <w:lang w:val="en-US"/>
        </w:rPr>
        <w:t>Legislativo</w:t>
      </w:r>
      <w:proofErr w:type="spellEnd"/>
      <w:r w:rsidRPr="00CB3F88">
        <w:rPr>
          <w:rFonts w:ascii="Times New Roman" w:hAnsi="Times New Roman" w:cs="Times New Roman"/>
          <w:lang w:val="en-US"/>
        </w:rPr>
        <w:t xml:space="preserve"> 21 </w:t>
      </w:r>
      <w:proofErr w:type="spellStart"/>
      <w:r w:rsidRPr="00CB3F88">
        <w:rPr>
          <w:rFonts w:ascii="Times New Roman" w:hAnsi="Times New Roman" w:cs="Times New Roman"/>
          <w:lang w:val="en-US"/>
        </w:rPr>
        <w:t>novembre</w:t>
      </w:r>
      <w:proofErr w:type="spellEnd"/>
      <w:r w:rsidRPr="00CB3F88">
        <w:rPr>
          <w:rFonts w:ascii="Times New Roman" w:hAnsi="Times New Roman" w:cs="Times New Roman"/>
          <w:lang w:val="en-US"/>
        </w:rPr>
        <w:t xml:space="preserve"> 2007, n. 231</w:t>
      </w:r>
      <w:r w:rsidRPr="00CB3F88">
        <w:rPr>
          <w:rFonts w:ascii="Times New Roman" w:hAnsi="Times New Roman" w:cs="Times New Roman"/>
        </w:rPr>
        <w:t>, GU n. 290 del 14-12-2007.</w:t>
      </w:r>
      <w:bookmarkEnd w:id="25"/>
    </w:p>
  </w:footnote>
  <w:footnote w:id="105">
    <w:p w14:paraId="2D6F5307" w14:textId="116BD994" w:rsidR="00987BEB" w:rsidRPr="00CB3F88" w:rsidRDefault="00987BEB" w:rsidP="00A7203C">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rPr>
        <w:t>Gesetz</w:t>
      </w:r>
      <w:proofErr w:type="spellEnd"/>
      <w:r w:rsidRPr="00CB3F88">
        <w:rPr>
          <w:rFonts w:ascii="Times New Roman" w:hAnsi="Times New Roman" w:cs="Times New Roman"/>
        </w:rPr>
        <w:t xml:space="preserve"> </w:t>
      </w:r>
      <w:proofErr w:type="spellStart"/>
      <w:r w:rsidRPr="00CB3F88">
        <w:rPr>
          <w:rFonts w:ascii="Times New Roman" w:hAnsi="Times New Roman" w:cs="Times New Roman"/>
        </w:rPr>
        <w:t>zur</w:t>
      </w:r>
      <w:proofErr w:type="spellEnd"/>
      <w:r w:rsidRPr="00CB3F88">
        <w:rPr>
          <w:rFonts w:ascii="Times New Roman" w:hAnsi="Times New Roman" w:cs="Times New Roman"/>
        </w:rPr>
        <w:t xml:space="preserve"> </w:t>
      </w:r>
      <w:proofErr w:type="spellStart"/>
      <w:r w:rsidRPr="00CB3F88">
        <w:rPr>
          <w:rFonts w:ascii="Times New Roman" w:hAnsi="Times New Roman" w:cs="Times New Roman"/>
        </w:rPr>
        <w:t>Umsetzung</w:t>
      </w:r>
      <w:proofErr w:type="spellEnd"/>
      <w:r w:rsidRPr="00CB3F88">
        <w:rPr>
          <w:rFonts w:ascii="Times New Roman" w:hAnsi="Times New Roman" w:cs="Times New Roman"/>
        </w:rPr>
        <w:t xml:space="preserve"> der </w:t>
      </w:r>
      <w:proofErr w:type="spellStart"/>
      <w:r w:rsidRPr="00CB3F88">
        <w:rPr>
          <w:rFonts w:ascii="Times New Roman" w:hAnsi="Times New Roman" w:cs="Times New Roman"/>
        </w:rPr>
        <w:t>Änderungsrichtlinie</w:t>
      </w:r>
      <w:proofErr w:type="spellEnd"/>
      <w:r w:rsidRPr="00CB3F88">
        <w:rPr>
          <w:rFonts w:ascii="Times New Roman" w:hAnsi="Times New Roman" w:cs="Times New Roman"/>
        </w:rPr>
        <w:t xml:space="preserve"> </w:t>
      </w:r>
      <w:proofErr w:type="spellStart"/>
      <w:r w:rsidRPr="00CB3F88">
        <w:rPr>
          <w:rFonts w:ascii="Times New Roman" w:hAnsi="Times New Roman" w:cs="Times New Roman"/>
        </w:rPr>
        <w:t>zur</w:t>
      </w:r>
      <w:proofErr w:type="spellEnd"/>
      <w:r w:rsidRPr="00CB3F88">
        <w:rPr>
          <w:rFonts w:ascii="Times New Roman" w:hAnsi="Times New Roman" w:cs="Times New Roman"/>
        </w:rPr>
        <w:t xml:space="preserve"> </w:t>
      </w:r>
      <w:proofErr w:type="spellStart"/>
      <w:r w:rsidRPr="00CB3F88">
        <w:rPr>
          <w:rFonts w:ascii="Times New Roman" w:hAnsi="Times New Roman" w:cs="Times New Roman"/>
        </w:rPr>
        <w:t>Vierten</w:t>
      </w:r>
      <w:proofErr w:type="spellEnd"/>
      <w:r w:rsidRPr="00CB3F88">
        <w:rPr>
          <w:rFonts w:ascii="Times New Roman" w:hAnsi="Times New Roman" w:cs="Times New Roman"/>
        </w:rPr>
        <w:t xml:space="preserve"> EU-</w:t>
      </w:r>
      <w:proofErr w:type="spellStart"/>
      <w:r w:rsidRPr="00CB3F88">
        <w:rPr>
          <w:rFonts w:ascii="Times New Roman" w:hAnsi="Times New Roman" w:cs="Times New Roman"/>
        </w:rPr>
        <w:t>Geldwäscherichtlinie</w:t>
      </w:r>
      <w:proofErr w:type="spellEnd"/>
      <w:r w:rsidRPr="00CB3F88">
        <w:rPr>
          <w:rFonts w:ascii="Times New Roman" w:hAnsi="Times New Roman" w:cs="Times New Roman"/>
        </w:rPr>
        <w:t xml:space="preserve">, </w:t>
      </w:r>
      <w:proofErr w:type="spellStart"/>
      <w:r w:rsidRPr="00CB3F88">
        <w:rPr>
          <w:rFonts w:ascii="Times New Roman" w:hAnsi="Times New Roman" w:cs="Times New Roman"/>
        </w:rPr>
        <w:t>Vom</w:t>
      </w:r>
      <w:proofErr w:type="spellEnd"/>
      <w:r w:rsidRPr="00CB3F88">
        <w:rPr>
          <w:rFonts w:ascii="Times New Roman" w:hAnsi="Times New Roman" w:cs="Times New Roman"/>
        </w:rPr>
        <w:t xml:space="preserve"> 12. </w:t>
      </w:r>
      <w:proofErr w:type="spellStart"/>
      <w:r w:rsidRPr="00CB3F88">
        <w:rPr>
          <w:rFonts w:ascii="Times New Roman" w:hAnsi="Times New Roman" w:cs="Times New Roman"/>
        </w:rPr>
        <w:t>Dezember</w:t>
      </w:r>
      <w:proofErr w:type="spellEnd"/>
      <w:r w:rsidRPr="00CB3F88">
        <w:rPr>
          <w:rFonts w:ascii="Times New Roman" w:hAnsi="Times New Roman" w:cs="Times New Roman"/>
        </w:rPr>
        <w:t xml:space="preserve"> 2019 </w:t>
      </w:r>
      <w:bookmarkStart w:id="26" w:name="_Hlk38008841"/>
      <w:r w:rsidRPr="00CB3F88">
        <w:rPr>
          <w:rFonts w:ascii="Times New Roman" w:hAnsi="Times New Roman" w:cs="Times New Roman"/>
        </w:rPr>
        <w:t>(</w:t>
      </w:r>
      <w:proofErr w:type="spellStart"/>
      <w:r w:rsidRPr="00CB3F88">
        <w:rPr>
          <w:rFonts w:ascii="Times New Roman" w:hAnsi="Times New Roman" w:cs="Times New Roman"/>
        </w:rPr>
        <w:t>BGBl</w:t>
      </w:r>
      <w:proofErr w:type="spellEnd"/>
      <w:r w:rsidRPr="00CB3F88">
        <w:rPr>
          <w:rFonts w:ascii="Times New Roman" w:hAnsi="Times New Roman" w:cs="Times New Roman"/>
        </w:rPr>
        <w:t>. I S. 2623)</w:t>
      </w:r>
      <w:bookmarkEnd w:id="26"/>
      <w:r w:rsidRPr="00CB3F88">
        <w:rPr>
          <w:rFonts w:ascii="Times New Roman" w:hAnsi="Times New Roman" w:cs="Times New Roman"/>
        </w:rPr>
        <w:t>.</w:t>
      </w:r>
    </w:p>
  </w:footnote>
  <w:footnote w:id="106">
    <w:p w14:paraId="0838F186" w14:textId="77777777" w:rsidR="00987BEB" w:rsidRPr="00CB3F88" w:rsidRDefault="00987BEB" w:rsidP="003A5BA3">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The Money Laundering and Terrorist Financing (Amendment) Regulations 2019.</w:t>
      </w:r>
    </w:p>
  </w:footnote>
  <w:footnote w:id="107">
    <w:p w14:paraId="32ADC56E" w14:textId="77777777" w:rsidR="00987BEB" w:rsidRPr="00CB3F88" w:rsidRDefault="00987BEB" w:rsidP="003A5BA3">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Eugenia </w:t>
      </w:r>
      <w:proofErr w:type="spellStart"/>
      <w:r w:rsidRPr="00CB3F88">
        <w:rPr>
          <w:rFonts w:ascii="Times New Roman" w:hAnsi="Times New Roman" w:cs="Times New Roman"/>
        </w:rPr>
        <w:t>Macchiavello</w:t>
      </w:r>
      <w:proofErr w:type="spellEnd"/>
      <w:r w:rsidRPr="00CB3F88">
        <w:rPr>
          <w:rFonts w:ascii="Times New Roman" w:hAnsi="Times New Roman" w:cs="Times New Roman"/>
        </w:rPr>
        <w:t>, 'FinTech Regulation from A Cross-Sectoral Perspective', </w:t>
      </w:r>
      <w:r w:rsidRPr="00CB3F88">
        <w:rPr>
          <w:rFonts w:ascii="Times New Roman" w:hAnsi="Times New Roman" w:cs="Times New Roman"/>
          <w:i/>
          <w:iCs/>
        </w:rPr>
        <w:t>European Financial Regulation: Levelling the Cross-Sectoral Playing Field</w:t>
      </w:r>
      <w:r w:rsidRPr="00CB3F88">
        <w:rPr>
          <w:rFonts w:ascii="Times New Roman" w:hAnsi="Times New Roman" w:cs="Times New Roman"/>
        </w:rPr>
        <w:t> (Hart 2019) 84.</w:t>
      </w:r>
    </w:p>
  </w:footnote>
  <w:footnote w:id="108">
    <w:p w14:paraId="5967AFA6" w14:textId="2EB3954F" w:rsidR="00987BEB" w:rsidRPr="00CB3F88" w:rsidRDefault="00987BEB" w:rsidP="0036715D">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Christopher P. Buttigieg and others, 'Anti-money laundering regulation of crypto assets in Europe’s smallest member state' (2019) 13 Law and Financial Markets Review 211-227.</w:t>
      </w:r>
    </w:p>
  </w:footnote>
  <w:footnote w:id="109">
    <w:p w14:paraId="5B0926E6" w14:textId="77777777" w:rsidR="00987BEB" w:rsidRPr="00CB3F88" w:rsidRDefault="00987BEB" w:rsidP="00C44ABE">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David Connell, 'Do EU Regulations Combating Money Laundering and the Financing of Terrorism adequately tackle Cryptocurrencies? The case of Ireland' (2018) 21 Irish Journal of European Law 68-90.</w:t>
      </w:r>
    </w:p>
  </w:footnote>
  <w:footnote w:id="110">
    <w:p w14:paraId="4F59ACA0" w14:textId="77777777" w:rsidR="00987BEB" w:rsidRPr="00CB3F88" w:rsidRDefault="00987BEB" w:rsidP="00C44ABE">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European Parliament, 'Cryptocurrencies and Blockchain: Legal Context and Implications for Financial Crime, Money Laundering and Tax Evasion' (2018) 76.</w:t>
      </w:r>
    </w:p>
  </w:footnote>
  <w:footnote w:id="111">
    <w:p w14:paraId="281BB3B7" w14:textId="77777777" w:rsidR="00987BEB" w:rsidRPr="00CB3F88" w:rsidRDefault="00987BEB" w:rsidP="00A3243A">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Valentina </w:t>
      </w:r>
      <w:proofErr w:type="spellStart"/>
      <w:r w:rsidRPr="00CB3F88">
        <w:rPr>
          <w:rFonts w:ascii="Times New Roman" w:hAnsi="Times New Roman" w:cs="Times New Roman"/>
        </w:rPr>
        <w:t>Covolo</w:t>
      </w:r>
      <w:proofErr w:type="spellEnd"/>
      <w:r w:rsidRPr="00CB3F88">
        <w:rPr>
          <w:rFonts w:ascii="Times New Roman" w:hAnsi="Times New Roman" w:cs="Times New Roman"/>
        </w:rPr>
        <w:t>, 'The EU Response to Criminal Misuse of Cryptocurrencies: The Young, Already Outdated 5th Anti-Money Laundering Directive', University of Luxembourg Law Working Paper No. 2019-015 15.</w:t>
      </w:r>
    </w:p>
  </w:footnote>
  <w:footnote w:id="112">
    <w:p w14:paraId="253B9F26" w14:textId="1F785425" w:rsidR="00987BEB" w:rsidRPr="00CB3F88" w:rsidRDefault="00987BEB" w:rsidP="00A3243A">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Alexander </w:t>
      </w:r>
      <w:proofErr w:type="spellStart"/>
      <w:r w:rsidRPr="00CB3F88">
        <w:rPr>
          <w:rFonts w:ascii="Times New Roman" w:hAnsi="Times New Roman" w:cs="Times New Roman"/>
        </w:rPr>
        <w:t>Snyers</w:t>
      </w:r>
      <w:proofErr w:type="spellEnd"/>
      <w:r w:rsidRPr="00CB3F88">
        <w:rPr>
          <w:rFonts w:ascii="Times New Roman" w:hAnsi="Times New Roman" w:cs="Times New Roman"/>
        </w:rPr>
        <w:t xml:space="preserve"> and Karl Pauwels (n </w:t>
      </w:r>
      <w:r w:rsidR="005B55F4">
        <w:rPr>
          <w:rFonts w:ascii="Times New Roman" w:hAnsi="Times New Roman" w:cs="Times New Roman"/>
        </w:rPr>
        <w:t>8</w:t>
      </w:r>
      <w:r w:rsidR="00A05CB1">
        <w:rPr>
          <w:rFonts w:ascii="Times New Roman" w:hAnsi="Times New Roman" w:cs="Times New Roman"/>
        </w:rPr>
        <w:t>6</w:t>
      </w:r>
      <w:r w:rsidRPr="00CB3F88">
        <w:rPr>
          <w:rFonts w:ascii="Times New Roman" w:hAnsi="Times New Roman" w:cs="Times New Roman"/>
        </w:rPr>
        <w:t>) 483-510.</w:t>
      </w:r>
    </w:p>
  </w:footnote>
  <w:footnote w:id="113">
    <w:p w14:paraId="28AC3A97" w14:textId="2FB875BA" w:rsidR="00987BEB" w:rsidRPr="00CB3F88" w:rsidRDefault="00987BEB" w:rsidP="000C1821">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European Parliament (n </w:t>
      </w:r>
      <w:r w:rsidR="005B55F4">
        <w:rPr>
          <w:rFonts w:ascii="Times New Roman" w:hAnsi="Times New Roman" w:cs="Times New Roman"/>
        </w:rPr>
        <w:t>11</w:t>
      </w:r>
      <w:r w:rsidR="00075606">
        <w:rPr>
          <w:rFonts w:ascii="Times New Roman" w:hAnsi="Times New Roman" w:cs="Times New Roman"/>
        </w:rPr>
        <w:t>0</w:t>
      </w:r>
      <w:r w:rsidRPr="00CB3F88">
        <w:rPr>
          <w:rFonts w:ascii="Times New Roman" w:hAnsi="Times New Roman" w:cs="Times New Roman"/>
        </w:rPr>
        <w:t>) 76.</w:t>
      </w:r>
    </w:p>
  </w:footnote>
  <w:footnote w:id="114">
    <w:p w14:paraId="5E601AAC" w14:textId="3FAC9FE4" w:rsidR="00987BEB" w:rsidRPr="00CB3F88" w:rsidRDefault="00987BEB" w:rsidP="000C1821">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Lars </w:t>
      </w:r>
      <w:bookmarkStart w:id="27" w:name="_Hlk39428600"/>
      <w:proofErr w:type="spellStart"/>
      <w:r w:rsidRPr="00CB3F88">
        <w:rPr>
          <w:rFonts w:ascii="Times New Roman" w:hAnsi="Times New Roman" w:cs="Times New Roman"/>
        </w:rPr>
        <w:t>Haffke</w:t>
      </w:r>
      <w:proofErr w:type="spellEnd"/>
      <w:r w:rsidRPr="00CB3F88">
        <w:rPr>
          <w:rFonts w:ascii="Times New Roman" w:hAnsi="Times New Roman" w:cs="Times New Roman"/>
        </w:rPr>
        <w:t>, Mathias </w:t>
      </w:r>
      <w:proofErr w:type="spellStart"/>
      <w:r w:rsidRPr="00CB3F88">
        <w:rPr>
          <w:rFonts w:ascii="Times New Roman" w:hAnsi="Times New Roman" w:cs="Times New Roman"/>
        </w:rPr>
        <w:t>Fromberger</w:t>
      </w:r>
      <w:proofErr w:type="spellEnd"/>
      <w:r w:rsidRPr="00CB3F88">
        <w:rPr>
          <w:rFonts w:ascii="Times New Roman" w:hAnsi="Times New Roman" w:cs="Times New Roman"/>
        </w:rPr>
        <w:t xml:space="preserve"> and Patrick Zimmermann</w:t>
      </w:r>
      <w:bookmarkEnd w:id="27"/>
      <w:r w:rsidRPr="00CB3F88">
        <w:rPr>
          <w:rFonts w:ascii="Times New Roman" w:hAnsi="Times New Roman" w:cs="Times New Roman"/>
        </w:rPr>
        <w:t xml:space="preserve"> (n </w:t>
      </w:r>
      <w:r w:rsidR="005B55F4">
        <w:rPr>
          <w:rFonts w:ascii="Times New Roman" w:hAnsi="Times New Roman" w:cs="Times New Roman"/>
        </w:rPr>
        <w:t>9</w:t>
      </w:r>
      <w:r w:rsidR="00015A73">
        <w:rPr>
          <w:rFonts w:ascii="Times New Roman" w:hAnsi="Times New Roman" w:cs="Times New Roman"/>
        </w:rPr>
        <w:t>1</w:t>
      </w:r>
      <w:r w:rsidRPr="00CB3F88">
        <w:rPr>
          <w:rFonts w:ascii="Times New Roman" w:hAnsi="Times New Roman" w:cs="Times New Roman"/>
        </w:rPr>
        <w:t>).</w:t>
      </w:r>
    </w:p>
  </w:footnote>
  <w:footnote w:id="115">
    <w:p w14:paraId="4FD2696C" w14:textId="068F30FB" w:rsidR="00987BEB" w:rsidRPr="00CB3F88" w:rsidRDefault="00987BEB" w:rsidP="000C1821">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David Carlisle and Kayla </w:t>
      </w:r>
      <w:proofErr w:type="spellStart"/>
      <w:r w:rsidRPr="00CB3F88">
        <w:rPr>
          <w:rFonts w:ascii="Times New Roman" w:hAnsi="Times New Roman" w:cs="Times New Roman"/>
        </w:rPr>
        <w:t>Izenman</w:t>
      </w:r>
      <w:proofErr w:type="spellEnd"/>
      <w:r w:rsidRPr="00CB3F88">
        <w:rPr>
          <w:rFonts w:ascii="Times New Roman" w:hAnsi="Times New Roman" w:cs="Times New Roman"/>
        </w:rPr>
        <w:t>, 'Closing the Crypto Gap</w:t>
      </w:r>
      <w:r>
        <w:rPr>
          <w:rFonts w:ascii="Times New Roman" w:hAnsi="Times New Roman" w:cs="Times New Roman"/>
        </w:rPr>
        <w:t>:</w:t>
      </w:r>
      <w:r w:rsidRPr="00CB3F88">
        <w:rPr>
          <w:rFonts w:ascii="Times New Roman" w:hAnsi="Times New Roman" w:cs="Times New Roman"/>
        </w:rPr>
        <w:t xml:space="preserve"> Guidance for Countering North Korean Cryptocurrency Activity in Southeast Asia', Royal United Services Institute for Defence and Security Studies Occasional Paper, April 2019 38.</w:t>
      </w:r>
    </w:p>
  </w:footnote>
  <w:footnote w:id="116">
    <w:p w14:paraId="7A02354F" w14:textId="0399E102" w:rsidR="00987BEB" w:rsidRPr="00CB3F88" w:rsidRDefault="00987BEB" w:rsidP="00AF69C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Lars </w:t>
      </w:r>
      <w:proofErr w:type="spellStart"/>
      <w:r w:rsidRPr="00CB3F88">
        <w:rPr>
          <w:rFonts w:ascii="Times New Roman" w:hAnsi="Times New Roman" w:cs="Times New Roman"/>
        </w:rPr>
        <w:t>Haffke</w:t>
      </w:r>
      <w:proofErr w:type="spellEnd"/>
      <w:r w:rsidRPr="00CB3F88">
        <w:rPr>
          <w:rFonts w:ascii="Times New Roman" w:hAnsi="Times New Roman" w:cs="Times New Roman"/>
        </w:rPr>
        <w:t>, Mathias </w:t>
      </w:r>
      <w:proofErr w:type="spellStart"/>
      <w:r w:rsidRPr="00CB3F88">
        <w:rPr>
          <w:rFonts w:ascii="Times New Roman" w:hAnsi="Times New Roman" w:cs="Times New Roman"/>
        </w:rPr>
        <w:t>Fromberger</w:t>
      </w:r>
      <w:proofErr w:type="spellEnd"/>
      <w:r w:rsidRPr="00CB3F88">
        <w:rPr>
          <w:rFonts w:ascii="Times New Roman" w:hAnsi="Times New Roman" w:cs="Times New Roman"/>
        </w:rPr>
        <w:t xml:space="preserve"> and Patrick Zimmermann (n </w:t>
      </w:r>
      <w:r w:rsidR="00D76BC6">
        <w:rPr>
          <w:rFonts w:ascii="Times New Roman" w:hAnsi="Times New Roman" w:cs="Times New Roman"/>
        </w:rPr>
        <w:t>9</w:t>
      </w:r>
      <w:r w:rsidR="00015A73">
        <w:rPr>
          <w:rFonts w:ascii="Times New Roman" w:hAnsi="Times New Roman" w:cs="Times New Roman"/>
        </w:rPr>
        <w:t>1</w:t>
      </w:r>
      <w:r w:rsidRPr="00CB3F88">
        <w:rPr>
          <w:rFonts w:ascii="Times New Roman" w:hAnsi="Times New Roman" w:cs="Times New Roman"/>
        </w:rPr>
        <w:t>).</w:t>
      </w:r>
    </w:p>
  </w:footnote>
  <w:footnote w:id="117">
    <w:p w14:paraId="4C8F4EA5" w14:textId="4D471513" w:rsidR="00987BEB" w:rsidRPr="00CB3F88" w:rsidRDefault="00987BEB" w:rsidP="00AF69C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lang w:val="en-US"/>
        </w:rPr>
        <w:t>Decreto</w:t>
      </w:r>
      <w:proofErr w:type="spellEnd"/>
      <w:r w:rsidRPr="00CB3F88">
        <w:rPr>
          <w:rFonts w:ascii="Times New Roman" w:hAnsi="Times New Roman" w:cs="Times New Roman"/>
          <w:lang w:val="en-US"/>
        </w:rPr>
        <w:t xml:space="preserve"> </w:t>
      </w:r>
      <w:proofErr w:type="spellStart"/>
      <w:r w:rsidRPr="00CB3F88">
        <w:rPr>
          <w:rFonts w:ascii="Times New Roman" w:hAnsi="Times New Roman" w:cs="Times New Roman"/>
          <w:lang w:val="en-US"/>
        </w:rPr>
        <w:t>Legislativo</w:t>
      </w:r>
      <w:proofErr w:type="spellEnd"/>
      <w:r w:rsidRPr="00CB3F88">
        <w:rPr>
          <w:rFonts w:ascii="Times New Roman" w:hAnsi="Times New Roman" w:cs="Times New Roman"/>
          <w:lang w:val="en-US"/>
        </w:rPr>
        <w:t xml:space="preserve"> 21 </w:t>
      </w:r>
      <w:proofErr w:type="spellStart"/>
      <w:r w:rsidRPr="00CB3F88">
        <w:rPr>
          <w:rFonts w:ascii="Times New Roman" w:hAnsi="Times New Roman" w:cs="Times New Roman"/>
          <w:lang w:val="en-US"/>
        </w:rPr>
        <w:t>novembre</w:t>
      </w:r>
      <w:proofErr w:type="spellEnd"/>
      <w:r w:rsidRPr="00CB3F88">
        <w:rPr>
          <w:rFonts w:ascii="Times New Roman" w:hAnsi="Times New Roman" w:cs="Times New Roman"/>
          <w:lang w:val="en-US"/>
        </w:rPr>
        <w:t xml:space="preserve"> 2007, n. 231</w:t>
      </w:r>
      <w:r w:rsidRPr="00CB3F88">
        <w:rPr>
          <w:rFonts w:ascii="Times New Roman" w:hAnsi="Times New Roman" w:cs="Times New Roman"/>
        </w:rPr>
        <w:t>, GU n. 290 del 14-12-2007.</w:t>
      </w:r>
    </w:p>
  </w:footnote>
  <w:footnote w:id="118">
    <w:p w14:paraId="4B73658D" w14:textId="77777777" w:rsidR="00987BEB" w:rsidRPr="00CB3F88" w:rsidRDefault="00987BEB" w:rsidP="00AF69C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lang w:val="en-US"/>
        </w:rPr>
        <w:t>Décret</w:t>
      </w:r>
      <w:proofErr w:type="spellEnd"/>
      <w:r w:rsidRPr="00CB3F88">
        <w:rPr>
          <w:rFonts w:ascii="Times New Roman" w:hAnsi="Times New Roman" w:cs="Times New Roman"/>
          <w:lang w:val="en-US"/>
        </w:rPr>
        <w:t xml:space="preserve"> n° 2019-1213 du 21 </w:t>
      </w:r>
      <w:proofErr w:type="spellStart"/>
      <w:r w:rsidRPr="00CB3F88">
        <w:rPr>
          <w:rFonts w:ascii="Times New Roman" w:hAnsi="Times New Roman" w:cs="Times New Roman"/>
          <w:lang w:val="en-US"/>
        </w:rPr>
        <w:t>novembre</w:t>
      </w:r>
      <w:proofErr w:type="spellEnd"/>
      <w:r w:rsidRPr="00CB3F88">
        <w:rPr>
          <w:rFonts w:ascii="Times New Roman" w:hAnsi="Times New Roman" w:cs="Times New Roman"/>
          <w:lang w:val="en-US"/>
        </w:rPr>
        <w:t xml:space="preserve"> 2019 </w:t>
      </w:r>
      <w:proofErr w:type="spellStart"/>
      <w:r w:rsidRPr="00CB3F88">
        <w:rPr>
          <w:rFonts w:ascii="Times New Roman" w:hAnsi="Times New Roman" w:cs="Times New Roman"/>
          <w:lang w:val="en-US"/>
        </w:rPr>
        <w:t>relatif</w:t>
      </w:r>
      <w:proofErr w:type="spellEnd"/>
      <w:r w:rsidRPr="00CB3F88">
        <w:rPr>
          <w:rFonts w:ascii="Times New Roman" w:hAnsi="Times New Roman" w:cs="Times New Roman"/>
          <w:lang w:val="en-US"/>
        </w:rPr>
        <w:t xml:space="preserve"> aux </w:t>
      </w:r>
      <w:proofErr w:type="spellStart"/>
      <w:r w:rsidRPr="00CB3F88">
        <w:rPr>
          <w:rFonts w:ascii="Times New Roman" w:hAnsi="Times New Roman" w:cs="Times New Roman"/>
          <w:lang w:val="en-US"/>
        </w:rPr>
        <w:t>prestataires</w:t>
      </w:r>
      <w:proofErr w:type="spellEnd"/>
      <w:r w:rsidRPr="00CB3F88">
        <w:rPr>
          <w:rFonts w:ascii="Times New Roman" w:hAnsi="Times New Roman" w:cs="Times New Roman"/>
          <w:lang w:val="en-US"/>
        </w:rPr>
        <w:t xml:space="preserve"> de services sur </w:t>
      </w:r>
      <w:proofErr w:type="spellStart"/>
      <w:r w:rsidRPr="00CB3F88">
        <w:rPr>
          <w:rFonts w:ascii="Times New Roman" w:hAnsi="Times New Roman" w:cs="Times New Roman"/>
          <w:lang w:val="en-US"/>
        </w:rPr>
        <w:t>actifs</w:t>
      </w:r>
      <w:proofErr w:type="spellEnd"/>
      <w:r w:rsidRPr="00CB3F88">
        <w:rPr>
          <w:rFonts w:ascii="Times New Roman" w:hAnsi="Times New Roman" w:cs="Times New Roman"/>
          <w:lang w:val="en-US"/>
        </w:rPr>
        <w:t xml:space="preserve"> </w:t>
      </w:r>
      <w:proofErr w:type="spellStart"/>
      <w:r w:rsidRPr="00CB3F88">
        <w:rPr>
          <w:rFonts w:ascii="Times New Roman" w:hAnsi="Times New Roman" w:cs="Times New Roman"/>
          <w:lang w:val="en-US"/>
        </w:rPr>
        <w:t>numériques</w:t>
      </w:r>
      <w:proofErr w:type="spellEnd"/>
      <w:r w:rsidRPr="00CB3F88">
        <w:rPr>
          <w:rFonts w:ascii="Times New Roman" w:hAnsi="Times New Roman" w:cs="Times New Roman"/>
          <w:lang w:val="en-US"/>
        </w:rPr>
        <w:t xml:space="preserve">, JORF n° 0271 du 22 </w:t>
      </w:r>
      <w:proofErr w:type="spellStart"/>
      <w:r w:rsidRPr="00CB3F88">
        <w:rPr>
          <w:rFonts w:ascii="Times New Roman" w:hAnsi="Times New Roman" w:cs="Times New Roman"/>
          <w:lang w:val="en-US"/>
        </w:rPr>
        <w:t>novembre</w:t>
      </w:r>
      <w:proofErr w:type="spellEnd"/>
      <w:r w:rsidRPr="00CB3F88">
        <w:rPr>
          <w:rFonts w:ascii="Times New Roman" w:hAnsi="Times New Roman" w:cs="Times New Roman"/>
          <w:lang w:val="en-US"/>
        </w:rPr>
        <w:t xml:space="preserve"> 2019.</w:t>
      </w:r>
    </w:p>
  </w:footnote>
  <w:footnote w:id="119">
    <w:p w14:paraId="7E5B35AB" w14:textId="77777777" w:rsidR="00987BEB" w:rsidRPr="00CB3F88" w:rsidRDefault="00987BEB" w:rsidP="00AF69C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The Money Laundering and Terrorist Financing (Amendment) Regulations 2019.</w:t>
      </w:r>
    </w:p>
  </w:footnote>
  <w:footnote w:id="120">
    <w:p w14:paraId="0015279F" w14:textId="71C57CF2" w:rsidR="00987BEB" w:rsidRPr="00CB3F88" w:rsidRDefault="00987BEB" w:rsidP="00AF69C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Measures Against Money Laundering Act.</w:t>
      </w:r>
    </w:p>
  </w:footnote>
  <w:footnote w:id="121">
    <w:p w14:paraId="4631FB4F" w14:textId="77777777" w:rsidR="00987BEB" w:rsidRPr="00CB3F88" w:rsidRDefault="00987BEB" w:rsidP="0044045F">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European Central Bank Crypto-Assets Task Force, 'Crypto-Assets: Implications for financial stability, monetary policy, and payments and market infrastructures', ECB Occasional Paper Series No 223/May 2019 29.</w:t>
      </w:r>
    </w:p>
  </w:footnote>
  <w:footnote w:id="122">
    <w:p w14:paraId="56F6F89C" w14:textId="0629BFF7" w:rsidR="00987BEB" w:rsidRPr="00CB3F88" w:rsidRDefault="00987BEB" w:rsidP="0044045F">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European Parliament (n </w:t>
      </w:r>
      <w:r w:rsidR="001A00D7">
        <w:rPr>
          <w:rFonts w:ascii="Times New Roman" w:hAnsi="Times New Roman" w:cs="Times New Roman"/>
          <w:lang w:val="en-US"/>
        </w:rPr>
        <w:t>11</w:t>
      </w:r>
      <w:r w:rsidR="003E2326">
        <w:rPr>
          <w:rFonts w:ascii="Times New Roman" w:hAnsi="Times New Roman" w:cs="Times New Roman"/>
          <w:lang w:val="en-US"/>
        </w:rPr>
        <w:t>0</w:t>
      </w:r>
      <w:r w:rsidRPr="00CB3F88">
        <w:rPr>
          <w:rFonts w:ascii="Times New Roman" w:hAnsi="Times New Roman" w:cs="Times New Roman"/>
        </w:rPr>
        <w:t>) 77.</w:t>
      </w:r>
    </w:p>
  </w:footnote>
  <w:footnote w:id="123">
    <w:p w14:paraId="65F16C0D" w14:textId="07D30C86" w:rsidR="00987BEB" w:rsidRPr="00CB3F88" w:rsidRDefault="00987BEB" w:rsidP="001814F5">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European Central Bank Crypto-Assets Task Force (n </w:t>
      </w:r>
      <w:r>
        <w:rPr>
          <w:rFonts w:ascii="Times New Roman" w:hAnsi="Times New Roman" w:cs="Times New Roman"/>
          <w:lang w:val="en-US"/>
        </w:rPr>
        <w:t>1</w:t>
      </w:r>
      <w:r w:rsidR="001A00D7">
        <w:rPr>
          <w:rFonts w:ascii="Times New Roman" w:hAnsi="Times New Roman" w:cs="Times New Roman"/>
          <w:lang w:val="en-US"/>
        </w:rPr>
        <w:t>2</w:t>
      </w:r>
      <w:r w:rsidR="003E2326">
        <w:rPr>
          <w:rFonts w:ascii="Times New Roman" w:hAnsi="Times New Roman" w:cs="Times New Roman"/>
          <w:lang w:val="en-US"/>
        </w:rPr>
        <w:t>1</w:t>
      </w:r>
      <w:r w:rsidRPr="00CB3F88">
        <w:rPr>
          <w:rFonts w:ascii="Times New Roman" w:hAnsi="Times New Roman" w:cs="Times New Roman"/>
        </w:rPr>
        <w:t>) 29-30.</w:t>
      </w:r>
    </w:p>
  </w:footnote>
  <w:footnote w:id="124">
    <w:p w14:paraId="103D991F" w14:textId="386E8375" w:rsidR="00987BEB" w:rsidRPr="00CB3F88" w:rsidRDefault="00987BEB" w:rsidP="001814F5">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Valentina </w:t>
      </w:r>
      <w:proofErr w:type="spellStart"/>
      <w:r w:rsidRPr="00CB3F88">
        <w:rPr>
          <w:rFonts w:ascii="Times New Roman" w:hAnsi="Times New Roman" w:cs="Times New Roman"/>
        </w:rPr>
        <w:t>Covolo</w:t>
      </w:r>
      <w:proofErr w:type="spellEnd"/>
      <w:r w:rsidRPr="00CB3F88">
        <w:rPr>
          <w:rFonts w:ascii="Times New Roman" w:hAnsi="Times New Roman" w:cs="Times New Roman"/>
        </w:rPr>
        <w:t xml:space="preserve"> (n </w:t>
      </w:r>
      <w:r w:rsidR="001A00D7">
        <w:rPr>
          <w:rFonts w:ascii="Times New Roman" w:hAnsi="Times New Roman" w:cs="Times New Roman"/>
          <w:lang w:val="en-US"/>
        </w:rPr>
        <w:t>11</w:t>
      </w:r>
      <w:r w:rsidR="003E2326">
        <w:rPr>
          <w:rFonts w:ascii="Times New Roman" w:hAnsi="Times New Roman" w:cs="Times New Roman"/>
          <w:lang w:val="en-US"/>
        </w:rPr>
        <w:t>1</w:t>
      </w:r>
      <w:r w:rsidRPr="00CB3F88">
        <w:rPr>
          <w:rFonts w:ascii="Times New Roman" w:hAnsi="Times New Roman" w:cs="Times New Roman"/>
        </w:rPr>
        <w:t>) 19-20.</w:t>
      </w:r>
    </w:p>
  </w:footnote>
  <w:footnote w:id="125">
    <w:p w14:paraId="585ABA15" w14:textId="06EA5013" w:rsidR="00987BEB" w:rsidRPr="00CB3F88" w:rsidRDefault="00987BEB" w:rsidP="001814F5">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Directive (EU) 2015/849 (n </w:t>
      </w:r>
      <w:r w:rsidR="001A00D7">
        <w:rPr>
          <w:rFonts w:ascii="Times New Roman" w:hAnsi="Times New Roman" w:cs="Times New Roman"/>
          <w:lang w:val="en-US"/>
        </w:rPr>
        <w:t>6</w:t>
      </w:r>
      <w:r w:rsidR="00DC6CD1">
        <w:rPr>
          <w:rFonts w:ascii="Times New Roman" w:hAnsi="Times New Roman" w:cs="Times New Roman"/>
          <w:lang w:val="en-US"/>
        </w:rPr>
        <w:t>4</w:t>
      </w:r>
      <w:r w:rsidRPr="00CB3F88">
        <w:rPr>
          <w:rFonts w:ascii="Times New Roman" w:hAnsi="Times New Roman" w:cs="Times New Roman"/>
          <w:lang w:val="en-US"/>
        </w:rPr>
        <w:t>), Article 14(4).</w:t>
      </w:r>
    </w:p>
  </w:footnote>
  <w:footnote w:id="126">
    <w:p w14:paraId="6614F864" w14:textId="67048B41" w:rsidR="00987BEB" w:rsidRPr="00CB3F88" w:rsidRDefault="00987BEB" w:rsidP="001814F5">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European Parliament (n </w:t>
      </w:r>
      <w:r w:rsidR="001A00D7">
        <w:rPr>
          <w:rFonts w:ascii="Times New Roman" w:hAnsi="Times New Roman" w:cs="Times New Roman"/>
          <w:lang w:val="en-US"/>
        </w:rPr>
        <w:t>11</w:t>
      </w:r>
      <w:r w:rsidR="00E9376C">
        <w:rPr>
          <w:rFonts w:ascii="Times New Roman" w:hAnsi="Times New Roman" w:cs="Times New Roman"/>
          <w:lang w:val="en-US"/>
        </w:rPr>
        <w:t>0</w:t>
      </w:r>
      <w:r w:rsidRPr="00CB3F88">
        <w:rPr>
          <w:rFonts w:ascii="Times New Roman" w:hAnsi="Times New Roman" w:cs="Times New Roman"/>
        </w:rPr>
        <w:t>) 80.</w:t>
      </w:r>
    </w:p>
  </w:footnote>
  <w:footnote w:id="127">
    <w:p w14:paraId="0367F847" w14:textId="77777777" w:rsidR="00987BEB" w:rsidRPr="00CB3F88" w:rsidRDefault="00987BEB" w:rsidP="007E7E3F">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Council Decision of 17 October 2000 concerning arrangements for cooperation between financial intelligence units of the Member States in respect of exchanging information OJ L 271, 24.10.2000, p. 4–6.</w:t>
      </w:r>
    </w:p>
  </w:footnote>
  <w:footnote w:id="128">
    <w:p w14:paraId="663BAD2E" w14:textId="09159BEF" w:rsidR="00987BEB" w:rsidRPr="00CB3F88" w:rsidRDefault="00987BEB" w:rsidP="007E7E3F">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Directive (EU) 2015/849 (n </w:t>
      </w:r>
      <w:r w:rsidR="001A00D7">
        <w:rPr>
          <w:rFonts w:ascii="Times New Roman" w:hAnsi="Times New Roman" w:cs="Times New Roman"/>
          <w:lang w:val="en-US"/>
        </w:rPr>
        <w:t>6</w:t>
      </w:r>
      <w:r w:rsidR="00AB22F0">
        <w:rPr>
          <w:rFonts w:ascii="Times New Roman" w:hAnsi="Times New Roman" w:cs="Times New Roman"/>
          <w:lang w:val="en-US"/>
        </w:rPr>
        <w:t>4</w:t>
      </w:r>
      <w:r w:rsidRPr="00CB3F88">
        <w:rPr>
          <w:rFonts w:ascii="Times New Roman" w:hAnsi="Times New Roman" w:cs="Times New Roman"/>
          <w:lang w:val="en-US"/>
        </w:rPr>
        <w:t>), Article 33(2).</w:t>
      </w:r>
    </w:p>
  </w:footnote>
  <w:footnote w:id="129">
    <w:p w14:paraId="62878BFC" w14:textId="57F1D1EC" w:rsidR="00987BEB" w:rsidRPr="00CB3F88" w:rsidRDefault="00987BEB" w:rsidP="007E7E3F">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Consolidated version of the Treaty on the Functioning of the European Union OJ C 326, 26.10.2012, p. 47–390, </w:t>
      </w:r>
      <w:r w:rsidRPr="007E7E3F">
        <w:rPr>
          <w:rFonts w:ascii="Times New Roman" w:hAnsi="Times New Roman" w:cs="Times New Roman"/>
          <w:lang w:val="en-US"/>
        </w:rPr>
        <w:t>Articles 56 and 57</w:t>
      </w:r>
      <w:r w:rsidRPr="00CB3F88">
        <w:rPr>
          <w:rFonts w:ascii="Times New Roman" w:hAnsi="Times New Roman" w:cs="Times New Roman"/>
          <w:lang w:val="en-US"/>
        </w:rPr>
        <w:t>.</w:t>
      </w:r>
    </w:p>
  </w:footnote>
  <w:footnote w:id="130">
    <w:p w14:paraId="15793E0A" w14:textId="77777777" w:rsidR="00987BEB" w:rsidRPr="00CB3F88" w:rsidRDefault="00987BEB" w:rsidP="007E7E3F">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Case C-212/11 </w:t>
      </w:r>
      <w:proofErr w:type="spellStart"/>
      <w:r w:rsidRPr="00CB3F88">
        <w:rPr>
          <w:rFonts w:ascii="Times New Roman" w:hAnsi="Times New Roman" w:cs="Times New Roman"/>
          <w:i/>
          <w:iCs/>
          <w:lang w:val="en-US"/>
        </w:rPr>
        <w:t>Jyske</w:t>
      </w:r>
      <w:proofErr w:type="spellEnd"/>
      <w:r w:rsidRPr="00CB3F88">
        <w:rPr>
          <w:rFonts w:ascii="Times New Roman" w:hAnsi="Times New Roman" w:cs="Times New Roman"/>
          <w:i/>
          <w:iCs/>
          <w:lang w:val="en-US"/>
        </w:rPr>
        <w:t xml:space="preserve"> Bank Gibraltar Ltd v </w:t>
      </w:r>
      <w:proofErr w:type="spellStart"/>
      <w:r w:rsidRPr="00CB3F88">
        <w:rPr>
          <w:rFonts w:ascii="Times New Roman" w:hAnsi="Times New Roman" w:cs="Times New Roman"/>
          <w:i/>
          <w:iCs/>
          <w:lang w:val="en-US"/>
        </w:rPr>
        <w:t>Administración</w:t>
      </w:r>
      <w:proofErr w:type="spellEnd"/>
      <w:r w:rsidRPr="00CB3F88">
        <w:rPr>
          <w:rFonts w:ascii="Times New Roman" w:hAnsi="Times New Roman" w:cs="Times New Roman"/>
          <w:i/>
          <w:iCs/>
          <w:lang w:val="en-US"/>
        </w:rPr>
        <w:t xml:space="preserve"> del Estado</w:t>
      </w:r>
      <w:r w:rsidRPr="00CB3F88">
        <w:rPr>
          <w:rFonts w:ascii="Times New Roman" w:hAnsi="Times New Roman" w:cs="Times New Roman"/>
          <w:lang w:val="en-US"/>
        </w:rPr>
        <w:t xml:space="preserve"> [2013] ECR I-0000.</w:t>
      </w:r>
    </w:p>
  </w:footnote>
  <w:footnote w:id="131">
    <w:p w14:paraId="63BE53A2" w14:textId="77777777" w:rsidR="00987BEB" w:rsidRPr="00CB3F88" w:rsidRDefault="00987BEB" w:rsidP="007B193C">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Ibid [31].</w:t>
      </w:r>
    </w:p>
  </w:footnote>
  <w:footnote w:id="132">
    <w:p w14:paraId="6F82E1DD" w14:textId="31BAB9BE" w:rsidR="00987BEB" w:rsidRPr="00CB3F88" w:rsidRDefault="00987BEB" w:rsidP="007B193C">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Directive 2005/60/EC (n </w:t>
      </w:r>
      <w:r>
        <w:rPr>
          <w:rFonts w:ascii="Times New Roman" w:hAnsi="Times New Roman" w:cs="Times New Roman"/>
        </w:rPr>
        <w:t>4</w:t>
      </w:r>
      <w:r w:rsidR="00B01DB3">
        <w:rPr>
          <w:rFonts w:ascii="Times New Roman" w:hAnsi="Times New Roman" w:cs="Times New Roman"/>
        </w:rPr>
        <w:t>3</w:t>
      </w:r>
      <w:r w:rsidRPr="00CB3F88">
        <w:rPr>
          <w:rFonts w:ascii="Times New Roman" w:hAnsi="Times New Roman" w:cs="Times New Roman"/>
        </w:rPr>
        <w:t>), Article 22(2).</w:t>
      </w:r>
    </w:p>
  </w:footnote>
  <w:footnote w:id="133">
    <w:p w14:paraId="5F8B533E" w14:textId="079E65B2" w:rsidR="00987BEB" w:rsidRPr="00CB3F88" w:rsidRDefault="00987BEB" w:rsidP="007B193C">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Directive 2005/60/EC (n </w:t>
      </w:r>
      <w:r>
        <w:rPr>
          <w:rFonts w:ascii="Times New Roman" w:hAnsi="Times New Roman" w:cs="Times New Roman"/>
        </w:rPr>
        <w:t>4</w:t>
      </w:r>
      <w:r w:rsidR="00B01DB3">
        <w:rPr>
          <w:rFonts w:ascii="Times New Roman" w:hAnsi="Times New Roman" w:cs="Times New Roman"/>
        </w:rPr>
        <w:t>3</w:t>
      </w:r>
      <w:r w:rsidRPr="00CB3F88">
        <w:rPr>
          <w:rFonts w:ascii="Times New Roman" w:hAnsi="Times New Roman" w:cs="Times New Roman"/>
        </w:rPr>
        <w:t>), Article 34.</w:t>
      </w:r>
    </w:p>
  </w:footnote>
  <w:footnote w:id="134">
    <w:p w14:paraId="0FF78DBB" w14:textId="17018A17" w:rsidR="00987BEB" w:rsidRPr="00CB3F88" w:rsidRDefault="00987BEB" w:rsidP="007B193C">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Directive (EU) 2015/849 (n </w:t>
      </w:r>
      <w:r w:rsidR="001A00D7">
        <w:rPr>
          <w:rFonts w:ascii="Times New Roman" w:hAnsi="Times New Roman" w:cs="Times New Roman"/>
          <w:lang w:val="en-US"/>
        </w:rPr>
        <w:t>6</w:t>
      </w:r>
      <w:r w:rsidR="00B01DB3">
        <w:rPr>
          <w:rFonts w:ascii="Times New Roman" w:hAnsi="Times New Roman" w:cs="Times New Roman"/>
          <w:lang w:val="en-US"/>
        </w:rPr>
        <w:t>4</w:t>
      </w:r>
      <w:r w:rsidRPr="00CB3F88">
        <w:rPr>
          <w:rFonts w:ascii="Times New Roman" w:hAnsi="Times New Roman" w:cs="Times New Roman"/>
          <w:lang w:val="en-US"/>
        </w:rPr>
        <w:t>), Articles 33(2) and 8(4).</w:t>
      </w:r>
    </w:p>
  </w:footnote>
  <w:footnote w:id="135">
    <w:p w14:paraId="63EBB197" w14:textId="134592B5" w:rsidR="00987BEB" w:rsidRPr="00CB3F88" w:rsidRDefault="00987BEB" w:rsidP="007B193C">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i/>
          <w:iCs/>
          <w:lang w:val="en-US"/>
        </w:rPr>
        <w:t>Jyske</w:t>
      </w:r>
      <w:proofErr w:type="spellEnd"/>
      <w:r w:rsidRPr="00CB3F88">
        <w:rPr>
          <w:rFonts w:ascii="Times New Roman" w:hAnsi="Times New Roman" w:cs="Times New Roman"/>
          <w:lang w:val="en-US"/>
        </w:rPr>
        <w:t xml:space="preserve"> (n </w:t>
      </w:r>
      <w:r>
        <w:rPr>
          <w:rFonts w:ascii="Times New Roman" w:hAnsi="Times New Roman" w:cs="Times New Roman"/>
          <w:lang w:val="en-US"/>
        </w:rPr>
        <w:t>1</w:t>
      </w:r>
      <w:r w:rsidR="00172D9B">
        <w:rPr>
          <w:rFonts w:ascii="Times New Roman" w:hAnsi="Times New Roman" w:cs="Times New Roman"/>
          <w:lang w:val="en-US"/>
        </w:rPr>
        <w:t>3</w:t>
      </w:r>
      <w:r w:rsidR="00B646D1">
        <w:rPr>
          <w:rFonts w:ascii="Times New Roman" w:hAnsi="Times New Roman" w:cs="Times New Roman"/>
          <w:lang w:val="en-US"/>
        </w:rPr>
        <w:t>0</w:t>
      </w:r>
      <w:r w:rsidRPr="00CB3F88">
        <w:rPr>
          <w:rFonts w:ascii="Times New Roman" w:hAnsi="Times New Roman" w:cs="Times New Roman"/>
          <w:lang w:val="en-US"/>
        </w:rPr>
        <w:t>) [45]-[49] (emphasis added).</w:t>
      </w:r>
    </w:p>
  </w:footnote>
  <w:footnote w:id="136">
    <w:p w14:paraId="23A16DBB" w14:textId="50B0166E" w:rsidR="00987BEB" w:rsidRPr="00CB3F88" w:rsidRDefault="00987BEB" w:rsidP="009A209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Directive (EU) 2015/849 (n </w:t>
      </w:r>
      <w:r w:rsidR="005735DF">
        <w:rPr>
          <w:rFonts w:ascii="Times New Roman" w:hAnsi="Times New Roman" w:cs="Times New Roman"/>
          <w:lang w:val="en-US"/>
        </w:rPr>
        <w:t>6</w:t>
      </w:r>
      <w:r w:rsidR="00B646D1">
        <w:rPr>
          <w:rFonts w:ascii="Times New Roman" w:hAnsi="Times New Roman" w:cs="Times New Roman"/>
          <w:lang w:val="en-US"/>
        </w:rPr>
        <w:t>4</w:t>
      </w:r>
      <w:r w:rsidRPr="00CB3F88">
        <w:rPr>
          <w:rFonts w:ascii="Times New Roman" w:hAnsi="Times New Roman" w:cs="Times New Roman"/>
          <w:lang w:val="en-US"/>
        </w:rPr>
        <w:t>), Article 53(2).</w:t>
      </w:r>
    </w:p>
  </w:footnote>
  <w:footnote w:id="137">
    <w:p w14:paraId="7636FA9F" w14:textId="77777777" w:rsidR="00987BEB" w:rsidRPr="00CB3F88" w:rsidRDefault="00987BEB" w:rsidP="009A209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Thomas </w:t>
      </w:r>
      <w:proofErr w:type="spellStart"/>
      <w:r w:rsidRPr="00CB3F88">
        <w:rPr>
          <w:rFonts w:ascii="Times New Roman" w:hAnsi="Times New Roman" w:cs="Times New Roman"/>
        </w:rPr>
        <w:t>Incalza</w:t>
      </w:r>
      <w:proofErr w:type="spellEnd"/>
      <w:r w:rsidRPr="00CB3F88">
        <w:rPr>
          <w:rFonts w:ascii="Times New Roman" w:hAnsi="Times New Roman" w:cs="Times New Roman"/>
        </w:rPr>
        <w:t xml:space="preserve">, 'National Anti-Money Laundering Legislation in A Unified Europe: </w:t>
      </w:r>
      <w:proofErr w:type="spellStart"/>
      <w:r w:rsidRPr="00CB3F88">
        <w:rPr>
          <w:rFonts w:ascii="Times New Roman" w:hAnsi="Times New Roman" w:cs="Times New Roman"/>
          <w:i/>
          <w:iCs/>
        </w:rPr>
        <w:t>Jyske</w:t>
      </w:r>
      <w:proofErr w:type="spellEnd"/>
      <w:r w:rsidRPr="00CB3F88">
        <w:rPr>
          <w:rFonts w:ascii="Times New Roman" w:hAnsi="Times New Roman" w:cs="Times New Roman"/>
        </w:rPr>
        <w:t>' (2014) 51 Common Market Law Review 1829–1850.</w:t>
      </w:r>
    </w:p>
  </w:footnote>
  <w:footnote w:id="138">
    <w:p w14:paraId="5A8E4575" w14:textId="13F0B126" w:rsidR="00987BEB" w:rsidRPr="009A2094" w:rsidRDefault="00987BEB" w:rsidP="009A209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i/>
          <w:iCs/>
          <w:lang w:val="en-US"/>
        </w:rPr>
        <w:t>Jyske</w:t>
      </w:r>
      <w:proofErr w:type="spellEnd"/>
      <w:r w:rsidRPr="00CB3F88">
        <w:rPr>
          <w:rFonts w:ascii="Times New Roman" w:hAnsi="Times New Roman" w:cs="Times New Roman"/>
          <w:lang w:val="en-US"/>
        </w:rPr>
        <w:t xml:space="preserve"> (n </w:t>
      </w:r>
      <w:r>
        <w:rPr>
          <w:rFonts w:ascii="Times New Roman" w:hAnsi="Times New Roman" w:cs="Times New Roman"/>
          <w:lang w:val="en-US"/>
        </w:rPr>
        <w:t>1</w:t>
      </w:r>
      <w:r w:rsidR="005735DF">
        <w:rPr>
          <w:rFonts w:ascii="Times New Roman" w:hAnsi="Times New Roman" w:cs="Times New Roman"/>
          <w:lang w:val="en-US"/>
        </w:rPr>
        <w:t>3</w:t>
      </w:r>
      <w:r w:rsidR="00B646D1">
        <w:rPr>
          <w:rFonts w:ascii="Times New Roman" w:hAnsi="Times New Roman" w:cs="Times New Roman"/>
          <w:lang w:val="en-US"/>
        </w:rPr>
        <w:t>0</w:t>
      </w:r>
      <w:r w:rsidRPr="00CB3F88">
        <w:rPr>
          <w:rFonts w:ascii="Times New Roman" w:hAnsi="Times New Roman" w:cs="Times New Roman"/>
          <w:lang w:val="en-US"/>
        </w:rPr>
        <w:t>) [78].</w:t>
      </w:r>
    </w:p>
  </w:footnote>
  <w:footnote w:id="139">
    <w:p w14:paraId="14B9C0BB" w14:textId="77777777" w:rsidR="00987BEB" w:rsidRPr="00CB3F88" w:rsidRDefault="00987BEB" w:rsidP="009A2094">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Ibid [79].</w:t>
      </w:r>
    </w:p>
  </w:footnote>
  <w:footnote w:id="140">
    <w:p w14:paraId="1957ACEE" w14:textId="070385D2" w:rsidR="00987BEB" w:rsidRPr="00CB3F88" w:rsidRDefault="00987BEB" w:rsidP="0095577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Directive (EU) 2015/849 (n </w:t>
      </w:r>
      <w:r w:rsidR="00E02F3C">
        <w:rPr>
          <w:rFonts w:ascii="Times New Roman" w:hAnsi="Times New Roman" w:cs="Times New Roman"/>
          <w:lang w:val="en-US"/>
        </w:rPr>
        <w:t>6</w:t>
      </w:r>
      <w:r w:rsidR="007522E3">
        <w:rPr>
          <w:rFonts w:ascii="Times New Roman" w:hAnsi="Times New Roman" w:cs="Times New Roman"/>
          <w:lang w:val="en-US"/>
        </w:rPr>
        <w:t>4</w:t>
      </w:r>
      <w:r w:rsidRPr="00CB3F88">
        <w:rPr>
          <w:rFonts w:ascii="Times New Roman" w:hAnsi="Times New Roman" w:cs="Times New Roman"/>
          <w:lang w:val="en-US"/>
        </w:rPr>
        <w:t>), Article 53(2) (emphasis added).</w:t>
      </w:r>
    </w:p>
  </w:footnote>
  <w:footnote w:id="141">
    <w:p w14:paraId="0E87D317" w14:textId="77777777" w:rsidR="00987BEB" w:rsidRPr="00CB3F88" w:rsidRDefault="00987BEB" w:rsidP="00955774">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31" w:name="_Hlk38368311"/>
      <w:r w:rsidRPr="00CB3F88">
        <w:rPr>
          <w:rFonts w:ascii="Times New Roman" w:hAnsi="Times New Roman" w:cs="Times New Roman"/>
        </w:rPr>
        <w:t xml:space="preserve">Joshua Kirschenbaum and Nicolas </w:t>
      </w:r>
      <w:proofErr w:type="spellStart"/>
      <w:r w:rsidRPr="00CB3F88">
        <w:rPr>
          <w:rFonts w:ascii="Times New Roman" w:hAnsi="Times New Roman" w:cs="Times New Roman"/>
        </w:rPr>
        <w:t>Véron</w:t>
      </w:r>
      <w:proofErr w:type="spellEnd"/>
      <w:r w:rsidRPr="00CB3F88">
        <w:rPr>
          <w:rFonts w:ascii="Times New Roman" w:hAnsi="Times New Roman" w:cs="Times New Roman"/>
        </w:rPr>
        <w:t>, 'A better European Union architecture to fight money laundering', Bruegel Policy Contribution Issue n˚ 19, October 2018 15.</w:t>
      </w:r>
      <w:bookmarkEnd w:id="31"/>
    </w:p>
  </w:footnote>
  <w:footnote w:id="142">
    <w:p w14:paraId="1386A387" w14:textId="77777777" w:rsidR="00987BEB" w:rsidRPr="00CB3F88" w:rsidRDefault="00987BEB" w:rsidP="0095577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32" w:name="_Hlk39602869"/>
      <w:r w:rsidRPr="00CB3F88">
        <w:rPr>
          <w:rFonts w:ascii="Times New Roman" w:hAnsi="Times New Roman" w:cs="Times New Roman"/>
          <w:lang w:val="en-US"/>
        </w:rPr>
        <w:t>Regulation (EU) 2019/2175 of the European Parliament and of the Council of 18 December 2019 amending Regulation (EU) No 1093/2010 establishing a European Supervisory Authority (European Banking Authority), Regulation (EU) No 1094/2010 establishing a European Supervisory Authority (European Insurance and Occupational Pensions Authority), Regulation (EU) No 1095/2010 establishing a European Supervisory Authority (European Securities and Markets Authority), Regulation (EU) No 600/2014 on markets in financial instruments, Regulation (EU) 2016/1011 on indices used as benchmarks in financial instruments and financial contracts or to measure the performance of investment funds, and Regulation (EU) 2015/847 on information accompanying transfers of funds PE/75/2019/REV/1 OJ L 334, 27.12.2019, p. 1–145, Article 1.</w:t>
      </w:r>
      <w:bookmarkEnd w:id="32"/>
    </w:p>
  </w:footnote>
  <w:footnote w:id="143">
    <w:p w14:paraId="64F91E86" w14:textId="60EDA175" w:rsidR="00987BEB" w:rsidRPr="00CB3F88" w:rsidRDefault="00987BEB" w:rsidP="0095577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Directive (EU) 2015/849 (n </w:t>
      </w:r>
      <w:r w:rsidR="006A459B">
        <w:rPr>
          <w:rFonts w:ascii="Times New Roman" w:hAnsi="Times New Roman" w:cs="Times New Roman"/>
          <w:lang w:val="en-US"/>
        </w:rPr>
        <w:t>6</w:t>
      </w:r>
      <w:r w:rsidR="007522E3">
        <w:rPr>
          <w:rFonts w:ascii="Times New Roman" w:hAnsi="Times New Roman" w:cs="Times New Roman"/>
          <w:lang w:val="en-US"/>
        </w:rPr>
        <w:t>4</w:t>
      </w:r>
      <w:r w:rsidRPr="00CB3F88">
        <w:rPr>
          <w:rFonts w:ascii="Times New Roman" w:hAnsi="Times New Roman" w:cs="Times New Roman"/>
          <w:lang w:val="en-US"/>
        </w:rPr>
        <w:t>), Article 5.</w:t>
      </w:r>
    </w:p>
  </w:footnote>
  <w:footnote w:id="144">
    <w:p w14:paraId="7772584E" w14:textId="60ED4403" w:rsidR="00987BEB" w:rsidRPr="00CB3F88" w:rsidRDefault="00987BEB" w:rsidP="00955774">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Thomas </w:t>
      </w:r>
      <w:proofErr w:type="spellStart"/>
      <w:r w:rsidRPr="00CB3F88">
        <w:rPr>
          <w:rFonts w:ascii="Times New Roman" w:hAnsi="Times New Roman" w:cs="Times New Roman"/>
        </w:rPr>
        <w:t>Incalza</w:t>
      </w:r>
      <w:proofErr w:type="spellEnd"/>
      <w:r w:rsidRPr="00CB3F88">
        <w:rPr>
          <w:rFonts w:ascii="Times New Roman" w:hAnsi="Times New Roman" w:cs="Times New Roman"/>
        </w:rPr>
        <w:t xml:space="preserve"> </w:t>
      </w:r>
      <w:r w:rsidRPr="00CB3F88">
        <w:rPr>
          <w:rFonts w:ascii="Times New Roman" w:hAnsi="Times New Roman" w:cs="Times New Roman"/>
          <w:lang w:val="en-US"/>
        </w:rPr>
        <w:t xml:space="preserve">(n </w:t>
      </w:r>
      <w:r>
        <w:rPr>
          <w:rFonts w:ascii="Times New Roman" w:hAnsi="Times New Roman" w:cs="Times New Roman"/>
          <w:lang w:val="en-US"/>
        </w:rPr>
        <w:t>1</w:t>
      </w:r>
      <w:r w:rsidR="004344C3">
        <w:rPr>
          <w:rFonts w:ascii="Times New Roman" w:hAnsi="Times New Roman" w:cs="Times New Roman"/>
          <w:lang w:val="en-US"/>
        </w:rPr>
        <w:t>37</w:t>
      </w:r>
      <w:r w:rsidRPr="00CB3F88">
        <w:rPr>
          <w:rFonts w:ascii="Times New Roman" w:hAnsi="Times New Roman" w:cs="Times New Roman"/>
          <w:lang w:val="en-US"/>
        </w:rPr>
        <w:t>)</w:t>
      </w:r>
      <w:r w:rsidRPr="00CB3F88">
        <w:rPr>
          <w:rFonts w:ascii="Times New Roman" w:hAnsi="Times New Roman" w:cs="Times New Roman"/>
        </w:rPr>
        <w:t xml:space="preserve"> 1829–1850.</w:t>
      </w:r>
    </w:p>
  </w:footnote>
  <w:footnote w:id="145">
    <w:p w14:paraId="53F403CB" w14:textId="77777777" w:rsidR="00987BEB" w:rsidRPr="00CB3F88" w:rsidRDefault="00987BEB" w:rsidP="00955774">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Case C‑212/08 </w:t>
      </w:r>
      <w:proofErr w:type="spellStart"/>
      <w:r w:rsidRPr="00CB3F88">
        <w:rPr>
          <w:rFonts w:ascii="Times New Roman" w:hAnsi="Times New Roman" w:cs="Times New Roman"/>
          <w:i/>
          <w:iCs/>
          <w:lang w:val="en-US"/>
        </w:rPr>
        <w:t>Zeturf</w:t>
      </w:r>
      <w:proofErr w:type="spellEnd"/>
      <w:r w:rsidRPr="00CB3F88">
        <w:rPr>
          <w:rFonts w:ascii="Times New Roman" w:hAnsi="Times New Roman" w:cs="Times New Roman"/>
          <w:i/>
          <w:iCs/>
          <w:lang w:val="en-US"/>
        </w:rPr>
        <w:t xml:space="preserve"> Ltd v Premier </w:t>
      </w:r>
      <w:proofErr w:type="spellStart"/>
      <w:r w:rsidRPr="00CB3F88">
        <w:rPr>
          <w:rFonts w:ascii="Times New Roman" w:hAnsi="Times New Roman" w:cs="Times New Roman"/>
          <w:i/>
          <w:iCs/>
          <w:lang w:val="en-US"/>
        </w:rPr>
        <w:t>ministre</w:t>
      </w:r>
      <w:proofErr w:type="spellEnd"/>
      <w:r w:rsidRPr="00CB3F88">
        <w:rPr>
          <w:rFonts w:ascii="Times New Roman" w:hAnsi="Times New Roman" w:cs="Times New Roman"/>
          <w:lang w:val="en-US"/>
        </w:rPr>
        <w:t xml:space="preserve"> [2011] ECR I-5633.</w:t>
      </w:r>
    </w:p>
  </w:footnote>
  <w:footnote w:id="146">
    <w:p w14:paraId="51B45E65" w14:textId="6A2D37BC" w:rsidR="00987BEB" w:rsidRPr="00CB3F88" w:rsidRDefault="00987BEB" w:rsidP="00955774">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Directive (EU) 2015/849 (n </w:t>
      </w:r>
      <w:r w:rsidR="007D204E">
        <w:rPr>
          <w:rFonts w:ascii="Times New Roman" w:hAnsi="Times New Roman" w:cs="Times New Roman"/>
          <w:lang w:val="en-US"/>
        </w:rPr>
        <w:t>6</w:t>
      </w:r>
      <w:r w:rsidR="004344C3">
        <w:rPr>
          <w:rFonts w:ascii="Times New Roman" w:hAnsi="Times New Roman" w:cs="Times New Roman"/>
          <w:lang w:val="en-US"/>
        </w:rPr>
        <w:t>4</w:t>
      </w:r>
      <w:r w:rsidRPr="00CB3F88">
        <w:rPr>
          <w:rFonts w:ascii="Times New Roman" w:hAnsi="Times New Roman" w:cs="Times New Roman"/>
          <w:lang w:val="en-US"/>
        </w:rPr>
        <w:t xml:space="preserve">), Article </w:t>
      </w:r>
      <w:r>
        <w:rPr>
          <w:rFonts w:ascii="Times New Roman" w:hAnsi="Times New Roman" w:cs="Times New Roman"/>
          <w:lang w:val="en-US"/>
        </w:rPr>
        <w:t>45(9)</w:t>
      </w:r>
      <w:r w:rsidRPr="00CB3F88">
        <w:rPr>
          <w:rFonts w:ascii="Times New Roman" w:hAnsi="Times New Roman" w:cs="Times New Roman"/>
          <w:lang w:val="en-US"/>
        </w:rPr>
        <w:t>.</w:t>
      </w:r>
    </w:p>
  </w:footnote>
  <w:footnote w:id="147">
    <w:p w14:paraId="4737AB9D" w14:textId="59E6D724" w:rsidR="00987BEB" w:rsidRPr="00CB3F88" w:rsidRDefault="00987BEB" w:rsidP="00FE598D">
      <w:pPr>
        <w:pStyle w:val="FootnoteText"/>
        <w:spacing w:after="120"/>
        <w:ind w:left="113" w:hanging="113"/>
        <w:jc w:val="both"/>
        <w:rPr>
          <w:rFonts w:ascii="Times New Roman" w:hAnsi="Times New Roman" w:cs="Times New Roman"/>
          <w:lang w:val="en-US"/>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r w:rsidRPr="00CB3F88">
        <w:rPr>
          <w:rFonts w:ascii="Times New Roman" w:hAnsi="Times New Roman" w:cs="Times New Roman"/>
        </w:rPr>
        <w:t xml:space="preserve">European Parliament (n </w:t>
      </w:r>
      <w:r w:rsidR="000E1B86">
        <w:rPr>
          <w:rFonts w:ascii="Times New Roman" w:hAnsi="Times New Roman" w:cs="Times New Roman"/>
        </w:rPr>
        <w:t>11</w:t>
      </w:r>
      <w:r w:rsidR="004344C3">
        <w:rPr>
          <w:rFonts w:ascii="Times New Roman" w:hAnsi="Times New Roman" w:cs="Times New Roman"/>
        </w:rPr>
        <w:t>0</w:t>
      </w:r>
      <w:r w:rsidRPr="00CB3F88">
        <w:rPr>
          <w:rFonts w:ascii="Times New Roman" w:hAnsi="Times New Roman" w:cs="Times New Roman"/>
        </w:rPr>
        <w:t>) 81-82.</w:t>
      </w:r>
    </w:p>
  </w:footnote>
  <w:footnote w:id="148">
    <w:p w14:paraId="35DEB453" w14:textId="77777777" w:rsidR="00987BEB" w:rsidRPr="00CB3F88" w:rsidRDefault="00987BEB" w:rsidP="00FE598D">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33" w:name="_Hlk39357978"/>
      <w:r w:rsidRPr="00CB3F88">
        <w:rPr>
          <w:rFonts w:ascii="Times New Roman" w:hAnsi="Times New Roman" w:cs="Times New Roman"/>
        </w:rPr>
        <w:t xml:space="preserve">Daniel </w:t>
      </w:r>
      <w:proofErr w:type="spellStart"/>
      <w:r w:rsidRPr="00CB3F88">
        <w:rPr>
          <w:rFonts w:ascii="Times New Roman" w:hAnsi="Times New Roman" w:cs="Times New Roman"/>
        </w:rPr>
        <w:t>Adeoyé</w:t>
      </w:r>
      <w:proofErr w:type="spellEnd"/>
      <w:r w:rsidRPr="00CB3F88">
        <w:rPr>
          <w:rFonts w:ascii="Times New Roman" w:hAnsi="Times New Roman" w:cs="Times New Roman"/>
        </w:rPr>
        <w:t xml:space="preserve"> Leslie, </w:t>
      </w:r>
      <w:r w:rsidRPr="00CB3F88">
        <w:rPr>
          <w:rFonts w:ascii="Times New Roman" w:hAnsi="Times New Roman" w:cs="Times New Roman"/>
          <w:i/>
          <w:iCs/>
        </w:rPr>
        <w:t xml:space="preserve">Legal Principles for Combatting </w:t>
      </w:r>
      <w:proofErr w:type="spellStart"/>
      <w:r w:rsidRPr="00CB3F88">
        <w:rPr>
          <w:rFonts w:ascii="Times New Roman" w:hAnsi="Times New Roman" w:cs="Times New Roman"/>
          <w:i/>
          <w:iCs/>
        </w:rPr>
        <w:t>Cyberlaundering</w:t>
      </w:r>
      <w:proofErr w:type="spellEnd"/>
      <w:r w:rsidRPr="00CB3F88">
        <w:rPr>
          <w:rFonts w:ascii="Times New Roman" w:hAnsi="Times New Roman" w:cs="Times New Roman"/>
        </w:rPr>
        <w:t> (Springer 2014) 226.</w:t>
      </w:r>
      <w:bookmarkEnd w:id="33"/>
    </w:p>
  </w:footnote>
  <w:footnote w:id="149">
    <w:p w14:paraId="73359D79" w14:textId="37E52F28" w:rsidR="00987BEB" w:rsidRPr="00CB3F88" w:rsidRDefault="00987BEB" w:rsidP="00FE598D">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proofErr w:type="spellStart"/>
      <w:r w:rsidRPr="00CB3F88">
        <w:rPr>
          <w:rFonts w:ascii="Times New Roman" w:hAnsi="Times New Roman" w:cs="Times New Roman"/>
          <w:lang w:val="en-US"/>
        </w:rPr>
        <w:t>Decreto</w:t>
      </w:r>
      <w:proofErr w:type="spellEnd"/>
      <w:r w:rsidRPr="00CB3F88">
        <w:rPr>
          <w:rFonts w:ascii="Times New Roman" w:hAnsi="Times New Roman" w:cs="Times New Roman"/>
          <w:lang w:val="en-US"/>
        </w:rPr>
        <w:t xml:space="preserve"> </w:t>
      </w:r>
      <w:proofErr w:type="spellStart"/>
      <w:r w:rsidRPr="00CB3F88">
        <w:rPr>
          <w:rFonts w:ascii="Times New Roman" w:hAnsi="Times New Roman" w:cs="Times New Roman"/>
          <w:lang w:val="en-US"/>
        </w:rPr>
        <w:t>Legislativo</w:t>
      </w:r>
      <w:proofErr w:type="spellEnd"/>
      <w:r w:rsidRPr="00CB3F88">
        <w:rPr>
          <w:rFonts w:ascii="Times New Roman" w:hAnsi="Times New Roman" w:cs="Times New Roman"/>
          <w:lang w:val="en-US"/>
        </w:rPr>
        <w:t xml:space="preserve"> 21 </w:t>
      </w:r>
      <w:proofErr w:type="spellStart"/>
      <w:r w:rsidRPr="00CB3F88">
        <w:rPr>
          <w:rFonts w:ascii="Times New Roman" w:hAnsi="Times New Roman" w:cs="Times New Roman"/>
          <w:lang w:val="en-US"/>
        </w:rPr>
        <w:t>novembre</w:t>
      </w:r>
      <w:proofErr w:type="spellEnd"/>
      <w:r w:rsidRPr="00CB3F88">
        <w:rPr>
          <w:rFonts w:ascii="Times New Roman" w:hAnsi="Times New Roman" w:cs="Times New Roman"/>
          <w:lang w:val="en-US"/>
        </w:rPr>
        <w:t xml:space="preserve"> 2007, n. 231</w:t>
      </w:r>
      <w:r w:rsidRPr="00CB3F88">
        <w:rPr>
          <w:rFonts w:ascii="Times New Roman" w:hAnsi="Times New Roman" w:cs="Times New Roman"/>
        </w:rPr>
        <w:t>, GU n. 290 del 14-12-2007.</w:t>
      </w:r>
    </w:p>
  </w:footnote>
  <w:footnote w:id="150">
    <w:p w14:paraId="5AEDEA1E" w14:textId="77777777" w:rsidR="00987BEB" w:rsidRPr="00CB3F88" w:rsidRDefault="00987BEB" w:rsidP="00987BEB">
      <w:pPr>
        <w:pStyle w:val="FootnoteText"/>
        <w:spacing w:after="120"/>
        <w:ind w:left="113" w:hanging="113"/>
        <w:jc w:val="both"/>
        <w:rPr>
          <w:rFonts w:ascii="Times New Roman" w:hAnsi="Times New Roman" w:cs="Times New Roman"/>
        </w:rPr>
      </w:pPr>
      <w:r w:rsidRPr="00CB3F88">
        <w:rPr>
          <w:rStyle w:val="FootnoteReference"/>
          <w:rFonts w:ascii="Times New Roman" w:hAnsi="Times New Roman" w:cs="Times New Roman"/>
        </w:rPr>
        <w:footnoteRef/>
      </w:r>
      <w:r w:rsidRPr="00CB3F88">
        <w:rPr>
          <w:rFonts w:ascii="Times New Roman" w:hAnsi="Times New Roman" w:cs="Times New Roman"/>
          <w:lang w:val="en-US"/>
        </w:rPr>
        <w:t xml:space="preserve"> </w:t>
      </w:r>
      <w:bookmarkStart w:id="34" w:name="_Hlk39360970"/>
      <w:r w:rsidRPr="00CB3F88">
        <w:rPr>
          <w:rFonts w:ascii="Times New Roman" w:hAnsi="Times New Roman" w:cs="Times New Roman"/>
        </w:rPr>
        <w:t xml:space="preserve">Domenico </w:t>
      </w:r>
      <w:proofErr w:type="spellStart"/>
      <w:r w:rsidRPr="00CB3F88">
        <w:rPr>
          <w:rFonts w:ascii="Times New Roman" w:hAnsi="Times New Roman" w:cs="Times New Roman"/>
        </w:rPr>
        <w:t>Siclari</w:t>
      </w:r>
      <w:proofErr w:type="spellEnd"/>
      <w:r w:rsidRPr="00CB3F88">
        <w:rPr>
          <w:rFonts w:ascii="Times New Roman" w:hAnsi="Times New Roman" w:cs="Times New Roman"/>
        </w:rPr>
        <w:t xml:space="preserve">, 'Anti-Money Laundering EU Law and Network of Agents', </w:t>
      </w:r>
      <w:r w:rsidRPr="00CB3F88">
        <w:rPr>
          <w:rFonts w:ascii="Times New Roman" w:hAnsi="Times New Roman" w:cs="Times New Roman"/>
          <w:i/>
          <w:iCs/>
        </w:rPr>
        <w:t>The New Anti-Money Laundering Law: First Perspectives on the 4th European Union Directive</w:t>
      </w:r>
      <w:r w:rsidRPr="00CB3F88">
        <w:rPr>
          <w:rFonts w:ascii="Times New Roman" w:hAnsi="Times New Roman" w:cs="Times New Roman"/>
        </w:rPr>
        <w:t xml:space="preserve"> (Palgrave Macmillan 2016) 45-56.</w:t>
      </w:r>
      <w:bookmarkEnd w:id="34"/>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679CF"/>
    <w:multiLevelType w:val="hybridMultilevel"/>
    <w:tmpl w:val="B4688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02065E"/>
    <w:multiLevelType w:val="hybridMultilevel"/>
    <w:tmpl w:val="E4901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39"/>
    <w:rsid w:val="00005D4D"/>
    <w:rsid w:val="00015A73"/>
    <w:rsid w:val="00016205"/>
    <w:rsid w:val="00021712"/>
    <w:rsid w:val="000326EA"/>
    <w:rsid w:val="0004166C"/>
    <w:rsid w:val="00075606"/>
    <w:rsid w:val="00075B11"/>
    <w:rsid w:val="0008059A"/>
    <w:rsid w:val="00087EE3"/>
    <w:rsid w:val="00094527"/>
    <w:rsid w:val="00096DCF"/>
    <w:rsid w:val="000B35EA"/>
    <w:rsid w:val="000C1821"/>
    <w:rsid w:val="000C4802"/>
    <w:rsid w:val="000E12A9"/>
    <w:rsid w:val="000E1B86"/>
    <w:rsid w:val="000E4ACA"/>
    <w:rsid w:val="000E5C9B"/>
    <w:rsid w:val="000F6948"/>
    <w:rsid w:val="00124D75"/>
    <w:rsid w:val="00135BB9"/>
    <w:rsid w:val="00145525"/>
    <w:rsid w:val="00155975"/>
    <w:rsid w:val="0016166A"/>
    <w:rsid w:val="00161DDA"/>
    <w:rsid w:val="00172D9B"/>
    <w:rsid w:val="00180214"/>
    <w:rsid w:val="001814F5"/>
    <w:rsid w:val="00186032"/>
    <w:rsid w:val="001863C4"/>
    <w:rsid w:val="00192390"/>
    <w:rsid w:val="001A00D7"/>
    <w:rsid w:val="001C52F6"/>
    <w:rsid w:val="001D3591"/>
    <w:rsid w:val="001D6DC2"/>
    <w:rsid w:val="001E29E7"/>
    <w:rsid w:val="001F1273"/>
    <w:rsid w:val="002074FA"/>
    <w:rsid w:val="00211659"/>
    <w:rsid w:val="00245FC9"/>
    <w:rsid w:val="00247EFD"/>
    <w:rsid w:val="0025734D"/>
    <w:rsid w:val="00275BA5"/>
    <w:rsid w:val="00292919"/>
    <w:rsid w:val="002B23C3"/>
    <w:rsid w:val="002D000B"/>
    <w:rsid w:val="002D7E6E"/>
    <w:rsid w:val="002E1D8F"/>
    <w:rsid w:val="002E4300"/>
    <w:rsid w:val="002E5049"/>
    <w:rsid w:val="002E6E5A"/>
    <w:rsid w:val="002F2771"/>
    <w:rsid w:val="003145BA"/>
    <w:rsid w:val="00323345"/>
    <w:rsid w:val="0036715D"/>
    <w:rsid w:val="00372E8D"/>
    <w:rsid w:val="00375B02"/>
    <w:rsid w:val="00385FAC"/>
    <w:rsid w:val="00387645"/>
    <w:rsid w:val="00391177"/>
    <w:rsid w:val="00393048"/>
    <w:rsid w:val="003936E9"/>
    <w:rsid w:val="003949DB"/>
    <w:rsid w:val="003A256A"/>
    <w:rsid w:val="003A5BA3"/>
    <w:rsid w:val="003B720D"/>
    <w:rsid w:val="003C203B"/>
    <w:rsid w:val="003E2326"/>
    <w:rsid w:val="003E6DCA"/>
    <w:rsid w:val="00404FD6"/>
    <w:rsid w:val="00407827"/>
    <w:rsid w:val="0041454B"/>
    <w:rsid w:val="004216DF"/>
    <w:rsid w:val="004344C3"/>
    <w:rsid w:val="00437913"/>
    <w:rsid w:val="0044045F"/>
    <w:rsid w:val="00455E40"/>
    <w:rsid w:val="004600AD"/>
    <w:rsid w:val="0047056B"/>
    <w:rsid w:val="004771E8"/>
    <w:rsid w:val="00477FED"/>
    <w:rsid w:val="0048316D"/>
    <w:rsid w:val="004834B6"/>
    <w:rsid w:val="00487B7B"/>
    <w:rsid w:val="00495D22"/>
    <w:rsid w:val="004966A3"/>
    <w:rsid w:val="004A728E"/>
    <w:rsid w:val="004B41CE"/>
    <w:rsid w:val="004C774B"/>
    <w:rsid w:val="004D76B1"/>
    <w:rsid w:val="004E6D60"/>
    <w:rsid w:val="004F5EAE"/>
    <w:rsid w:val="0050103D"/>
    <w:rsid w:val="0050160A"/>
    <w:rsid w:val="005020FE"/>
    <w:rsid w:val="00510D59"/>
    <w:rsid w:val="00513038"/>
    <w:rsid w:val="00513A61"/>
    <w:rsid w:val="00521FDF"/>
    <w:rsid w:val="005353C4"/>
    <w:rsid w:val="00545C75"/>
    <w:rsid w:val="00546EB8"/>
    <w:rsid w:val="005620D2"/>
    <w:rsid w:val="005735DF"/>
    <w:rsid w:val="00573CA1"/>
    <w:rsid w:val="005B55F4"/>
    <w:rsid w:val="005C26BE"/>
    <w:rsid w:val="005F0EE0"/>
    <w:rsid w:val="005F74AC"/>
    <w:rsid w:val="00640E34"/>
    <w:rsid w:val="006622AA"/>
    <w:rsid w:val="00694B79"/>
    <w:rsid w:val="006A459B"/>
    <w:rsid w:val="006C1571"/>
    <w:rsid w:val="006C1A77"/>
    <w:rsid w:val="006C2257"/>
    <w:rsid w:val="006C595F"/>
    <w:rsid w:val="006E0DCF"/>
    <w:rsid w:val="00734DA3"/>
    <w:rsid w:val="00742694"/>
    <w:rsid w:val="00751305"/>
    <w:rsid w:val="007522E3"/>
    <w:rsid w:val="00754B54"/>
    <w:rsid w:val="00756C02"/>
    <w:rsid w:val="00762120"/>
    <w:rsid w:val="00796771"/>
    <w:rsid w:val="007A0CD4"/>
    <w:rsid w:val="007A489D"/>
    <w:rsid w:val="007B193C"/>
    <w:rsid w:val="007B4040"/>
    <w:rsid w:val="007C3473"/>
    <w:rsid w:val="007D204E"/>
    <w:rsid w:val="007D449D"/>
    <w:rsid w:val="007D5D3F"/>
    <w:rsid w:val="007E3F41"/>
    <w:rsid w:val="007E51D2"/>
    <w:rsid w:val="007E5589"/>
    <w:rsid w:val="007E7E3F"/>
    <w:rsid w:val="007F30FD"/>
    <w:rsid w:val="007F4ECB"/>
    <w:rsid w:val="00813521"/>
    <w:rsid w:val="00830187"/>
    <w:rsid w:val="00834A47"/>
    <w:rsid w:val="00876AD8"/>
    <w:rsid w:val="008838DB"/>
    <w:rsid w:val="008B5477"/>
    <w:rsid w:val="008C458A"/>
    <w:rsid w:val="008D711B"/>
    <w:rsid w:val="00907EBF"/>
    <w:rsid w:val="00914922"/>
    <w:rsid w:val="00924B52"/>
    <w:rsid w:val="00933F47"/>
    <w:rsid w:val="00955774"/>
    <w:rsid w:val="009636BE"/>
    <w:rsid w:val="00982315"/>
    <w:rsid w:val="00987BEB"/>
    <w:rsid w:val="00994006"/>
    <w:rsid w:val="009A15FC"/>
    <w:rsid w:val="009A2094"/>
    <w:rsid w:val="009A6B88"/>
    <w:rsid w:val="009B2539"/>
    <w:rsid w:val="009D43E5"/>
    <w:rsid w:val="009E2B71"/>
    <w:rsid w:val="009E43AE"/>
    <w:rsid w:val="00A015C8"/>
    <w:rsid w:val="00A028C4"/>
    <w:rsid w:val="00A05CB1"/>
    <w:rsid w:val="00A0686B"/>
    <w:rsid w:val="00A26F20"/>
    <w:rsid w:val="00A3243A"/>
    <w:rsid w:val="00A35DDA"/>
    <w:rsid w:val="00A4291D"/>
    <w:rsid w:val="00A60018"/>
    <w:rsid w:val="00A7203C"/>
    <w:rsid w:val="00A76CB7"/>
    <w:rsid w:val="00A82297"/>
    <w:rsid w:val="00A84B07"/>
    <w:rsid w:val="00A9303B"/>
    <w:rsid w:val="00AA7021"/>
    <w:rsid w:val="00AA7D71"/>
    <w:rsid w:val="00AB22F0"/>
    <w:rsid w:val="00AC357D"/>
    <w:rsid w:val="00AC3A6B"/>
    <w:rsid w:val="00AD37C8"/>
    <w:rsid w:val="00AD7D4D"/>
    <w:rsid w:val="00AE1ABC"/>
    <w:rsid w:val="00AE718B"/>
    <w:rsid w:val="00AF69C4"/>
    <w:rsid w:val="00B012AF"/>
    <w:rsid w:val="00B01DB3"/>
    <w:rsid w:val="00B12A7B"/>
    <w:rsid w:val="00B13CF6"/>
    <w:rsid w:val="00B256A4"/>
    <w:rsid w:val="00B37463"/>
    <w:rsid w:val="00B40C99"/>
    <w:rsid w:val="00B4537C"/>
    <w:rsid w:val="00B5437D"/>
    <w:rsid w:val="00B56EE3"/>
    <w:rsid w:val="00B613C9"/>
    <w:rsid w:val="00B614EA"/>
    <w:rsid w:val="00B627D8"/>
    <w:rsid w:val="00B633D1"/>
    <w:rsid w:val="00B646D1"/>
    <w:rsid w:val="00B7062F"/>
    <w:rsid w:val="00B83DB5"/>
    <w:rsid w:val="00BA0FC6"/>
    <w:rsid w:val="00BC3FB1"/>
    <w:rsid w:val="00BD1A2C"/>
    <w:rsid w:val="00BD387C"/>
    <w:rsid w:val="00BD7026"/>
    <w:rsid w:val="00BF1A30"/>
    <w:rsid w:val="00C06D0C"/>
    <w:rsid w:val="00C4359A"/>
    <w:rsid w:val="00C44ABE"/>
    <w:rsid w:val="00C44C76"/>
    <w:rsid w:val="00C66639"/>
    <w:rsid w:val="00C7096B"/>
    <w:rsid w:val="00C745A9"/>
    <w:rsid w:val="00C74EB8"/>
    <w:rsid w:val="00C767C3"/>
    <w:rsid w:val="00C95991"/>
    <w:rsid w:val="00CB089A"/>
    <w:rsid w:val="00CC4C34"/>
    <w:rsid w:val="00CC75B1"/>
    <w:rsid w:val="00CD332B"/>
    <w:rsid w:val="00CE0AFD"/>
    <w:rsid w:val="00D20836"/>
    <w:rsid w:val="00D222C5"/>
    <w:rsid w:val="00D319B8"/>
    <w:rsid w:val="00D424FE"/>
    <w:rsid w:val="00D46E72"/>
    <w:rsid w:val="00D54C02"/>
    <w:rsid w:val="00D6181B"/>
    <w:rsid w:val="00D6409D"/>
    <w:rsid w:val="00D644C7"/>
    <w:rsid w:val="00D76BC6"/>
    <w:rsid w:val="00D822D9"/>
    <w:rsid w:val="00D83374"/>
    <w:rsid w:val="00D915AA"/>
    <w:rsid w:val="00DC6CD1"/>
    <w:rsid w:val="00DE3893"/>
    <w:rsid w:val="00E02F3C"/>
    <w:rsid w:val="00E137ED"/>
    <w:rsid w:val="00E16091"/>
    <w:rsid w:val="00E16425"/>
    <w:rsid w:val="00E26EF7"/>
    <w:rsid w:val="00E37167"/>
    <w:rsid w:val="00E429A6"/>
    <w:rsid w:val="00E52F72"/>
    <w:rsid w:val="00E70351"/>
    <w:rsid w:val="00E70992"/>
    <w:rsid w:val="00E80A61"/>
    <w:rsid w:val="00E823B9"/>
    <w:rsid w:val="00E83578"/>
    <w:rsid w:val="00E86DCD"/>
    <w:rsid w:val="00E9376C"/>
    <w:rsid w:val="00E93E45"/>
    <w:rsid w:val="00EA2CF5"/>
    <w:rsid w:val="00EA4722"/>
    <w:rsid w:val="00EA5FA1"/>
    <w:rsid w:val="00EA6FBC"/>
    <w:rsid w:val="00EC6A1D"/>
    <w:rsid w:val="00ED710D"/>
    <w:rsid w:val="00EE0EDA"/>
    <w:rsid w:val="00F1161D"/>
    <w:rsid w:val="00F12416"/>
    <w:rsid w:val="00F12807"/>
    <w:rsid w:val="00F25801"/>
    <w:rsid w:val="00F37E10"/>
    <w:rsid w:val="00F42B49"/>
    <w:rsid w:val="00F555EB"/>
    <w:rsid w:val="00F5673B"/>
    <w:rsid w:val="00F574C8"/>
    <w:rsid w:val="00F64A5E"/>
    <w:rsid w:val="00F7378A"/>
    <w:rsid w:val="00F74126"/>
    <w:rsid w:val="00F8502A"/>
    <w:rsid w:val="00F93235"/>
    <w:rsid w:val="00FA6C07"/>
    <w:rsid w:val="00FA7FE4"/>
    <w:rsid w:val="00FC0A1E"/>
    <w:rsid w:val="00FC4FA3"/>
    <w:rsid w:val="00FE5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E5BC"/>
  <w15:chartTrackingRefBased/>
  <w15:docId w15:val="{E2819DDC-F854-464F-9DA0-8DFC6E9A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11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D711B"/>
    <w:pPr>
      <w:spacing w:after="0" w:line="240" w:lineRule="auto"/>
    </w:pPr>
    <w:rPr>
      <w:sz w:val="20"/>
      <w:szCs w:val="20"/>
    </w:rPr>
  </w:style>
  <w:style w:type="character" w:customStyle="1" w:styleId="FootnoteTextChar">
    <w:name w:val="Footnote Text Char"/>
    <w:basedOn w:val="DefaultParagraphFont"/>
    <w:link w:val="FootnoteText"/>
    <w:uiPriority w:val="99"/>
    <w:rsid w:val="008D711B"/>
    <w:rPr>
      <w:sz w:val="20"/>
      <w:szCs w:val="20"/>
    </w:rPr>
  </w:style>
  <w:style w:type="character" w:styleId="FootnoteReference">
    <w:name w:val="footnote reference"/>
    <w:basedOn w:val="DefaultParagraphFont"/>
    <w:uiPriority w:val="99"/>
    <w:semiHidden/>
    <w:unhideWhenUsed/>
    <w:rsid w:val="008D711B"/>
    <w:rPr>
      <w:vertAlign w:val="superscript"/>
    </w:rPr>
  </w:style>
  <w:style w:type="table" w:styleId="PlainTable2">
    <w:name w:val="Plain Table 2"/>
    <w:basedOn w:val="TableNormal"/>
    <w:uiPriority w:val="42"/>
    <w:rsid w:val="001E29E7"/>
    <w:pPr>
      <w:spacing w:after="0" w:line="240" w:lineRule="auto"/>
    </w:pPr>
    <w:rPr>
      <w:lang w:val="nl-B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F12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E2623-54DD-4CD2-9728-0D2C39DE2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10581</Words>
  <Characters>60312</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Silva de Freitas</dc:creator>
  <cp:keywords/>
  <dc:description/>
  <cp:lastModifiedBy>Eduardo Silva de Freitas</cp:lastModifiedBy>
  <cp:revision>2</cp:revision>
  <cp:lastPrinted>2020-09-20T16:43:00Z</cp:lastPrinted>
  <dcterms:created xsi:type="dcterms:W3CDTF">2020-09-22T16:31:00Z</dcterms:created>
  <dcterms:modified xsi:type="dcterms:W3CDTF">2020-09-22T16:31:00Z</dcterms:modified>
</cp:coreProperties>
</file>