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08153E"/>
          <w:sz w:val="72"/>
          <w:szCs w:val="72"/>
        </w:rPr>
        <w:t xml:space="preserve">RWA COLLATERAL</w:t>
      </w:r>
    </w:p>
    <w:p>
      <w:pPr>
        <w:spacing w:after="80"/>
        <w:jc w:val="center"/>
      </w:pPr>
      <w:r>
        <w:rPr>
          <w:rFonts w:ascii="Arial" w:cs="Arial" w:eastAsia="Arial" w:hAnsi="Arial"/>
          <w:color w:val="1A3D8A"/>
          <w:sz w:val="32"/>
          <w:szCs w:val="32"/>
        </w:rPr>
        <w:t xml:space="preserve">Business Description &amp; Business Plan</w:t>
      </w:r>
    </w:p>
    <w:p>
      <w:pPr>
        <w:pBdr>
          <w:bottom w:val="single" w:color="B8920E" w:sz="8" w:space="4"/>
        </w:pBdr>
        <w:spacing w:after="400"/>
        <w:jc w:val="center"/>
      </w:pPr>
    </w:p>
    <w:p>
      <w:pPr>
        <w:spacing w:after="400"/>
      </w:pPr>
    </w:p>
    <w:p>
      <w:pPr>
        <w:spacing w:after="100"/>
        <w:jc w:val="center"/>
      </w:pPr>
      <w:r>
        <w:rPr>
          <w:rFonts w:ascii="Arial" w:cs="Arial" w:eastAsia="Arial" w:hAnsi="Arial"/>
          <w:i/>
          <w:iCs/>
          <w:color w:val="1A3D8A"/>
          <w:sz w:val="24"/>
          <w:szCs w:val="24"/>
        </w:rPr>
        <w:t xml:space="preserve">Built on HashKey Chain</w:t>
      </w:r>
    </w:p>
    <w:p>
      <w:pPr>
        <w:spacing w:after="100"/>
        <w:jc w:val="center"/>
      </w:pPr>
      <w:r>
        <w:rPr>
          <w:rFonts w:ascii="Arial" w:cs="Arial" w:eastAsia="Arial" w:hAnsi="Arial"/>
          <w:color w:val="888888"/>
          <w:sz w:val="20"/>
          <w:szCs w:val="20"/>
        </w:rPr>
        <w:t xml:space="preserve">Version 0.1  •  April 2026  •  CONFIDENTIAL</w:t>
      </w:r>
    </w:p>
    <w:p>
      <w:pPr>
        <w:spacing w:after="100"/>
        <w:jc w:val="center"/>
      </w:pPr>
      <w:r>
        <w:rPr>
          <w:rFonts w:ascii="Arial" w:cs="Arial" w:eastAsia="Arial" w:hAnsi="Arial"/>
          <w:color w:val="888888"/>
          <w:sz w:val="20"/>
          <w:szCs w:val="20"/>
        </w:rPr>
        <w:t xml:space="preserve">Prepared by Blockstar Logic</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20" w:before="0"/>
      </w:pPr>
      <w:r>
        <w:rPr>
          <w:rFonts w:ascii="Arial" w:cs="Arial" w:eastAsia="Arial" w:hAnsi="Arial"/>
          <w:b/>
          <w:bCs/>
          <w:color w:val="B8920E"/>
          <w:sz w:val="18"/>
          <w:szCs w:val="18"/>
        </w:rPr>
        <w:t xml:space="preserve">OVERVIEW</w:t>
      </w:r>
    </w:p>
    <w:p>
      <w:pPr>
        <w:pStyle w:val="Heading1"/>
      </w:pPr>
      <w:r>
        <w:t xml:space="preserve">Executive Summary</w:t>
      </w:r>
    </w:p>
    <w:p>
      <w:pPr>
        <w:spacing w:after="160"/>
      </w:pPr>
      <w:r>
        <w:rPr>
          <w:rFonts w:ascii="Arial" w:cs="Arial" w:eastAsia="Arial" w:hAnsi="Arial"/>
          <w:sz w:val="22"/>
          <w:szCs w:val="22"/>
        </w:rPr>
        <w:t xml:space="preserve">RWA Collateral is a decentralised lending protocol built on HashKey Chain that enables holders of Real World Asset (RWA) Liquid Staked Tokens (LSTs) to unlock stablecoin liquidity against their holdings without relinquishing ownership. The protocol fills a critical gap in the RWA ecosystem by providing a controlled, composable bridge between real-world asset ownership and decentralised finance — while preserving the KYC/KYB/AML compliance context that regulated asset classes require.</w:t>
      </w:r>
    </w:p>
    <w:p>
      <w:pPr>
        <w:spacing w:after="160"/>
      </w:pPr>
      <w:r>
        <w:rPr>
          <w:rFonts w:ascii="Arial" w:cs="Arial" w:eastAsia="Arial" w:hAnsi="Arial"/>
          <w:sz w:val="22"/>
          <w:szCs w:val="22"/>
        </w:rPr>
        <w:t xml:space="preserve">The platform serves two primary stakeholder groups: Borrowers — RWA LST holders who borrow stablecoins against their collateral — and Investors — capital providers who earn yield by supplying liquidity to the stablecoin lending pool and the liquidation disposal market.</w:t>
      </w:r>
    </w:p>
    <w:p>
      <w:pPr>
        <w:spacing w:after="160"/>
      </w:pPr>
      <w:r>
        <w:rPr>
          <w:rFonts w:ascii="Arial" w:cs="Arial" w:eastAsia="Arial" w:hAnsi="Arial"/>
          <w:sz w:val="22"/>
          <w:szCs w:val="22"/>
        </w:rPr>
        <w:t xml:space="preserve">Built natively on HashKey Chain, the protocol uses a controlled ERC20 token standard to maintain asset governance while enabling DeFi composability. Oracle infrastructure stubs provide the initial valuation layer, to be replaced with production-grade price feeds as the protocol matures.</w:t>
      </w:r>
    </w:p>
    <w:p>
      <w:pPr>
        <w:spacing w:after="80"/>
      </w:pPr>
    </w:p>
    <w:p>
      <w:pPr>
        <w:spacing w:after="160"/>
      </w:pPr>
      <w:r>
        <w:rPr>
          <w:rFonts w:ascii="Arial" w:cs="Arial" w:eastAsia="Arial" w:hAnsi="Arial"/>
          <w:b/>
          <w:bCs/>
          <w:sz w:val="22"/>
          <w:szCs w:val="22"/>
        </w:rPr>
        <w:t xml:space="preserve">Key metrics at target state:  </w:t>
      </w:r>
      <w:r>
        <w:rPr>
          <w:rFonts w:ascii="Arial" w:cs="Arial" w:eastAsia="Arial" w:hAnsi="Arial"/>
          <w:sz w:val="22"/>
          <w:szCs w:val="22"/>
        </w:rPr>
        <w:t xml:space="preserve">75% LTV ratio on collateral, 5% liquidation buffer, admin-configurable fee structure, dual investor pools (lending + disposal), support for multiple RWA asset types.</w:t>
      </w:r>
    </w:p>
    <w:p>
      <w:r>
        <w:br w:type="page"/>
      </w:r>
    </w:p>
    <w:p>
      <w:pPr>
        <w:spacing w:after="120" w:before="0"/>
      </w:pPr>
      <w:r>
        <w:rPr>
          <w:rFonts w:ascii="Arial" w:cs="Arial" w:eastAsia="Arial" w:hAnsi="Arial"/>
          <w:b/>
          <w:bCs/>
          <w:color w:val="B8920E"/>
          <w:sz w:val="18"/>
          <w:szCs w:val="18"/>
        </w:rPr>
        <w:t xml:space="preserve">PART A</w:t>
      </w:r>
    </w:p>
    <w:p>
      <w:pPr>
        <w:pStyle w:val="Heading1"/>
      </w:pPr>
      <w:r>
        <w:t xml:space="preserve">Business Description</w:t>
      </w:r>
    </w:p>
    <w:p>
      <w:pPr>
        <w:pStyle w:val="Heading2"/>
      </w:pPr>
      <w:r>
        <w:t xml:space="preserve">1.  Background &amp; The Problem</w:t>
      </w:r>
    </w:p>
    <w:p>
      <w:pPr>
        <w:spacing w:after="160"/>
      </w:pPr>
      <w:r>
        <w:rPr>
          <w:rFonts w:ascii="Arial" w:cs="Arial" w:eastAsia="Arial" w:hAnsi="Arial"/>
          <w:sz w:val="22"/>
          <w:szCs w:val="22"/>
        </w:rPr>
        <w:t xml:space="preserve">The rapid growth of real world asset tokenisation has surfaced a fundamental operational tension: RWA protocols are designed to maintain strict regulatory and operational hygiene — including KYC, KYB, and AML controls — while the broader DeFi ecosystem operates through permissionless, fully decentralised protocols. This creates a sharp incompatibility that the market has not yet resolved.</w:t>
      </w:r>
    </w:p>
    <w:p>
      <w:pPr>
        <w:pStyle w:val="Heading3"/>
      </w:pPr>
      <w:r>
        <w:t xml:space="preserve">1.1  Why Current Approaches Fail</w:t>
      </w:r>
    </w:p>
    <w:p>
      <w:pPr>
        <w:spacing w:after="160"/>
      </w:pPr>
      <w:r>
        <w:rPr>
          <w:rFonts w:ascii="Arial" w:cs="Arial" w:eastAsia="Arial" w:hAnsi="Arial"/>
          <w:sz w:val="22"/>
          <w:szCs w:val="22"/>
        </w:rPr>
        <w:t xml:space="preserve">When RWA tokens are introduced into fully decentralised protocols such as Aave or Compound, the following structural problems arise:</w:t>
      </w:r>
    </w:p>
    <w:p>
      <w:pPr>
        <w:pStyle w:val="ListParagraph"/>
        <w:numPr>
          <w:ilvl w:val="0"/>
          <w:numId w:val="2"/>
        </w:numPr>
        <w:spacing w:after="80"/>
      </w:pPr>
      <w:r>
        <w:rPr>
          <w:rFonts w:ascii="Arial" w:cs="Arial" w:eastAsia="Arial" w:hAnsi="Arial"/>
          <w:sz w:val="22"/>
          <w:szCs w:val="22"/>
        </w:rPr>
        <w:t xml:space="preserve">The KYC/KYB/AML compliance bubble is effectively ruptured. Once a token enters a permissionless pool, the issuer loses visibility and control over who holds or interacts with the asset. This renders the issuer potentially non-compliant with applicable financial regulations.</w:t>
      </w:r>
    </w:p>
    <w:p>
      <w:pPr>
        <w:pStyle w:val="ListParagraph"/>
        <w:numPr>
          <w:ilvl w:val="0"/>
          <w:numId w:val="2"/>
        </w:numPr>
        <w:spacing w:after="80"/>
      </w:pPr>
      <w:r>
        <w:rPr>
          <w:rFonts w:ascii="Arial" w:cs="Arial" w:eastAsia="Arial" w:hAnsi="Arial"/>
          <w:sz w:val="22"/>
          <w:szCs w:val="22"/>
        </w:rPr>
        <w:t xml:space="preserve">Life-event provisions — procedures for dealing with the death of a token holder, loss of private keys, corporate insolvency, or court orders — become unenforceable at the protocol level once the asset is in a permissionless environment.</w:t>
      </w:r>
    </w:p>
    <w:p>
      <w:pPr>
        <w:pStyle w:val="ListParagraph"/>
        <w:numPr>
          <w:ilvl w:val="0"/>
          <w:numId w:val="2"/>
        </w:numPr>
        <w:spacing w:after="80"/>
      </w:pPr>
      <w:r>
        <w:rPr>
          <w:rFonts w:ascii="Arial" w:cs="Arial" w:eastAsia="Arial" w:hAnsi="Arial"/>
          <w:sz w:val="22"/>
          <w:szCs w:val="22"/>
        </w:rPr>
        <w:t xml:space="preserve">Tokens can become permanently stuck in deprecated contracts, creating unresolvable operational liabilities. Unlike traditional financial instruments, there is no custodian or registrar who can intervene.</w:t>
      </w:r>
    </w:p>
    <w:p>
      <w:pPr>
        <w:pStyle w:val="ListParagraph"/>
        <w:numPr>
          <w:ilvl w:val="0"/>
          <w:numId w:val="2"/>
        </w:numPr>
        <w:spacing w:after="80"/>
      </w:pPr>
      <w:r>
        <w:rPr>
          <w:rFonts w:ascii="Arial" w:cs="Arial" w:eastAsia="Arial" w:hAnsi="Arial"/>
          <w:sz w:val="22"/>
          <w:szCs w:val="22"/>
        </w:rPr>
        <w:t xml:space="preserve">True protocol shutdown or wind-down becomes structurally impossible once assets are intertwined with immutable third-party contracts, creating indefinite legal and operational exposure for the original issuer.</w:t>
      </w:r>
    </w:p>
    <w:p>
      <w:pPr>
        <w:pStyle w:val="ListParagraph"/>
        <w:numPr>
          <w:ilvl w:val="0"/>
          <w:numId w:val="2"/>
        </w:numPr>
        <w:spacing w:after="80"/>
      </w:pPr>
      <w:r>
        <w:rPr>
          <w:rFonts w:ascii="Arial" w:cs="Arial" w:eastAsia="Arial" w:hAnsi="Arial"/>
          <w:sz w:val="22"/>
          <w:szCs w:val="22"/>
        </w:rPr>
        <w:t xml:space="preserve">Liquidity fragmentation worsens as each RWA project builds its own bespoke lending facility — increasing market fragmentation, reducing capital efficiency, and preventing composability across asset classes.</w:t>
      </w:r>
    </w:p>
    <w:p>
      <w:pPr>
        <w:spacing w:after="80"/>
      </w:pPr>
    </w:p>
    <w:p>
      <w:pPr>
        <w:spacing w:after="160"/>
      </w:pPr>
      <w:r>
        <w:rPr>
          <w:rFonts w:ascii="Arial" w:cs="Arial" w:eastAsia="Arial" w:hAnsi="Arial"/>
          <w:sz w:val="22"/>
          <w:szCs w:val="22"/>
        </w:rPr>
        <w:t xml:space="preserve">The result is that RWA liquidity has historically been confined to walled gardens — purpose-built OTC facilities or custodian-controlled lending desks — that offer poor rates, limited availability, and zero composability with the broader DeFi ecosystem.</w:t>
      </w:r>
    </w:p>
    <w:p>
      <w:pPr>
        <w:pStyle w:val="Heading3"/>
      </w:pPr>
      <w:r>
        <w:t xml:space="preserve">1.2  The Solution: Controlled Composability</w:t>
      </w:r>
    </w:p>
    <w:p>
      <w:pPr>
        <w:spacing w:after="160"/>
      </w:pPr>
      <w:r>
        <w:rPr>
          <w:rFonts w:ascii="Arial" w:cs="Arial" w:eastAsia="Arial" w:hAnsi="Arial"/>
          <w:sz w:val="22"/>
          <w:szCs w:val="22"/>
        </w:rPr>
        <w:t xml:space="preserve">RWA Collateral solves this by introducing a new operational layer between the RWA protocol and the open DeFi ecosystem. The protocol acts as a controlled composability bridge, preserving all regulatory and operational guarantees of the originating RWA protocol while enabling the economic benefits of on-chain collateralised lending. Critically:</w:t>
      </w:r>
    </w:p>
    <w:p>
      <w:pPr>
        <w:pStyle w:val="ListParagraph"/>
        <w:numPr>
          <w:ilvl w:val="0"/>
          <w:numId w:val="2"/>
        </w:numPr>
        <w:spacing w:after="80"/>
      </w:pPr>
      <w:r>
        <w:rPr>
          <w:rFonts w:ascii="Arial" w:cs="Arial" w:eastAsia="Arial" w:hAnsi="Arial"/>
          <w:sz w:val="22"/>
          <w:szCs w:val="22"/>
        </w:rPr>
        <w:t xml:space="preserve">Asset issuers retain governance and compliance control through the controlled ERC20 interface standard.</w:t>
      </w:r>
    </w:p>
    <w:p>
      <w:pPr>
        <w:pStyle w:val="ListParagraph"/>
        <w:numPr>
          <w:ilvl w:val="0"/>
          <w:numId w:val="2"/>
        </w:numPr>
        <w:spacing w:after="80"/>
      </w:pPr>
      <w:r>
        <w:rPr>
          <w:rFonts w:ascii="Arial" w:cs="Arial" w:eastAsia="Arial" w:hAnsi="Arial"/>
          <w:sz w:val="22"/>
          <w:szCs w:val="22"/>
        </w:rPr>
        <w:t xml:space="preserve">The protocol is designed from the outset to be shutdownable — positions can be unwound, pools drained, and contracts deprecated in an orderly manner.</w:t>
      </w:r>
    </w:p>
    <w:p>
      <w:pPr>
        <w:pStyle w:val="ListParagraph"/>
        <w:numPr>
          <w:ilvl w:val="0"/>
          <w:numId w:val="2"/>
        </w:numPr>
        <w:spacing w:after="80"/>
      </w:pPr>
      <w:r>
        <w:rPr>
          <w:rFonts w:ascii="Arial" w:cs="Arial" w:eastAsia="Arial" w:hAnsi="Arial"/>
          <w:sz w:val="22"/>
          <w:szCs w:val="22"/>
        </w:rPr>
        <w:t xml:space="preserve">Stuck-token scenarios are eliminated through the disposal contract mechanism, which provides a structured resolution path for any LST that cannot be redeemed in the normal course.</w:t>
      </w:r>
    </w:p>
    <w:p>
      <w:pPr>
        <w:pStyle w:val="ListParagraph"/>
        <w:numPr>
          <w:ilvl w:val="0"/>
          <w:numId w:val="2"/>
        </w:numPr>
        <w:spacing w:after="80"/>
      </w:pPr>
      <w:r>
        <w:rPr>
          <w:rFonts w:ascii="Arial" w:cs="Arial" w:eastAsia="Arial" w:hAnsi="Arial"/>
          <w:sz w:val="22"/>
          <w:szCs w:val="22"/>
        </w:rPr>
        <w:t xml:space="preserve">KYC/KYB/AML context is preserved at every step, as the collateral contract only accepts LSTs from approved controlled ERC20 contracts whose issuers have maintained their compliance obligations.</w:t>
      </w:r>
    </w:p>
    <w:p>
      <w:pPr>
        <w:spacing w:after="160"/>
      </w:pPr>
    </w:p>
    <w:p>
      <w:pPr>
        <w:pStyle w:val="Heading2"/>
      </w:pPr>
      <w:r>
        <w:t xml:space="preserve">2.  Product Overview</w:t>
      </w:r>
    </w:p>
    <w:p>
      <w:pPr>
        <w:spacing w:after="160"/>
      </w:pPr>
      <w:r>
        <w:rPr>
          <w:rFonts w:ascii="Arial" w:cs="Arial" w:eastAsia="Arial" w:hAnsi="Arial"/>
          <w:sz w:val="22"/>
          <w:szCs w:val="22"/>
        </w:rPr>
        <w:t xml:space="preserve">RWA Collateral is a suite of smart contracts and dashboards deployed on HashKey Chain that collectively enable the following core functions:</w:t>
      </w:r>
    </w:p>
    <w:p>
      <w:pPr>
        <w:pStyle w:val="Heading3"/>
      </w:pPr>
      <w:r>
        <w:t xml:space="preserve">2.1  Collateral Bonding</w:t>
      </w:r>
    </w:p>
    <w:p>
      <w:pPr>
        <w:spacing w:after="160"/>
      </w:pPr>
      <w:r>
        <w:rPr>
          <w:rFonts w:ascii="Arial" w:cs="Arial" w:eastAsia="Arial" w:hAnsi="Arial"/>
          <w:sz w:val="22"/>
          <w:szCs w:val="22"/>
        </w:rPr>
        <w:t xml:space="preserve">A borrower holds RWA Liquid Staked Tokens (LSTs) — tokenised representations of their RWA position including staking emissions entitlement. When the borrower elects to collateralise, they bond their LSTs into the Collateral Contract. The contract accepts only LSTs originating from approved controlled ERC20 RWA contracts, preserving the compliance boundary.</w:t>
      </w:r>
    </w:p>
    <w:p>
      <w:pPr>
        <w:spacing w:after="160"/>
      </w:pPr>
      <w:r>
        <w:rPr>
          <w:rFonts w:ascii="Arial" w:cs="Arial" w:eastAsia="Arial" w:hAnsi="Arial"/>
          <w:sz w:val="22"/>
          <w:szCs w:val="22"/>
        </w:rPr>
        <w:t xml:space="preserve">LST value is determined by two oracle feeds:</w:t>
      </w:r>
    </w:p>
    <w:p>
      <w:pPr>
        <w:pStyle w:val="ListParagraph"/>
        <w:numPr>
          <w:ilvl w:val="0"/>
          <w:numId w:val="2"/>
        </w:numPr>
        <w:spacing w:after="80"/>
      </w:pPr>
      <w:r>
        <w:rPr>
          <w:rFonts w:ascii="Arial" w:cs="Arial" w:eastAsia="Arial" w:hAnsi="Arial"/>
          <w:sz w:val="22"/>
          <w:szCs w:val="22"/>
        </w:rPr>
        <w:t xml:space="preserve">Emissions Entitlement Value — the present value of future emissions (yield, dividends, or distributions) the LST holder is entitled to from the underlying RWA protocol.</w:t>
      </w:r>
    </w:p>
    <w:p>
      <w:pPr>
        <w:pStyle w:val="ListParagraph"/>
        <w:numPr>
          <w:ilvl w:val="0"/>
          <w:numId w:val="2"/>
        </w:numPr>
        <w:spacing w:after="80"/>
      </w:pPr>
      <w:r>
        <w:rPr>
          <w:rFonts w:ascii="Arial" w:cs="Arial" w:eastAsia="Arial" w:hAnsi="Arial"/>
          <w:sz w:val="22"/>
          <w:szCs w:val="22"/>
        </w:rPr>
        <w:t xml:space="preserve">Net Present Value (NPV) — the mark-to-market valuation of the underlying real world asset, adjusted for the LST's proportional claim.</w:t>
      </w:r>
    </w:p>
    <w:p>
      <w:pPr>
        <w:spacing w:after="160"/>
      </w:pPr>
      <w:r>
        <w:rPr>
          <w:rFonts w:ascii="Arial" w:cs="Arial" w:eastAsia="Arial" w:hAnsi="Arial"/>
          <w:sz w:val="22"/>
          <w:szCs w:val="22"/>
        </w:rPr>
        <w:t xml:space="preserve">An initial stub implementation of both oracles will be used during the prototype and testnet phases, with production oracle integration planned post-mainnet.</w:t>
      </w:r>
    </w:p>
    <w:p>
      <w:pPr>
        <w:pStyle w:val="Heading3"/>
      </w:pPr>
      <w:r>
        <w:t xml:space="preserve">2.2  Stablecoin Lending</w:t>
      </w:r>
    </w:p>
    <w:p>
      <w:pPr>
        <w:spacing w:after="160"/>
      </w:pPr>
      <w:r>
        <w:rPr>
          <w:rFonts w:ascii="Arial" w:cs="Arial" w:eastAsia="Arial" w:hAnsi="Arial"/>
          <w:sz w:val="22"/>
          <w:szCs w:val="22"/>
        </w:rPr>
        <w:t xml:space="preserve">Against bonded LSTs, the borrower receives a stablecoin loan of up to 75% of the combined oracle-determined collateral value. A 5% liquidation buffer is enforced:</w:t>
      </w:r>
    </w:p>
    <w:p>
      <w:pPr>
        <w:pStyle w:val="ListParagraph"/>
        <w:numPr>
          <w:ilvl w:val="0"/>
          <w:numId w:val="2"/>
        </w:numPr>
        <w:spacing w:after="80"/>
      </w:pPr>
      <w:r>
        <w:rPr>
          <w:rFonts w:ascii="Arial" w:cs="Arial" w:eastAsia="Arial" w:hAnsi="Arial"/>
          <w:sz w:val="22"/>
          <w:szCs w:val="22"/>
        </w:rPr>
        <w:t xml:space="preserve">If collateral value falls such that the loan represents more than 95% of collateral value (i.e. the buffer is consumed), the position is automatically liquidated.</w:t>
      </w:r>
    </w:p>
    <w:p>
      <w:pPr>
        <w:pStyle w:val="ListParagraph"/>
        <w:numPr>
          <w:ilvl w:val="0"/>
          <w:numId w:val="2"/>
        </w:numPr>
        <w:spacing w:after="80"/>
      </w:pPr>
      <w:r>
        <w:rPr>
          <w:rFonts w:ascii="Arial" w:cs="Arial" w:eastAsia="Arial" w:hAnsi="Arial"/>
          <w:sz w:val="22"/>
          <w:szCs w:val="22"/>
        </w:rPr>
        <w:t xml:space="preserve">If collateral value rises such that the loan represents less than 70% of collateral value (i.e. a positive buffer of more than 5% has accumulated), the borrower is presented with a harvest option.</w:t>
      </w:r>
    </w:p>
    <w:p>
      <w:pPr>
        <w:spacing w:after="160"/>
      </w:pPr>
      <w:r>
        <w:rPr>
          <w:rFonts w:ascii="Arial" w:cs="Arial" w:eastAsia="Arial" w:hAnsi="Arial"/>
          <w:sz w:val="22"/>
          <w:szCs w:val="22"/>
        </w:rPr>
        <w:t xml:space="preserve">Loans remain open indefinitely provided the borrower services the position and collateral value holds above the liquidation threshold.</w:t>
      </w:r>
    </w:p>
    <w:p>
      <w:pPr>
        <w:pStyle w:val="Heading3"/>
      </w:pPr>
      <w:r>
        <w:t xml:space="preserve">2.3  Position Management</w:t>
      </w:r>
    </w:p>
    <w:p>
      <w:pPr>
        <w:spacing w:after="160"/>
      </w:pPr>
      <w:r>
        <w:rPr>
          <w:rFonts w:ascii="Arial" w:cs="Arial" w:eastAsia="Arial" w:hAnsi="Arial"/>
          <w:sz w:val="22"/>
          <w:szCs w:val="22"/>
        </w:rPr>
        <w:t xml:space="preserve">The Borrower Dashboard provides real-time position health monitoring and two active management facilities:</w:t>
      </w:r>
    </w:p>
    <w:p>
      <w:pPr>
        <w:pStyle w:val="ListParagraph"/>
        <w:numPr>
          <w:ilvl w:val="0"/>
          <w:numId w:val="2"/>
        </w:numPr>
        <w:spacing w:after="80"/>
      </w:pPr>
      <w:r>
        <w:rPr>
          <w:rFonts w:ascii="Arial" w:cs="Arial" w:eastAsia="Arial" w:hAnsi="Arial"/>
          <w:sz w:val="22"/>
          <w:szCs w:val="22"/>
        </w:rPr>
        <w:t xml:space="preserve">Top-up — the borrower can add additional LSTs to improve their health factor and move away from the liquidation threshold.</w:t>
      </w:r>
    </w:p>
    <w:p>
      <w:pPr>
        <w:pStyle w:val="ListParagraph"/>
        <w:numPr>
          <w:ilvl w:val="0"/>
          <w:numId w:val="2"/>
        </w:numPr>
        <w:spacing w:after="80"/>
      </w:pPr>
      <w:r>
        <w:rPr>
          <w:rFonts w:ascii="Arial" w:cs="Arial" w:eastAsia="Arial" w:hAnsi="Arial"/>
          <w:sz w:val="22"/>
          <w:szCs w:val="22"/>
        </w:rPr>
        <w:t xml:space="preserve">Harvest — when the market moves positively and a surplus exists above the threshold, the borrower can elect to harvest their position either by redeeming LSTs or by increasing their stablecoin borrow against the improved collateral value.</w:t>
      </w:r>
    </w:p>
    <w:p>
      <w:pPr>
        <w:pStyle w:val="Heading3"/>
      </w:pPr>
      <w:r>
        <w:t xml:space="preserve">2.4  Liquidation &amp; Disposal</w:t>
      </w:r>
    </w:p>
    <w:p>
      <w:pPr>
        <w:spacing w:after="160"/>
      </w:pPr>
      <w:r>
        <w:rPr>
          <w:rFonts w:ascii="Arial" w:cs="Arial" w:eastAsia="Arial" w:hAnsi="Arial"/>
          <w:sz w:val="22"/>
          <w:szCs w:val="22"/>
        </w:rPr>
        <w:t xml:space="preserve">When a position breaches the liquidation threshold, the Collateral Contract automatically triggers liquidation: the outstanding stablecoin loan is repaid from the pool, and the bonded LSTs are transferred to the Disposal Contract.</w:t>
      </w:r>
    </w:p>
    <w:p>
      <w:pPr>
        <w:spacing w:after="160"/>
      </w:pPr>
      <w:r>
        <w:rPr>
          <w:rFonts w:ascii="Arial" w:cs="Arial" w:eastAsia="Arial" w:hAnsi="Arial"/>
          <w:sz w:val="22"/>
          <w:szCs w:val="22"/>
        </w:rPr>
        <w:t xml:space="preserve">The Disposal Contract operates as a structured auction market:</w:t>
      </w:r>
    </w:p>
    <w:p>
      <w:pPr>
        <w:pStyle w:val="ListParagraph"/>
        <w:numPr>
          <w:ilvl w:val="0"/>
          <w:numId w:val="2"/>
        </w:numPr>
        <w:spacing w:after="80"/>
      </w:pPr>
      <w:r>
        <w:rPr>
          <w:rFonts w:ascii="Arial" w:cs="Arial" w:eastAsia="Arial" w:hAnsi="Arial"/>
          <w:sz w:val="22"/>
          <w:szCs w:val="22"/>
        </w:rPr>
        <w:t xml:space="preserve">Investors must pre-credit the disposal contract with funds before they can bid on LSTs. This ensures auction settlement is guaranteed.</w:t>
      </w:r>
    </w:p>
    <w:p>
      <w:pPr>
        <w:pStyle w:val="ListParagraph"/>
        <w:numPr>
          <w:ilvl w:val="0"/>
          <w:numId w:val="2"/>
        </w:numPr>
        <w:spacing w:after="80"/>
      </w:pPr>
      <w:r>
        <w:rPr>
          <w:rFonts w:ascii="Arial" w:cs="Arial" w:eastAsia="Arial" w:hAnsi="Arial"/>
          <w:sz w:val="22"/>
          <w:szCs w:val="22"/>
        </w:rPr>
        <w:t xml:space="preserve">Investor funds can only be withdrawn from the disposal contract when no LSTs are available to bid on, or through the successful purchase of LSTs at auction.</w:t>
      </w:r>
    </w:p>
    <w:p>
      <w:pPr>
        <w:pStyle w:val="ListParagraph"/>
        <w:numPr>
          <w:ilvl w:val="0"/>
          <w:numId w:val="2"/>
        </w:numPr>
        <w:spacing w:after="80"/>
      </w:pPr>
      <w:r>
        <w:rPr>
          <w:rFonts w:ascii="Arial" w:cs="Arial" w:eastAsia="Arial" w:hAnsi="Arial"/>
          <w:sz w:val="22"/>
          <w:szCs w:val="22"/>
        </w:rPr>
        <w:t xml:space="preserve">This mechanism prevents speculative bidding without committed capital and ensures liquidated LSTs are resolved in an orderly manner.</w:t>
      </w:r>
    </w:p>
    <w:p>
      <w:pPr>
        <w:pStyle w:val="Heading3"/>
      </w:pPr>
      <w:r>
        <w:t xml:space="preserve">2.5  Investor Participation</w:t>
      </w:r>
    </w:p>
    <w:p>
      <w:pPr>
        <w:spacing w:after="160"/>
      </w:pPr>
      <w:r>
        <w:rPr>
          <w:rFonts w:ascii="Arial" w:cs="Arial" w:eastAsia="Arial" w:hAnsi="Arial"/>
          <w:sz w:val="22"/>
          <w:szCs w:val="22"/>
        </w:rPr>
        <w:t xml:space="preserve">The Investor Dashboard provides two distinct yield-generating opportunities:</w:t>
      </w:r>
    </w:p>
    <w:p>
      <w:pPr>
        <w:pStyle w:val="ListParagraph"/>
        <w:numPr>
          <w:ilvl w:val="0"/>
          <w:numId w:val="2"/>
        </w:numPr>
        <w:spacing w:after="80"/>
      </w:pPr>
      <w:r>
        <w:rPr>
          <w:rFonts w:ascii="Arial" w:cs="Arial" w:eastAsia="Arial" w:hAnsi="Arial"/>
          <w:sz w:val="22"/>
          <w:szCs w:val="22"/>
        </w:rPr>
        <w:t xml:space="preserve">Stablecoin Liquidity Pool — investors deposit stablecoins into the lending pool. They earn fees on every position open and close event, at percentages configured by the protocol administrator.</w:t>
      </w:r>
    </w:p>
    <w:p>
      <w:pPr>
        <w:pStyle w:val="ListParagraph"/>
        <w:numPr>
          <w:ilvl w:val="0"/>
          <w:numId w:val="2"/>
        </w:numPr>
        <w:spacing w:after="80"/>
      </w:pPr>
      <w:r>
        <w:rPr>
          <w:rFonts w:ascii="Arial" w:cs="Arial" w:eastAsia="Arial" w:hAnsi="Arial"/>
          <w:sz w:val="22"/>
          <w:szCs w:val="22"/>
        </w:rPr>
        <w:t xml:space="preserve">Disposal Pool — investors pre-credit the disposal contract and participate in LST auctions. Yield comes from the discount at which liquidated LSTs are acquired relative to their oracle value.</w:t>
      </w:r>
    </w:p>
    <w:p>
      <w:pPr>
        <w:spacing w:after="160"/>
      </w:pPr>
      <w:r>
        <w:rPr>
          <w:rFonts w:ascii="Arial" w:cs="Arial" w:eastAsia="Arial" w:hAnsi="Arial"/>
          <w:sz w:val="22"/>
          <w:szCs w:val="22"/>
        </w:rPr>
        <w:t xml:space="preserve">Investors can allocate capital to either or both pools and monitor performance metrics for each independently through the dashboard.</w:t>
      </w:r>
    </w:p>
    <w:p>
      <w:pPr>
        <w:spacing w:after="160"/>
      </w:pPr>
    </w:p>
    <w:p>
      <w:pPr>
        <w:pStyle w:val="Heading2"/>
      </w:pPr>
      <w:r>
        <w:t xml:space="preserve">3.  Technical Architecture Overview</w:t>
      </w:r>
    </w:p>
    <w:p>
      <w:pPr>
        <w:spacing w:after="160"/>
      </w:pPr>
      <w:r>
        <w:rPr>
          <w:rFonts w:ascii="Arial" w:cs="Arial" w:eastAsia="Arial" w:hAnsi="Arial"/>
          <w:sz w:val="22"/>
          <w:szCs w:val="22"/>
        </w:rPr>
        <w:t xml:space="preserve">The protocol is composed of the following smart contract modules deployed on HashKey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Contract</w:t>
            </w:r>
          </w:p>
        </w:tc>
        <w:tc>
          <w:tcPr>
            <w:tcW w:type="dxa" w:w="656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Controlled ERC20 Interface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Standard interface that RWA token contracts must implement to be eligible as collateral. Preserves issuer governance and compliance hooks.</w:t>
            </w:r>
          </w:p>
        </w:tc>
      </w:tr>
      <w:tr>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LST Wrapper Contract</w:t>
            </w:r>
          </w:p>
        </w:tc>
        <w:tc>
          <w:tcPr>
            <w:tcW w:type="dxa" w:w="65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Wraps approved RWA tokens into Liquid Staked Tokens, incorporating emissions entitlement.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Collateral Contract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Accepts LST bonds, manages borrower positions, enforces LTV ratios, triggers liquidations.</w:t>
            </w:r>
          </w:p>
        </w:tc>
      </w:tr>
      <w:tr>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Stablecoin Pool Contract</w:t>
            </w:r>
          </w:p>
        </w:tc>
        <w:tc>
          <w:tcPr>
            <w:tcW w:type="dxa" w:w="65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Manages investor liquidity, stablecoin issuance to borrowers, and fee distribution.</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Disposal Contract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Manages liquidated LST auctions. Holds pre-committed investor funds and resolves liquidations.</w:t>
            </w:r>
          </w:p>
        </w:tc>
      </w:tr>
      <w:tr>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Emissions Oracle (Stub)</w:t>
            </w:r>
          </w:p>
        </w:tc>
        <w:tc>
          <w:tcPr>
            <w:tcW w:type="dxa" w:w="65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Provides on-chain emissions entitlement valuation per LST. Stub in prototype; production feed post-launch.</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NPV Oracle (Stub)</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Provides net present value per LST based on underlying RWA valuation. Stub in prototype; production feed post-launch.</w:t>
            </w:r>
          </w:p>
        </w:tc>
      </w:tr>
    </w:tbl>
    <w:p>
      <w:pPr>
        <w:spacing w:after="200"/>
      </w:pPr>
    </w:p>
    <w:p>
      <w:pPr>
        <w:spacing w:after="160"/>
      </w:pPr>
      <w:r>
        <w:rPr>
          <w:rFonts w:ascii="Arial" w:cs="Arial" w:eastAsia="Arial" w:hAnsi="Arial"/>
          <w:sz w:val="22"/>
          <w:szCs w:val="22"/>
        </w:rPr>
        <w:t xml:space="preserve">Three off-chain dashboards interact with these contracts via standard Web3 interfaces:</w:t>
      </w:r>
    </w:p>
    <w:p>
      <w:pPr>
        <w:pStyle w:val="ListParagraph"/>
        <w:numPr>
          <w:ilvl w:val="0"/>
          <w:numId w:val="2"/>
        </w:numPr>
        <w:spacing w:after="80"/>
      </w:pPr>
      <w:r>
        <w:rPr>
          <w:rFonts w:ascii="Arial" w:cs="Arial" w:eastAsia="Arial" w:hAnsi="Arial"/>
          <w:sz w:val="22"/>
          <w:szCs w:val="22"/>
        </w:rPr>
        <w:t xml:space="preserve">Borrower Dashboard — position health, LTV monitoring, top-up and harvest actions.</w:t>
      </w:r>
    </w:p>
    <w:p>
      <w:pPr>
        <w:pStyle w:val="ListParagraph"/>
        <w:numPr>
          <w:ilvl w:val="0"/>
          <w:numId w:val="2"/>
        </w:numPr>
        <w:spacing w:after="80"/>
      </w:pPr>
      <w:r>
        <w:rPr>
          <w:rFonts w:ascii="Arial" w:cs="Arial" w:eastAsia="Arial" w:hAnsi="Arial"/>
          <w:sz w:val="22"/>
          <w:szCs w:val="22"/>
        </w:rPr>
        <w:t xml:space="preserve">Investor Dashboard — pool analytics, fee earnings, disposal pool performance, capital allocation.</w:t>
      </w:r>
    </w:p>
    <w:p>
      <w:pPr>
        <w:pStyle w:val="ListParagraph"/>
        <w:numPr>
          <w:ilvl w:val="0"/>
          <w:numId w:val="2"/>
        </w:numPr>
        <w:spacing w:after="80"/>
      </w:pPr>
      <w:r>
        <w:rPr>
          <w:rFonts w:ascii="Arial" w:cs="Arial" w:eastAsia="Arial" w:hAnsi="Arial"/>
          <w:sz w:val="22"/>
          <w:szCs w:val="22"/>
        </w:rPr>
        <w:t xml:space="preserve">Admin Dashboard — protocol parameter management (fees, LTV thresholds, approved collateral contracts).</w:t>
      </w:r>
    </w:p>
    <w:p>
      <w:r>
        <w:br w:type="page"/>
      </w:r>
    </w:p>
    <w:p>
      <w:pPr>
        <w:pStyle w:val="Heading2"/>
      </w:pPr>
      <w:r>
        <w:t xml:space="preserve">4.  Strategic Analysis</w:t>
      </w:r>
    </w:p>
    <w:p>
      <w:pPr>
        <w:pStyle w:val="Heading3"/>
      </w:pPr>
      <w:r>
        <w:t xml:space="preserve">4.1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Ref</w:t>
            </w:r>
          </w:p>
        </w:tc>
        <w:tc>
          <w:tcPr>
            <w:tcW w:type="dxa" w:w="28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Opportunity</w:t>
            </w:r>
          </w:p>
        </w:tc>
        <w:tc>
          <w:tcPr>
            <w:tcW w:type="dxa" w:w="496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O1</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First-mover on HashKey Chain</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HashKey Chain is a regulated, EVM-compatible chain with institutional backing and growing TVL. Being the first RWA collateral protocol positions the project as foundational infrastructure.</w:t>
            </w:r>
          </w:p>
        </w:tc>
      </w:tr>
      <w:tr>
        <w:tc>
          <w:tcPr>
            <w:tcW w:type="dxa" w:w="16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O2</w:t>
            </w:r>
          </w:p>
        </w:tc>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Unsolved liquidity gap</w:t>
            </w:r>
          </w:p>
        </w:tc>
        <w:tc>
          <w:tcPr>
            <w:tcW w:type="dxa" w:w="4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RWA holders currently have no safe, compliant path to leverage their positions. This is a genuine and growing market gap with no direct incumbent.</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O3</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Composability standard</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If the controlled ERC20 interface becomes an industry standard, RWA Collateral becomes a foundational protocol layer — one that other projects build on rather than compete with.</w:t>
            </w:r>
          </w:p>
        </w:tc>
      </w:tr>
      <w:tr>
        <w:tc>
          <w:tcPr>
            <w:tcW w:type="dxa" w:w="16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O4</w:t>
            </w:r>
          </w:p>
        </w:tc>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New secondary market</w:t>
            </w:r>
          </w:p>
        </w:tc>
        <w:tc>
          <w:tcPr>
            <w:tcW w:type="dxa" w:w="4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The disposal contract creates a structured secondary market for distressed RWA LSTs. This market does not currently exist in any organised form.</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O5</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Institutional DeFi yield</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Family offices and crypto funds operating in regulated environments need compliant, auditable yield sources. The stablecoin pool offers exactly this.</w:t>
            </w:r>
          </w:p>
        </w:tc>
      </w:tr>
      <w:tr>
        <w:tc>
          <w:tcPr>
            <w:tcW w:type="dxa" w:w="16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O6</w:t>
            </w:r>
          </w:p>
        </w:tc>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Scalable fee revenue</w:t>
            </w:r>
          </w:p>
        </w:tc>
        <w:tc>
          <w:tcPr>
            <w:tcW w:type="dxa" w:w="4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Protocol fee revenue scales directly with usage. As more RWA issuers onboard, revenue grows without proportional cost increases.</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O7</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Oracle infrastructure value</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emissions and NPV oracle infrastructure, once productionised, represents independently valuable data infrastructure that could be licensed to other protocols.</w:t>
            </w:r>
          </w:p>
        </w:tc>
      </w:tr>
    </w:tbl>
    <w:p>
      <w:pPr>
        <w:spacing w:after="240"/>
      </w:pPr>
    </w:p>
    <w:p>
      <w:pPr>
        <w:pStyle w:val="Heading3"/>
      </w:pPr>
      <w:r>
        <w:t xml:space="preserve">4.2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1300"/>
        <w:gridCol w:w="3360"/>
      </w:tblGrid>
      <w:tr>
        <w:trPr>
          <w:tblHeader/>
        </w:trPr>
        <w:tc>
          <w:tcPr>
            <w:tcW w:type="dxa" w:w="12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Ref</w:t>
            </w:r>
          </w:p>
        </w:tc>
        <w:tc>
          <w:tcPr>
            <w:tcW w:type="dxa" w:w="22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Probability</w:t>
            </w:r>
          </w:p>
        </w:tc>
        <w:tc>
          <w:tcPr>
            <w:tcW w:type="dxa" w:w="13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Oracle manipulation or failure causes incorrect position valuations</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Critical</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Multi-source oracle aggregation; circuit breakers; stub-to-production migration plan with audit.</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R2</w:t>
            </w:r>
          </w:p>
        </w:tc>
        <w:tc>
          <w:tcPr>
            <w:tcW w:type="dxa" w:w="2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Smart contract vulnerability leads to loss of funds</w:t>
            </w:r>
          </w:p>
        </w:tc>
        <w:tc>
          <w:tcPr>
            <w:tcW w:type="dxa" w:w="13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Low–Med</w:t>
            </w:r>
          </w:p>
        </w:tc>
        <w:tc>
          <w:tcPr>
            <w:tcW w:type="dxa" w:w="13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Critical</w:t>
            </w:r>
          </w:p>
        </w:tc>
        <w:tc>
          <w:tcPr>
            <w:tcW w:type="dxa" w:w="33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Full security audit pre-mainnet; bug bounty programme; incremental TVL caps at launch.</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Regulatory environment on HashKey Chain changes adversely</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Legal opinion obtained pre-launch; architecture designed for orderly wind-down; ongoing regulatory monitoring.</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R4</w:t>
            </w:r>
          </w:p>
        </w:tc>
        <w:tc>
          <w:tcPr>
            <w:tcW w:type="dxa" w:w="2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Insufficient stablecoin pool liquidity</w:t>
            </w:r>
          </w:p>
        </w:tc>
        <w:tc>
          <w:tcPr>
            <w:tcW w:type="dxa" w:w="13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Liquidity bootstrapping programme; investor incentive structure; pool cap management to match supply.</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Liquidation cascade in stressed market</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Low–Med</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Conservative LTV parameters; disposal pool minimum funding requirements; stress test simulations pre-launch.</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R6</w:t>
            </w:r>
          </w:p>
        </w:tc>
        <w:tc>
          <w:tcPr>
            <w:tcW w:type="dxa" w:w="2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LST valuation model error</w:t>
            </w:r>
          </w:p>
        </w:tc>
        <w:tc>
          <w:tcPr>
            <w:tcW w:type="dxa" w:w="13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Independent model review; oracle value cross-validation; staged rollout with low TVL caps.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R7</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RWA protocol partners do not adopt the controlled ERC20 standard</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Early partnership outreach; provide open-source SDK; offer technical integration support; HashKey Chain ecosystem incentives.</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R8</w:t>
            </w:r>
          </w:p>
        </w:tc>
        <w:tc>
          <w:tcPr>
            <w:tcW w:type="dxa" w:w="2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HashKey Chain ecosystem does not achieve critical mass</w:t>
            </w:r>
          </w:p>
        </w:tc>
        <w:tc>
          <w:tcPr>
            <w:tcW w:type="dxa" w:w="13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Low–Med</w:t>
            </w:r>
          </w:p>
        </w:tc>
        <w:tc>
          <w:tcPr>
            <w:tcW w:type="dxa" w:w="13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Build for multi-chain portability from day one; monitor chain metrics; have contingency migration plan.</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R9</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Key person dependency in core development team</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Document architecture thoroughly; cross-train team members; engage secondary technical advisors.</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R10</w:t>
            </w:r>
          </w:p>
        </w:tc>
        <w:tc>
          <w:tcPr>
            <w:tcW w:type="dxa" w:w="2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Admin dashboard compromise leads to parameter manipulation</w:t>
            </w:r>
          </w:p>
        </w:tc>
        <w:tc>
          <w:tcPr>
            <w:tcW w:type="dxa" w:w="13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Low</w:t>
            </w:r>
          </w:p>
        </w:tc>
        <w:tc>
          <w:tcPr>
            <w:tcW w:type="dxa" w:w="13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Multi-sig access controls; timelock on parameter changes; parameter change alerts; on-chain governance roadmap.</w:t>
            </w:r>
          </w:p>
        </w:tc>
      </w:tr>
    </w:tbl>
    <w:p>
      <w:pPr>
        <w:spacing w:after="240"/>
      </w:pPr>
    </w:p>
    <w:p>
      <w:pPr>
        <w:pStyle w:val="Heading3"/>
      </w:pPr>
      <w:r>
        <w:t xml:space="preserve">4.3  Issues &amp;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Ref</w:t>
            </w:r>
          </w:p>
        </w:tc>
        <w:tc>
          <w:tcPr>
            <w:tcW w:type="dxa" w:w="24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Issue</w:t>
            </w:r>
          </w:p>
        </w:tc>
        <w:tc>
          <w:tcPr>
            <w:tcW w:type="dxa" w:w="576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Detail &amp; Required Action</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I1</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Oracle productionisation path undefined</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prototype uses stub oracles. The full path from stub to production — including data sourcing, on-chain delivery mechanism, validation, and failover — must be defined before mainnet launch. This requires engagement with oracle providers (e.g. Chainlink, Pyth, or a bespoke feed) and a clear specification of the emissions and NPV data models.</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I2</w:t>
            </w:r>
          </w:p>
        </w:tc>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Collateral parameter calibration</w:t>
            </w:r>
          </w:p>
        </w:tc>
        <w:tc>
          <w:tcPr>
            <w:tcW w:type="dxa" w:w="57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Initial LTV (75%) and liquidation buffer (5%) are reasonable starting points but need calibration per RWA asset class. Illiquid assets may require lower LTV; highly liquid assets may tolerate higher LTV. A governance mechanism for parameter adjustment — and the process for determining initial parameters per asset type — must be designed.</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I3</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KYC/KYB/AML integration surface</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protocol preserves compliance context by restricting to approved controlled ERC20 contracts, but the precise integration with originating RWA protocols' KYC/AML systems needs specification. What signals flow from the RWA protocol to the collateral contract? Who is authorised to add or remove approved contracts?</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I4</w:t>
            </w:r>
          </w:p>
        </w:tc>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Disposal auction mechanism design</w:t>
            </w:r>
          </w:p>
        </w:tc>
        <w:tc>
          <w:tcPr>
            <w:tcW w:type="dxa" w:w="57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The design of the auction (sealed bid vs open bid, minimum increments, auction duration, reserve prices) significantly affects investor appeal and liquidation recovery rates. This requires modelling and stakeholder input before implementation.</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I5</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Admin dashboard access security</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admin dashboard controls protocol-critical parameters. Multi-sig requirements, role separation, timelock durations, and an audit trail for all parameter changes must be defined and implemented robustly.</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I6</w:t>
            </w:r>
          </w:p>
        </w:tc>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Gas optimisation</w:t>
            </w:r>
          </w:p>
        </w:tc>
        <w:tc>
          <w:tcPr>
            <w:tcW w:type="dxa" w:w="57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Collateral operations involve multiple contract interactions in a single transaction. On-chain gas costs on HashKey Chain must be profiled and optimised to keep borrower transaction costs acceptable, particularly for top-up and harvest operations.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I7</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Prototype-to-production transition risk</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prototype is built with stubs and simplified assumptions. The transition to production introduces the risk of breaking changes — particularly in oracle integration, the controlled ERC20 interface, and stablecoin pool mechanics. A formal upgrade and migration plan is required.</w:t>
            </w:r>
          </w:p>
        </w:tc>
      </w:tr>
    </w:tbl>
    <w:p>
      <w:pPr>
        <w:spacing w:after="240"/>
      </w:pPr>
    </w:p>
    <w:p>
      <w:pPr>
        <w:pStyle w:val="Heading3"/>
      </w:pPr>
      <w:r>
        <w:t xml:space="preserve">4.4  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Ref</w:t>
            </w:r>
          </w:p>
        </w:tc>
        <w:tc>
          <w:tcPr>
            <w:tcW w:type="dxa" w:w="36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Assumption</w:t>
            </w:r>
          </w:p>
        </w:tc>
        <w:tc>
          <w:tcPr>
            <w:tcW w:type="dxa" w:w="456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Implication if False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A1</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HashKey Chain maintains EVM compatibility and stable infrastructure throughout development.</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Significant rework required; possible chain migration.</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A2</w:t>
            </w:r>
          </w:p>
        </w:tc>
        <w:tc>
          <w:tcPr>
            <w:tcW w:type="dxa" w:w="36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Sufficient RWA holder demand exists on HashKey Chain to provide a viable borrower base within 12 months of launch.</w:t>
            </w:r>
          </w:p>
        </w:tc>
        <w:tc>
          <w:tcPr>
            <w:tcW w:type="dxa" w:w="45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Protocol TVL remains insufficient to generate meaningful fee revenue; may require incentive programmes.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A3</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At least one stablecoin with adequate on-chain liquidity is available on HashKey Chain for the lending pool.</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Protocol cannot operate; requires stablecoin bridging or issuance partnership.</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A4</w:t>
            </w:r>
          </w:p>
        </w:tc>
        <w:tc>
          <w:tcPr>
            <w:tcW w:type="dxa" w:w="36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At least two RWA protocol partners will adopt the controlled ERC20 interface standard before mainnet launch.</w:t>
            </w:r>
          </w:p>
        </w:tc>
        <w:tc>
          <w:tcPr>
            <w:tcW w:type="dxa" w:w="45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Protocol launches with limited or no collateral asset types; value proposition is undermined.</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A5</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Reliable oracle data for RWA emissions entitlement and NPV can be delivered on-chain within acceptable latency and with auditable provenance.</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Stub oracles must remain indefinitely; protocol valuation accuracy is compromised.</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A6</w:t>
            </w:r>
          </w:p>
        </w:tc>
        <w:tc>
          <w:tcPr>
            <w:tcW w:type="dxa" w:w="36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The regulatory environment on HashKey Chain will remain favourable for DeFi lending protocols.</w:t>
            </w:r>
          </w:p>
        </w:tc>
        <w:tc>
          <w:tcPr>
            <w:tcW w:type="dxa" w:w="45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Protocol may require architectural changes or may not be able to operate in certain jurisdictions.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A7</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Smart contracts can be fully audited and certified within planned timeline and budget.</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Launch delayed; unaudited mainnet launch is not acceptable given TVL risk.</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A8</w:t>
            </w:r>
          </w:p>
        </w:tc>
        <w:tc>
          <w:tcPr>
            <w:tcW w:type="dxa" w:w="36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75% LTV / 5% buffer parameters are sufficient to prevent systemic under-collateralisation across initial supported RWA types.</w:t>
            </w:r>
          </w:p>
        </w:tc>
        <w:tc>
          <w:tcPr>
            <w:tcW w:type="dxa" w:w="45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Mass liquidation events possible; parameter recalibration required before or shortly after launch.</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A9</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Investors will be willing to pre-fund the disposal pool given the risk/return profile of liquidated LST acquisition.</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Disposal pool underfunded; liquidation resolution backlog builds; protocol stability at risk.</w:t>
            </w:r>
          </w:p>
        </w:tc>
      </w:tr>
      <w:tr>
        <w:tc>
          <w:tcPr>
            <w:tcW w:type="dxa" w:w="12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A10</w:t>
            </w:r>
          </w:p>
        </w:tc>
        <w:tc>
          <w:tcPr>
            <w:tcW w:type="dxa" w:w="36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The development team has or can promptly acquire sufficient Solidity and HashKey Chain expertise.</w:t>
            </w:r>
          </w:p>
        </w:tc>
        <w:tc>
          <w:tcPr>
            <w:tcW w:type="dxa" w:w="45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Timeline slips; quality compromised; additional hiring cost.</w:t>
            </w:r>
          </w:p>
        </w:tc>
      </w:tr>
    </w:tbl>
    <w:p>
      <w:r>
        <w:br w:type="page"/>
      </w:r>
    </w:p>
    <w:p>
      <w:pPr>
        <w:spacing w:after="120" w:before="0"/>
      </w:pPr>
      <w:r>
        <w:rPr>
          <w:rFonts w:ascii="Arial" w:cs="Arial" w:eastAsia="Arial" w:hAnsi="Arial"/>
          <w:b/>
          <w:bCs/>
          <w:color w:val="B8920E"/>
          <w:sz w:val="18"/>
          <w:szCs w:val="18"/>
        </w:rPr>
        <w:t xml:space="preserve">PART B</w:t>
      </w:r>
    </w:p>
    <w:p>
      <w:pPr>
        <w:pStyle w:val="Heading1"/>
      </w:pPr>
      <w:r>
        <w:t xml:space="preserve">Business Plan</w:t>
      </w:r>
    </w:p>
    <w:p>
      <w:pPr>
        <w:pStyle w:val="Heading2"/>
      </w:pPr>
      <w:r>
        <w:t xml:space="preserve">5.  Product Roadmap &amp; Milestones</w:t>
      </w:r>
    </w:p>
    <w:p>
      <w:pPr>
        <w:spacing w:after="160"/>
      </w:pPr>
      <w:r>
        <w:rPr>
          <w:rFonts w:ascii="Arial" w:cs="Arial" w:eastAsia="Arial" w:hAnsi="Arial"/>
          <w:sz w:val="22"/>
          <w:szCs w:val="22"/>
        </w:rPr>
        <w:t xml:space="preserve">The following roadmap reflects the intended delivery sequence from initial specification through to production oracle integration. Timelines are indicative and subject to revision following technical prototype delivery and partner engagement.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760"/>
        <w:gridCol w:w="2800"/>
      </w:tblGrid>
      <w:tr>
        <w:trPr>
          <w:tblHeader/>
        </w:trPr>
        <w:tc>
          <w:tcPr>
            <w:tcW w:type="dxa" w:w="14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Timeline</w:t>
            </w:r>
          </w:p>
        </w:tc>
        <w:tc>
          <w:tcPr>
            <w:tcW w:type="dxa" w:w="376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Key Deliverables</w:t>
            </w:r>
          </w:p>
        </w:tc>
        <w:tc>
          <w:tcPr>
            <w:tcW w:type="dxa" w:w="28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Exit Criteria</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0
Foundation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Months 1–2</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Technical specification; controlled ERC20 interface standard; oracle stub design; HashKey Chain testnet environment setup; repository and CI/CD pipeline.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Architecture document signed off; testnet wallet funded; controlled ERC20 spec v1.0 published.</w:t>
            </w:r>
          </w:p>
        </w:tc>
      </w:tr>
      <w:tr>
        <w:tc>
          <w:tcPr>
            <w:tcW w:type="dxa" w:w="1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Phase 1
Core Protocol</w:t>
            </w:r>
          </w:p>
        </w:tc>
        <w:tc>
          <w:tcPr>
            <w:tcW w:type="dxa" w:w="1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Months 2–4</w:t>
            </w:r>
          </w:p>
        </w:tc>
        <w:tc>
          <w:tcPr>
            <w:tcW w:type="dxa" w:w="37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Collateral Contract; Stablecoin Pool Contract; Emissions Oracle Stub; NPV Oracle Stub; LST Wrapper Contract; Borrower Dashboard (health, borrow, repay).</w:t>
            </w:r>
          </w:p>
        </w:tc>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All core contracts unit tested; borrower can open and close a position end-to-end on testnet.</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2
Investor &amp; Admin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Months 4–5</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Disposal Contract; Investor Dashboard (pool analytics, disposal pool); Admin Dashboard (fees, LTV parameters, approved contracts).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Investor can supply liquidity; admin can adjust fees; liquidation flow tested end-to-end.</w:t>
            </w:r>
          </w:p>
        </w:tc>
      </w:tr>
      <w:tr>
        <w:tc>
          <w:tcPr>
            <w:tcW w:type="dxa" w:w="1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Phase 3
Partner Integration</w:t>
            </w:r>
          </w:p>
        </w:tc>
        <w:tc>
          <w:tcPr>
            <w:tcW w:type="dxa" w:w="1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Months 5–6</w:t>
            </w:r>
          </w:p>
        </w:tc>
        <w:tc>
          <w:tcPr>
            <w:tcW w:type="dxa" w:w="37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Controlled ERC20 standard finalisation; RWA protocol partner onboarding (minimum 2); LST wrapper integration testing with partner tokens; security audit engagement.</w:t>
            </w:r>
          </w:p>
        </w:tc>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Two partner integrations live on testnet; audit firm engaged; audit scope agreed.</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4
Testnet Beta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Months 6–7</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Full public testnet deployment; invited beta with selected RWA holders and investors; bug fixes; gas optimisation; security audit in progress.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Zero critical findings open; beta user feedback incorporated; audit draft report received.</w:t>
            </w:r>
          </w:p>
        </w:tc>
      </w:tr>
      <w:tr>
        <w:tc>
          <w:tcPr>
            <w:tcW w:type="dxa" w:w="1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Phase 5
Mainnet Launch</w:t>
            </w:r>
          </w:p>
        </w:tc>
        <w:tc>
          <w:tcPr>
            <w:tcW w:type="dxa" w:w="1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Month 8</w:t>
            </w:r>
          </w:p>
        </w:tc>
        <w:tc>
          <w:tcPr>
            <w:tcW w:type="dxa" w:w="37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Mainnet deployment; ecosystem announcement; initial stablecoin pool seeding (liquidity bootstrapping); borrower onboarding campaign.</w:t>
            </w:r>
          </w:p>
        </w:tc>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TVL target reached within 30 days; zero security incidents; audit final report published.</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6
Oracle Production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Months 9–12</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Replace stub oracles with production feeds; multi-collateral type support; on-chain governance (DAO) implementation; expanded RWA partner onboarding.</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Production oracles live with documented SLA; three or more RWA asset types supported.</w:t>
            </w:r>
          </w:p>
        </w:tc>
      </w:tr>
    </w:tbl>
    <w:p>
      <w:pPr>
        <w:spacing w:after="200"/>
      </w:pPr>
    </w:p>
    <w:p>
      <w:r>
        <w:br w:type="page"/>
      </w:r>
    </w:p>
    <w:p>
      <w:pPr>
        <w:pStyle w:val="Heading2"/>
      </w:pPr>
      <w:r>
        <w:t xml:space="preserve">6.  Detailed Technical Architecture</w:t>
      </w:r>
    </w:p>
    <w:p>
      <w:pPr>
        <w:pStyle w:val="Heading3"/>
      </w:pPr>
      <w:r>
        <w:t xml:space="preserve">6.1  Smart Contract System</w:t>
      </w:r>
    </w:p>
    <w:p>
      <w:pPr>
        <w:spacing w:after="160"/>
      </w:pPr>
      <w:r>
        <w:rPr>
          <w:rFonts w:ascii="Arial" w:cs="Arial" w:eastAsia="Arial" w:hAnsi="Arial"/>
          <w:sz w:val="22"/>
          <w:szCs w:val="22"/>
        </w:rPr>
        <w:t xml:space="preserve">All contracts are deployed on HashKey Chain (EVM-compatible). The system is designed with separation of concerns such that each contract can be upgraded or replaced independently within the constraints of the Proxy pattern or equivalent upgrade mechanism to be agreed at detailed design stage.</w:t>
      </w:r>
    </w:p>
    <w:p>
      <w:pPr>
        <w:pStyle w:val="ListParagraph"/>
        <w:numPr>
          <w:ilvl w:val="0"/>
          <w:numId w:val="2"/>
        </w:numPr>
        <w:spacing w:after="80"/>
      </w:pPr>
      <w:r>
        <w:rPr>
          <w:rFonts w:ascii="Arial" w:cs="Arial" w:eastAsia="Arial" w:hAnsi="Arial"/>
          <w:sz w:val="22"/>
          <w:szCs w:val="22"/>
        </w:rPr>
        <w:t xml:space="preserve">Controlled ERC20 Interface — A Solidity interface (and associated registry) that defines the minimum API an RWA token contract must expose to participate in the collateral protocol. Includes hooks for issuer-controlled transfer restrictions and compliance status queries.</w:t>
      </w:r>
    </w:p>
    <w:p>
      <w:pPr>
        <w:pStyle w:val="ListParagraph"/>
        <w:numPr>
          <w:ilvl w:val="0"/>
          <w:numId w:val="2"/>
        </w:numPr>
        <w:spacing w:after="80"/>
      </w:pPr>
      <w:r>
        <w:rPr>
          <w:rFonts w:ascii="Arial" w:cs="Arial" w:eastAsia="Arial" w:hAnsi="Arial"/>
          <w:sz w:val="22"/>
          <w:szCs w:val="22"/>
        </w:rPr>
        <w:t xml:space="preserve">LST Wrapper Contract — Wraps approved controlled ERC20 tokens into LSTs. Tracks the holder's proportional entitlement to emissions from the underlying RWA protocol.</w:t>
      </w:r>
    </w:p>
    <w:p>
      <w:pPr>
        <w:pStyle w:val="ListParagraph"/>
        <w:numPr>
          <w:ilvl w:val="0"/>
          <w:numId w:val="2"/>
        </w:numPr>
        <w:spacing w:after="80"/>
      </w:pPr>
      <w:r>
        <w:rPr>
          <w:rFonts w:ascii="Arial" w:cs="Arial" w:eastAsia="Arial" w:hAnsi="Arial"/>
          <w:sz w:val="22"/>
          <w:szCs w:val="22"/>
        </w:rPr>
        <w:t xml:space="preserve">Collateral Contract — The core lending engine. Manages positions (bond, top-up, repay, harvest), enforces LTV ratios against oracle-derived values, and triggers liquidation when the threshold is breached.</w:t>
      </w:r>
    </w:p>
    <w:p>
      <w:pPr>
        <w:pStyle w:val="ListParagraph"/>
        <w:numPr>
          <w:ilvl w:val="0"/>
          <w:numId w:val="2"/>
        </w:numPr>
        <w:spacing w:after="80"/>
      </w:pPr>
      <w:r>
        <w:rPr>
          <w:rFonts w:ascii="Arial" w:cs="Arial" w:eastAsia="Arial" w:hAnsi="Arial"/>
          <w:sz w:val="22"/>
          <w:szCs w:val="22"/>
        </w:rPr>
        <w:t xml:space="preserve">Stablecoin Pool Contract — Manages investor deposits, tracks pool share balances, calculates and distributes fees to LPs on position open and close events.</w:t>
      </w:r>
    </w:p>
    <w:p>
      <w:pPr>
        <w:pStyle w:val="ListParagraph"/>
        <w:numPr>
          <w:ilvl w:val="0"/>
          <w:numId w:val="2"/>
        </w:numPr>
        <w:spacing w:after="80"/>
      </w:pPr>
      <w:r>
        <w:rPr>
          <w:rFonts w:ascii="Arial" w:cs="Arial" w:eastAsia="Arial" w:hAnsi="Arial"/>
          <w:sz w:val="22"/>
          <w:szCs w:val="22"/>
        </w:rPr>
        <w:t xml:space="preserve">Disposal Contract — Receives liquidated LSTs from the Collateral Contract; manages investor pre-commitment of funds; runs structured auctions; settles winning bids.</w:t>
      </w:r>
    </w:p>
    <w:p>
      <w:pPr>
        <w:pStyle w:val="ListParagraph"/>
        <w:numPr>
          <w:ilvl w:val="0"/>
          <w:numId w:val="2"/>
        </w:numPr>
        <w:spacing w:after="80"/>
      </w:pPr>
      <w:r>
        <w:rPr>
          <w:rFonts w:ascii="Arial" w:cs="Arial" w:eastAsia="Arial" w:hAnsi="Arial"/>
          <w:sz w:val="22"/>
          <w:szCs w:val="22"/>
        </w:rPr>
        <w:t xml:space="preserve">Oracle Stubs — Minimal on-chain contracts that return configurable test values for emissions entitlement and NPV. Designed with the same interface as the production oracle contracts to enable drop-in replacement.</w:t>
      </w:r>
    </w:p>
    <w:p>
      <w:pPr>
        <w:pStyle w:val="Heading3"/>
      </w:pPr>
      <w:r>
        <w:t xml:space="preserve">6.2  Oracle Architecture</w:t>
      </w:r>
    </w:p>
    <w:p>
      <w:pPr>
        <w:spacing w:after="160"/>
      </w:pPr>
      <w:r>
        <w:rPr>
          <w:rFonts w:ascii="Arial" w:cs="Arial" w:eastAsia="Arial" w:hAnsi="Arial"/>
          <w:sz w:val="22"/>
          <w:szCs w:val="22"/>
        </w:rPr>
        <w:t xml:space="preserve">The oracle layer is the most critical external dependency of the protocol. Two separate oracle feeds are required:</w:t>
      </w:r>
    </w:p>
    <w:p>
      <w:pPr>
        <w:pStyle w:val="ListParagraph"/>
        <w:numPr>
          <w:ilvl w:val="0"/>
          <w:numId w:val="2"/>
        </w:numPr>
        <w:spacing w:after="80"/>
      </w:pPr>
      <w:r>
        <w:rPr>
          <w:rFonts w:ascii="Arial" w:cs="Arial" w:eastAsia="Arial" w:hAnsi="Arial"/>
          <w:sz w:val="22"/>
          <w:szCs w:val="22"/>
        </w:rPr>
        <w:t xml:space="preserve">Emissions Entitlement Oracle — Sources data from the underlying RWA protocol regarding the yield, dividend, or distribution entitlement associated with each LST. This is protocol-specific and will likely require a bespoke feed built in collaboration with each RWA partner.</w:t>
      </w:r>
    </w:p>
    <w:p>
      <w:pPr>
        <w:pStyle w:val="ListParagraph"/>
        <w:numPr>
          <w:ilvl w:val="0"/>
          <w:numId w:val="2"/>
        </w:numPr>
        <w:spacing w:after="80"/>
      </w:pPr>
      <w:r>
        <w:rPr>
          <w:rFonts w:ascii="Arial" w:cs="Arial" w:eastAsia="Arial" w:hAnsi="Arial"/>
          <w:sz w:val="22"/>
          <w:szCs w:val="22"/>
        </w:rPr>
        <w:t xml:space="preserve">NPV Oracle — Sources net present value data for the underlying real world asset. This may draw from on-chain data (e.g. RWA protocol's own price feeds), off-chain data providers (e.g. property valuers, audited NAV statements), or decentralised oracle networks.</w:t>
      </w:r>
    </w:p>
    <w:p>
      <w:pPr>
        <w:spacing w:after="160"/>
      </w:pPr>
      <w:r>
        <w:rPr>
          <w:rFonts w:ascii="Arial" w:cs="Arial" w:eastAsia="Arial" w:hAnsi="Arial"/>
          <w:sz w:val="22"/>
          <w:szCs w:val="22"/>
        </w:rPr>
        <w:t xml:space="preserve">The stub oracle architecture ensures the system can be fully tested and launched on testnet without live oracle feeds. The production migration path will be documented as a formal deliverable in Phase 6.</w:t>
      </w:r>
    </w:p>
    <w:p>
      <w:pPr>
        <w:pStyle w:val="Heading3"/>
      </w:pPr>
      <w:r>
        <w:t xml:space="preserve">6.3  Dashboard Architecture</w:t>
      </w:r>
    </w:p>
    <w:p>
      <w:pPr>
        <w:spacing w:after="160"/>
      </w:pPr>
      <w:r>
        <w:rPr>
          <w:rFonts w:ascii="Arial" w:cs="Arial" w:eastAsia="Arial" w:hAnsi="Arial"/>
          <w:sz w:val="22"/>
          <w:szCs w:val="22"/>
        </w:rPr>
        <w:t xml:space="preserve">All three dashboards are web applications communicating with on-chain contracts via the HashKey Chain RPC. Key design principles:</w:t>
      </w:r>
    </w:p>
    <w:p>
      <w:pPr>
        <w:pStyle w:val="ListParagraph"/>
        <w:numPr>
          <w:ilvl w:val="0"/>
          <w:numId w:val="2"/>
        </w:numPr>
        <w:spacing w:after="80"/>
      </w:pPr>
      <w:r>
        <w:rPr>
          <w:rFonts w:ascii="Arial" w:cs="Arial" w:eastAsia="Arial" w:hAnsi="Arial"/>
          <w:sz w:val="22"/>
          <w:szCs w:val="22"/>
        </w:rPr>
        <w:t xml:space="preserve">Read operations use indexed event data and view functions; write operations are submitted as signed transactions from the user's wallet.</w:t>
      </w:r>
    </w:p>
    <w:p>
      <w:pPr>
        <w:pStyle w:val="ListParagraph"/>
        <w:numPr>
          <w:ilvl w:val="0"/>
          <w:numId w:val="2"/>
        </w:numPr>
        <w:spacing w:after="80"/>
      </w:pPr>
      <w:r>
        <w:rPr>
          <w:rFonts w:ascii="Arial" w:cs="Arial" w:eastAsia="Arial" w:hAnsi="Arial"/>
          <w:sz w:val="22"/>
          <w:szCs w:val="22"/>
        </w:rPr>
        <w:t xml:space="preserve">No sensitive data is stored off-chain; all position and pool state lives on-chain.</w:t>
      </w:r>
    </w:p>
    <w:p>
      <w:pPr>
        <w:pStyle w:val="ListParagraph"/>
        <w:numPr>
          <w:ilvl w:val="0"/>
          <w:numId w:val="2"/>
        </w:numPr>
        <w:spacing w:after="80"/>
      </w:pPr>
      <w:r>
        <w:rPr>
          <w:rFonts w:ascii="Arial" w:cs="Arial" w:eastAsia="Arial" w:hAnsi="Arial"/>
          <w:sz w:val="22"/>
          <w:szCs w:val="22"/>
        </w:rPr>
        <w:t xml:space="preserve">Admin dashboard access is wallet-gated with multi-sig verification; parameter changes emit on-chain events for audit trail purposes.</w:t>
      </w:r>
    </w:p>
    <w:p>
      <w:pPr>
        <w:spacing w:after="160"/>
      </w:pPr>
    </w:p>
    <w:p>
      <w:pPr>
        <w:pStyle w:val="Heading2"/>
      </w:pPr>
      <w:r>
        <w:t xml:space="preserve">7.  Co-Dependencies &amp; Integrations</w:t>
      </w:r>
    </w:p>
    <w:p>
      <w:pPr>
        <w:spacing w:after="160"/>
      </w:pPr>
      <w:r>
        <w:rPr>
          <w:rFonts w:ascii="Arial" w:cs="Arial" w:eastAsia="Arial" w:hAnsi="Arial"/>
          <w:sz w:val="22"/>
          <w:szCs w:val="22"/>
        </w:rPr>
        <w:t xml:space="preserve">The protocol's successful delivery depends on the following external dependencies being in place or actively 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rPr>
          <w:tblHeader/>
        </w:trPr>
        <w:tc>
          <w:tcPr>
            <w:tcW w:type="dxa" w:w="14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Dependency</w:t>
            </w:r>
          </w:p>
        </w:tc>
        <w:tc>
          <w:tcPr>
            <w:tcW w:type="dxa" w:w="356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Status / Action Required</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Chain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HashKey Chain RPC &amp; tooling</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Stable, performant RPC endpoint; Hardhat/Foundry compatibility; block explorer for contract verification.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Confirm with HashKey Chain team pre-Phase 0.</w:t>
            </w:r>
          </w:p>
        </w:tc>
      </w:tr>
      <w:tr>
        <w:tc>
          <w:tcPr>
            <w:tcW w:type="dxa" w:w="1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Chain</w:t>
            </w:r>
          </w:p>
        </w:tc>
        <w:tc>
          <w:tcPr>
            <w:tcW w:type="dxa" w:w="20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Stablecoin availability</w:t>
            </w:r>
          </w:p>
        </w:tc>
        <w:tc>
          <w:tcPr>
            <w:tcW w:type="dxa" w:w="35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At least one ERC20 stablecoin with on-chain liquidity on HashKey Chain for use as the lending currency.</w:t>
            </w:r>
          </w:p>
        </w:tc>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Identify and confirm with stablecoin issuer.</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Protocol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RWA Protocol Partners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Minimum two RWA protocols willing to implement the controlled ERC20 interface and participate in integration testing.</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Outreach to begin in Phase 0; confirmed by Phase 3.</w:t>
            </w:r>
          </w:p>
        </w:tc>
      </w:tr>
      <w:tr>
        <w:tc>
          <w:tcPr>
            <w:tcW w:type="dxa" w:w="1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Protocol</w:t>
            </w:r>
          </w:p>
        </w:tc>
        <w:tc>
          <w:tcPr>
            <w:tcW w:type="dxa" w:w="20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Oracle Infrastructure</w:t>
            </w:r>
          </w:p>
        </w:tc>
        <w:tc>
          <w:tcPr>
            <w:tcW w:type="dxa" w:w="35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Production oracle feeds for emissions and NPV data. Chainlink, Pyth, or bespoke feed depending on data availability.</w:t>
            </w:r>
          </w:p>
        </w:tc>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Evaluate options in Phase 3; implement in Phase 6.</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Security</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Security Audit Firm</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Reputable smart contract auditor to review all core contracts before mainnet. Certik, Trail of Bits, or equivalent.</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Engage by Phase 3; full audit in Phase 4.</w:t>
            </w:r>
          </w:p>
        </w:tc>
      </w:tr>
      <w:tr>
        <w:tc>
          <w:tcPr>
            <w:tcW w:type="dxa" w:w="1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Legal</w:t>
            </w:r>
          </w:p>
        </w:tc>
        <w:tc>
          <w:tcPr>
            <w:tcW w:type="dxa" w:w="20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Legal &amp; Compliance Advisory</w:t>
            </w:r>
          </w:p>
        </w:tc>
        <w:tc>
          <w:tcPr>
            <w:tcW w:type="dxa" w:w="35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Legal opinion on protocol structure, DeFi lending classification, and KYC/AML implications in HashKey Chain's regulatory perimeter.</w:t>
            </w:r>
          </w:p>
        </w:tc>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Engage legal counsel in Phase 0.</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Wallet Integration</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MetaMask or HashKey-native wallet compatibility for all dashboards.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Confirm wallet standards with HashKey Chain in Phase 0.</w:t>
            </w:r>
          </w:p>
        </w:tc>
      </w:tr>
      <w:tr>
        <w:tc>
          <w:tcPr>
            <w:tcW w:type="dxa" w:w="1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Ecosystem</w:t>
            </w:r>
          </w:p>
        </w:tc>
        <w:tc>
          <w:tcPr>
            <w:tcW w:type="dxa" w:w="20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Liquidity Bootstrapping</w:t>
            </w:r>
          </w:p>
        </w:tc>
        <w:tc>
          <w:tcPr>
            <w:tcW w:type="dxa" w:w="35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Initial capital committed to the stablecoin pool at mainnet launch to ensure borrowers can immediately access loans.</w:t>
            </w:r>
          </w:p>
        </w:tc>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Investor outreach and commitment programme in Phase 4–5.</w:t>
            </w:r>
          </w:p>
        </w:tc>
      </w:tr>
    </w:tbl>
    <w:p>
      <w:pPr>
        <w:spacing w:after="200"/>
      </w:pPr>
    </w:p>
    <w:p>
      <w:r>
        <w:br w:type="page"/>
      </w:r>
    </w:p>
    <w:p>
      <w:pPr>
        <w:pStyle w:val="Heading2"/>
      </w:pPr>
      <w:r>
        <w:t xml:space="preserve">8.  Revenue Model</w:t>
      </w:r>
    </w:p>
    <w:p>
      <w:pPr>
        <w:spacing w:after="160"/>
      </w:pPr>
      <w:r>
        <w:rPr>
          <w:rFonts w:ascii="Arial" w:cs="Arial" w:eastAsia="Arial" w:hAnsi="Arial"/>
          <w:sz w:val="22"/>
          <w:szCs w:val="22"/>
        </w:rPr>
        <w:t xml:space="preserve">The protocol generates revenue through transaction-based fees. All fee percentages are configurable via the admin dashboard and distributed to liquidity providers, with a portion directed to the protocol treasury.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rPr>
          <w:tblHeader/>
        </w:trPr>
        <w:tc>
          <w:tcPr>
            <w:tcW w:type="dxa" w:w="24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Revenue Stream</w:t>
            </w:r>
          </w:p>
        </w:tc>
        <w:tc>
          <w:tcPr>
            <w:tcW w:type="dxa" w:w="18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Trigger</w:t>
            </w:r>
          </w:p>
        </w:tc>
        <w:tc>
          <w:tcPr>
            <w:tcW w:type="dxa" w:w="276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Distribution</w:t>
            </w:r>
          </w:p>
        </w:tc>
        <w:tc>
          <w:tcPr>
            <w:tcW w:type="dxa" w:w="24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Position Open Fee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Borrower opens a collateral position</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Stablecoin pool LPs (pro-rata) + protocol treasury</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Percentage configurable via admin dashboard. Charged on borrowed stablecoin amount.</w:t>
            </w:r>
          </w:p>
        </w:tc>
      </w:tr>
      <w:tr>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Position Close Fee</w:t>
            </w:r>
          </w:p>
        </w:tc>
        <w:tc>
          <w:tcPr>
            <w:tcW w:type="dxa" w:w="1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Borrower repays and closes a position</w:t>
            </w:r>
          </w:p>
        </w:tc>
        <w:tc>
          <w:tcPr>
            <w:tcW w:type="dxa" w:w="27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Stablecoin pool LPs (pro-rata) + protocol treasury</w:t>
            </w:r>
          </w:p>
        </w:tc>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Percentage configurable via admin dashboard. Charged on repaid amount.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Disposal Market Fee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Liquidated LST auction settles</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Disposal pool investors + protocol treasury</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Percentage of auction proceeds. Compensates investors for capital lock-up.</w:t>
            </w:r>
          </w:p>
        </w:tc>
      </w:tr>
      <w:tr>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Harvest Fee</w:t>
            </w:r>
          </w:p>
        </w:tc>
        <w:tc>
          <w:tcPr>
            <w:tcW w:type="dxa" w:w="1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Borrower exercises harvest option</w:t>
            </w:r>
          </w:p>
        </w:tc>
        <w:tc>
          <w:tcPr>
            <w:tcW w:type="dxa" w:w="27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Stablecoin pool LPs + protocol treasury</w:t>
            </w:r>
          </w:p>
        </w:tc>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Applied when borrower harvests a positive surplus. Incentivises pool health.</w:t>
            </w:r>
          </w:p>
        </w:tc>
      </w:tr>
    </w:tbl>
    <w:p>
      <w:pPr>
        <w:spacing w:after="160"/>
      </w:pPr>
    </w:p>
    <w:p>
      <w:pPr>
        <w:spacing w:after="160"/>
      </w:pPr>
      <w:r>
        <w:rPr>
          <w:rFonts w:ascii="Arial" w:cs="Arial" w:eastAsia="Arial" w:hAnsi="Arial"/>
          <w:sz w:val="22"/>
          <w:szCs w:val="22"/>
        </w:rPr>
        <w:t xml:space="preserve">Revenue scales linearly with protocol usage (TVL and position volume). The fee structure is intentionally kept simple and transparent in the initial phase. A protocol treasury accumulation mechanism provides a funding source for ongoing development, security audits, and future governance incentives.</w:t>
      </w:r>
    </w:p>
    <w:p>
      <w:pPr>
        <w:spacing w:after="160"/>
      </w:pPr>
    </w:p>
    <w:p>
      <w:pPr>
        <w:pStyle w:val="Heading2"/>
      </w:pPr>
      <w:r>
        <w:t xml:space="preserve">9.  Go-to-Market Strategy</w:t>
      </w:r>
    </w:p>
    <w:p>
      <w:pPr>
        <w:pStyle w:val="Heading3"/>
      </w:pPr>
      <w:r>
        <w:t xml:space="preserve">9.1  HashKey Chain Ecosystem Integration</w:t>
      </w:r>
    </w:p>
    <w:p>
      <w:pPr>
        <w:spacing w:after="160"/>
      </w:pPr>
      <w:r>
        <w:rPr>
          <w:rFonts w:ascii="Arial" w:cs="Arial" w:eastAsia="Arial" w:hAnsi="Arial"/>
          <w:sz w:val="22"/>
          <w:szCs w:val="22"/>
        </w:rPr>
        <w:t xml:space="preserve">Engage the HashKey Chain foundation early — ideally in Phase 0 — for technical partnership, ecosystem grants, and co-marketing. Position RWA Collateral as foundational DeFi infrastructure for the chain, not a standalone application.</w:t>
      </w:r>
    </w:p>
    <w:p>
      <w:pPr>
        <w:pStyle w:val="Heading3"/>
      </w:pPr>
      <w:r>
        <w:t xml:space="preserve">9.2  RWA Protocol Partner Programme</w:t>
      </w:r>
    </w:p>
    <w:p>
      <w:pPr>
        <w:spacing w:after="160"/>
      </w:pPr>
      <w:r>
        <w:rPr>
          <w:rFonts w:ascii="Arial" w:cs="Arial" w:eastAsia="Arial" w:hAnsi="Arial"/>
          <w:sz w:val="22"/>
          <w:szCs w:val="22"/>
        </w:rPr>
        <w:t xml:space="preserve">Identify and approach 5–10 RWA protocols active on or planning to deploy on HashKey Chain. Offer:</w:t>
      </w:r>
    </w:p>
    <w:p>
      <w:pPr>
        <w:pStyle w:val="ListParagraph"/>
        <w:numPr>
          <w:ilvl w:val="0"/>
          <w:numId w:val="2"/>
        </w:numPr>
        <w:spacing w:after="80"/>
      </w:pPr>
      <w:r>
        <w:rPr>
          <w:rFonts w:ascii="Arial" w:cs="Arial" w:eastAsia="Arial" w:hAnsi="Arial"/>
          <w:sz w:val="22"/>
          <w:szCs w:val="22"/>
        </w:rPr>
        <w:t xml:space="preserve">Technical integration support for controlled ERC20 implementation.</w:t>
      </w:r>
    </w:p>
    <w:p>
      <w:pPr>
        <w:pStyle w:val="ListParagraph"/>
        <w:numPr>
          <w:ilvl w:val="0"/>
          <w:numId w:val="2"/>
        </w:numPr>
        <w:spacing w:after="80"/>
      </w:pPr>
      <w:r>
        <w:rPr>
          <w:rFonts w:ascii="Arial" w:cs="Arial" w:eastAsia="Arial" w:hAnsi="Arial"/>
          <w:sz w:val="22"/>
          <w:szCs w:val="22"/>
        </w:rPr>
        <w:t xml:space="preserve">Co-marketing and shared ecosystem visibility.</w:t>
      </w:r>
    </w:p>
    <w:p>
      <w:pPr>
        <w:pStyle w:val="ListParagraph"/>
        <w:numPr>
          <w:ilvl w:val="0"/>
          <w:numId w:val="2"/>
        </w:numPr>
        <w:spacing w:after="80"/>
      </w:pPr>
      <w:r>
        <w:rPr>
          <w:rFonts w:ascii="Arial" w:cs="Arial" w:eastAsia="Arial" w:hAnsi="Arial"/>
          <w:sz w:val="22"/>
          <w:szCs w:val="22"/>
        </w:rPr>
        <w:t xml:space="preserve">Early-adopter fee incentives (reduced fees for first-cohort partners).</w:t>
      </w:r>
    </w:p>
    <w:p>
      <w:pPr>
        <w:pStyle w:val="ListParagraph"/>
        <w:numPr>
          <w:ilvl w:val="0"/>
          <w:numId w:val="2"/>
        </w:numPr>
        <w:spacing w:after="80"/>
      </w:pPr>
      <w:r>
        <w:rPr>
          <w:rFonts w:ascii="Arial" w:cs="Arial" w:eastAsia="Arial" w:hAnsi="Arial"/>
          <w:sz w:val="22"/>
          <w:szCs w:val="22"/>
        </w:rPr>
        <w:t xml:space="preserve">Open-source SDK and documentation for the controlled ERC20 interface standard.</w:t>
      </w:r>
    </w:p>
    <w:p>
      <w:pPr>
        <w:pStyle w:val="Heading3"/>
      </w:pPr>
      <w:r>
        <w:t xml:space="preserve">9.3  Institutional Investor Outreach</w:t>
      </w:r>
    </w:p>
    <w:p>
      <w:pPr>
        <w:spacing w:after="160"/>
      </w:pPr>
      <w:r>
        <w:rPr>
          <w:rFonts w:ascii="Arial" w:cs="Arial" w:eastAsia="Arial" w:hAnsi="Arial"/>
          <w:sz w:val="22"/>
          <w:szCs w:val="22"/>
        </w:rPr>
        <w:t xml:space="preserve">Target family offices, crypto funds, and treasury desks at institutions operating in regulated environments who are seeking compliant, on-chain yield. The stablecoin lending pool's compliance-preserving design is a key differentiator in this segment.</w:t>
      </w:r>
    </w:p>
    <w:p>
      <w:pPr>
        <w:pStyle w:val="Heading3"/>
      </w:pPr>
      <w:r>
        <w:t xml:space="preserve">9.4  Liquidity Bootstrapping</w:t>
      </w:r>
    </w:p>
    <w:p>
      <w:pPr>
        <w:spacing w:after="160"/>
      </w:pPr>
      <w:r>
        <w:rPr>
          <w:rFonts w:ascii="Arial" w:cs="Arial" w:eastAsia="Arial" w:hAnsi="Arial"/>
          <w:sz w:val="22"/>
          <w:szCs w:val="22"/>
        </w:rPr>
        <w:t xml:space="preserve">Secure committed liquidity from a small number of institutional investors before mainnet launch. An initial target of sufficient stablecoin pool depth to service the anticipated demand from pilot RWA partner borrowers should be set and agreed before the Phase 5 launch gate.</w:t>
      </w:r>
    </w:p>
    <w:p>
      <w:pPr>
        <w:spacing w:after="160"/>
      </w:pPr>
    </w:p>
    <w:p>
      <w:pPr>
        <w:pStyle w:val="Heading2"/>
      </w:pPr>
      <w:r>
        <w:t xml:space="preserve">10.  Team &amp; 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Phase Required</w:t>
            </w:r>
          </w:p>
        </w:tc>
        <w:tc>
          <w:tcPr>
            <w:tcW w:type="dxa" w:w="276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Key Responsibilities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Lead Smart Contract Engineer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Core team</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0 onwards</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All Solidity contract development; architecture design; security review coordination.</w:t>
            </w:r>
          </w:p>
        </w:tc>
      </w:tr>
      <w:tr>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Frontend / Full-stack Engineer</w:t>
            </w:r>
          </w:p>
        </w:tc>
        <w:tc>
          <w:tcPr>
            <w:tcW w:type="dxa" w:w="1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Core team</w:t>
            </w:r>
          </w:p>
        </w:tc>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Phase 1 onwards</w:t>
            </w:r>
          </w:p>
        </w:tc>
        <w:tc>
          <w:tcPr>
            <w:tcW w:type="dxa" w:w="27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Borrower, investor, and admin dashboards; Web3 wallet integration.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Protocol &amp; Tokenomics Designer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Core team</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0 onwards</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Economic model design; oracle architecture; fee structure; governance design.</w:t>
            </w:r>
          </w:p>
        </w:tc>
      </w:tr>
      <w:tr>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Business Development Lead</w:t>
            </w:r>
          </w:p>
        </w:tc>
        <w:tc>
          <w:tcPr>
            <w:tcW w:type="dxa" w:w="1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Core team</w:t>
            </w:r>
          </w:p>
        </w:tc>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Phase 0 onwards</w:t>
            </w:r>
          </w:p>
        </w:tc>
        <w:tc>
          <w:tcPr>
            <w:tcW w:type="dxa" w:w="27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RWA protocol partner outreach; investor relations; HashKey Chain ecosystem engagement.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Legal &amp; Compliance Advisor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External</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0 onwards</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Regulatory opinion; KYC/AML integration guidance; protocol structure review.</w:t>
            </w:r>
          </w:p>
        </w:tc>
      </w:tr>
      <w:tr>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Security Auditor</w:t>
            </w:r>
          </w:p>
        </w:tc>
        <w:tc>
          <w:tcPr>
            <w:tcW w:type="dxa" w:w="1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External</w:t>
            </w:r>
          </w:p>
        </w:tc>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Phase 3–4</w:t>
            </w:r>
          </w:p>
        </w:tc>
        <w:tc>
          <w:tcPr>
            <w:tcW w:type="dxa" w:w="27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Full smart contract audit across all core contracts; audit report publication.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DevOps / Infrastructure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Part-time / contract</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Phase 1 onwards</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CI/CD pipeline; testnet and mainnet deployment; RPC infrastructure management.</w:t>
            </w:r>
          </w:p>
        </w:tc>
      </w:tr>
    </w:tbl>
    <w:p>
      <w:pPr>
        <w:spacing w:after="200"/>
      </w:pPr>
    </w:p>
    <w:p>
      <w:pPr>
        <w:pStyle w:val="Heading2"/>
      </w:pPr>
      <w:r>
        <w:t xml:space="preserve">11.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Target (12 months post-launch)</w:t>
            </w:r>
          </w:p>
        </w:tc>
        <w:tc>
          <w:tcPr>
            <w:tcW w:type="dxa" w:w="396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Total Value Locked (TVL)</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Target defined pre-launch based on partner pipeline</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Primary health indicator; stablecoin pool + collateral bonds.</w:t>
            </w:r>
          </w:p>
        </w:tc>
      </w:tr>
      <w:tr>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Active borrower positions</w:t>
            </w:r>
          </w:p>
        </w:tc>
        <w:tc>
          <w:tcPr>
            <w:tcW w:type="dxa" w:w="26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50+ within 90 days of launch</w:t>
            </w:r>
          </w:p>
        </w:tc>
        <w:tc>
          <w:tcPr>
            <w:tcW w:type="dxa" w:w="3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Proxy for protocol adoption and product-market fit.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RWA protocols integrated</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 by end of Phase 6</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Reflects ecosystem adoption of controlled ERC20 standard.</w:t>
            </w:r>
          </w:p>
        </w:tc>
      </w:tr>
      <w:tr>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Liquidation rate</w:t>
            </w:r>
          </w:p>
        </w:tc>
        <w:tc>
          <w:tcPr>
            <w:tcW w:type="dxa" w:w="26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&lt;5% of positions</w:t>
            </w:r>
          </w:p>
        </w:tc>
        <w:tc>
          <w:tcPr>
            <w:tcW w:type="dxa" w:w="3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Indicator of healthy collateral calibration and borrower behaviour.</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Disposal pool utilisation</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&gt;60% of pre-committed funds deployed</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Indicates active secondary market and investor engagement.</w:t>
            </w:r>
          </w:p>
        </w:tc>
      </w:tr>
      <w:tr>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Protocol fee revenue</w:t>
            </w:r>
          </w:p>
        </w:tc>
        <w:tc>
          <w:tcPr>
            <w:tcW w:type="dxa" w:w="26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Monthly target set at launch</w:t>
            </w:r>
          </w:p>
        </w:tc>
        <w:tc>
          <w:tcPr>
            <w:tcW w:type="dxa" w:w="3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Growing month-on-month; key sustainability metric.</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Security incidents</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Zero critical incidents</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Non-negotiable; any critical incident triggers protocol pause and full review.</w:t>
            </w:r>
          </w:p>
        </w:tc>
      </w:tr>
      <w:tr>
        <w:tc>
          <w:tcPr>
            <w:tcW w:type="dxa" w:w="28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Oracle uptime</w:t>
            </w:r>
          </w:p>
        </w:tc>
        <w:tc>
          <w:tcPr>
            <w:tcW w:type="dxa" w:w="26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&gt;99.9% in production</w:t>
            </w:r>
          </w:p>
        </w:tc>
        <w:tc>
          <w:tcPr>
            <w:tcW w:type="dxa" w:w="3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Measured once production oracles replace stubs in Phase 6.</w:t>
            </w:r>
          </w:p>
        </w:tc>
      </w:tr>
    </w:tbl>
    <w:p>
      <w:pPr>
        <w:spacing w:after="200"/>
      </w:pPr>
    </w:p>
    <w:p>
      <w:r>
        <w:br w:type="page"/>
      </w:r>
    </w:p>
    <w:p>
      <w:pPr>
        <w:spacing w:after="120" w:before="0"/>
      </w:pPr>
      <w:r>
        <w:rPr>
          <w:rFonts w:ascii="Arial" w:cs="Arial" w:eastAsia="Arial" w:hAnsi="Arial"/>
          <w:b/>
          <w:bCs/>
          <w:color w:val="B8920E"/>
          <w:sz w:val="18"/>
          <w:szCs w:val="18"/>
        </w:rPr>
        <w:t xml:space="preserve">APPENDIX</w:t>
      </w:r>
    </w:p>
    <w:p>
      <w:pPr>
        <w:pStyle w:val="Heading1"/>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3D8A"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RWA</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Real World Asset. A tokenised representation of an off-chain asset such as property, private credit, commodities, or other financial instruments.</w:t>
            </w:r>
          </w:p>
        </w:tc>
      </w:tr>
      <w:tr>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LST</w:t>
            </w:r>
          </w:p>
        </w:tc>
        <w:tc>
          <w:tcPr>
            <w:tcW w:type="dxa" w:w="6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Liquid Staked Token. A token that represents a staked position in an RWA protocol, incorporating the holder's entitlement to protocol emissions and the proportional NPV of the underlying asset.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LTV</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Loan-to-Value. The ratio of the outstanding loan to the current value of the collateral. The protocol enforces a maximum LTV of 75% and liquidates if LTV exceeds 95%.</w:t>
            </w:r>
          </w:p>
        </w:tc>
      </w:tr>
      <w:tr>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Controlled ERC20</w:t>
            </w:r>
          </w:p>
        </w:tc>
        <w:tc>
          <w:tcPr>
            <w:tcW w:type="dxa" w:w="6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An ERC20 token contract that implements the RWA Collateral interface standard, enabling the issuer to enforce transfer restrictions, compliance checks, and governance actions while remaining compatible with the collateral protocol.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Collateral Contract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central smart contract that accepts bonded LSTs, manages borrower positions, monitors LTV, and triggers liquidations.</w:t>
            </w:r>
          </w:p>
        </w:tc>
      </w:tr>
      <w:tr>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Disposal Contract</w:t>
            </w:r>
          </w:p>
        </w:tc>
        <w:tc>
          <w:tcPr>
            <w:tcW w:type="dxa" w:w="6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The smart contract that receives liquidated LSTs and conducts structured auctions for pre-committed investors.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Emissions Oracle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oracle feed providing on-chain visibility of the emissions entitlement value of each LST.</w:t>
            </w:r>
          </w:p>
        </w:tc>
      </w:tr>
      <w:tr>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NPV Oracle</w:t>
            </w:r>
          </w:p>
        </w:tc>
        <w:tc>
          <w:tcPr>
            <w:tcW w:type="dxa" w:w="6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The oracle feed providing the net present value of the underlying RWA per LST.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Oracle Stub</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 simplified, configurable on-chain contract used during prototype and testnet phases in lieu of a live production oracle feed.</w:t>
            </w:r>
          </w:p>
        </w:tc>
      </w:tr>
      <w:tr>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Harvest</w:t>
            </w:r>
          </w:p>
        </w:tc>
        <w:tc>
          <w:tcPr>
            <w:tcW w:type="dxa" w:w="6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The borrower action of extracting value from a position when collateral value has risen sufficiently above the loan amount, either by redeeming LSTs or increasing the stablecoin borrow.</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Top-up</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The borrower action of adding additional LSTs to a position to improve its health factor and reduce liquidation risk.</w:t>
            </w:r>
          </w:p>
        </w:tc>
      </w:tr>
      <w:tr>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HashKey Chain</w:t>
            </w:r>
          </w:p>
        </w:tc>
        <w:tc>
          <w:tcPr>
            <w:tcW w:type="dxa" w:w="6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An EVM-compatible, regulated Layer 1 blockchain with institutional backing, on which the RWA Collateral protocol is deployed.</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TVL</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Total Value Locked. The aggregate value of all assets deposited in the protocol's smart contracts at a given point in time.</w:t>
            </w:r>
          </w:p>
        </w:tc>
      </w:tr>
      <w:tr>
        <w:tc>
          <w:tcPr>
            <w:tcW w:type="dxa" w:w="240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KYC/KYB/AML</w:t>
            </w:r>
          </w:p>
        </w:tc>
        <w:tc>
          <w:tcPr>
            <w:tcW w:type="dxa" w:w="6960"/>
            <w:tcBorders>
              <w:top w:val="single" w:color="CCCCCC" w:sz="1"/>
              <w:left w:val="single" w:color="CCCCCC" w:sz="1"/>
              <w:bottom w:val="single" w:color="CCCCCC" w:sz="1"/>
              <w:right w:val="single" w:color="CCCCCC" w:sz="1"/>
            </w:tcBorders>
            <w:shd w:fill="F5F7FC" w:val="clear"/>
            <w:tcMar>
              <w:top w:type="dxa" w:w="80"/>
              <w:left w:type="dxa" w:w="140"/>
              <w:bottom w:type="dxa" w:w="80"/>
              <w:right w:type="dxa" w:w="140"/>
            </w:tcMar>
          </w:tcPr>
          <w:p>
            <w:r>
              <w:rPr>
                <w:rFonts w:ascii="Arial" w:cs="Arial" w:eastAsia="Arial" w:hAnsi="Arial"/>
                <w:sz w:val="20"/>
                <w:szCs w:val="20"/>
              </w:rPr>
              <w:t xml:space="preserve">Know Your Customer / Know Your Business / Anti-Money Laundering. Regulatory compliance obligations that RWA issuers and their platforms must maintain when dealing with their clients.</w:t>
            </w:r>
          </w:p>
        </w:tc>
      </w:tr>
    </w:tbl>
    <w:p>
      <w:pPr>
        <w:spacing w:after="200"/>
      </w:pPr>
    </w:p>
    <w:p>
      <w:pPr>
        <w:spacing w:after="160"/>
      </w:pPr>
      <w:r>
        <w:rPr>
          <w:rFonts w:ascii="Arial" w:cs="Arial" w:eastAsia="Arial" w:hAnsi="Arial"/>
          <w:i/>
          <w:iCs/>
          <w:color w:val="888888"/>
          <w:sz w:val="22"/>
          <w:szCs w:val="22"/>
        </w:rPr>
        <w:t xml:space="preserve">This document is version 0.1 and will be updated as the technical prototype progresses, partner engagements develop, and the regulatory and market landscape evolves. The business description and plan sections are intentionally combined to facilitate co-dependency mapping; they will be separated into standalone documents following prototype delivery.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D8A" w:sz="4" w:space="4"/>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D8A" w:sz="4" w:space="4"/>
      </w:pBdr>
      <w:tabs>
        <w:tab w:val="right" w:pos="9360"/>
      </w:tabs>
      <w:spacing w:after="100"/>
    </w:pPr>
    <w:r>
      <w:rPr>
        <w:rFonts w:ascii="Arial" w:cs="Arial" w:eastAsia="Arial" w:hAnsi="Arial"/>
        <w:color w:val="888888"/>
        <w:sz w:val="18"/>
        <w:szCs w:val="18"/>
      </w:rPr>
      <w:t xml:space="preserve">RWA Collateral  —  Business Description &amp; Business Plan</w:t>
    </w:r>
    <w:r>
      <w:rPr>
        <w:rFonts w:ascii="Arial" w:cs="Arial" w:eastAsia="Arial" w:hAnsi="Arial"/>
        <w:b/>
        <w:bCs/>
        <w:color w:val="B8920E"/>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20E" w:sz="6" w:space="6"/>
      </w:pBdr>
      <w:spacing w:after="200" w:before="480"/>
      <w:outlineLvl w:val="0"/>
    </w:pPr>
    <w:rPr>
      <w:rFonts w:ascii="Arial" w:cs="Arial" w:eastAsia="Arial" w:hAnsi="Arial"/>
      <w:b/>
      <w:bCs/>
      <w:color w:val="08153E"/>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A3D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2026-04-10T15:22:01.308Z</dcterms:created>
  <dcterms:modified xsi:type="dcterms:W3CDTF">2026-04-10T15:22:01.309Z</dcterms:modified>
</cp:coreProperties>
</file>

<file path=docProps/custom.xml><?xml version="1.0" encoding="utf-8"?>
<Properties xmlns="http://schemas.openxmlformats.org/officeDocument/2006/custom-properties" xmlns:vt="http://schemas.openxmlformats.org/officeDocument/2006/docPropsVTypes"/>
</file>