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rFonts w:ascii="Calibri" w:hAnsi="Calibri"/>
          <w:b/>
          <w:color w:val="2E74B5"/>
          <w:sz w:val="32"/>
        </w:rPr>
        <w:t>POLYROOT</w:t>
      </w:r>
    </w:p>
    <w:p>
      <w:pPr>
        <w:spacing w:before="160" w:line="240" w:lineRule="auto"/>
      </w:pPr>
      <w:r>
        <w:rPr>
          <w:rFonts w:ascii="Calibri" w:hAnsi="Calibri"/>
          <w:b/>
          <w:color w:val="163C5A"/>
          <w:sz w:val="48"/>
        </w:rPr>
        <w:t>Modular Autonomous Prediction-Market</w:t>
        <w:br/>
        <w:t>Intelligence &amp; Trading System</w:t>
      </w:r>
    </w:p>
    <w:p>
      <w:pPr>
        <w:spacing w:before="260"/>
      </w:pPr>
      <w:r>
        <w:rPr>
          <w:b/>
          <w:color w:val="2E74B5"/>
          <w:sz w:val="30"/>
        </w:rPr>
        <w:t>Technical Blueprint</w:t>
      </w:r>
    </w:p>
    <w:p>
      <w:pPr>
        <w:spacing w:before="400"/>
      </w:pPr>
      <w:r>
        <w:rPr>
          <w:b/>
          <w:color w:val="4B6577"/>
          <w:sz w:val="19"/>
        </w:rPr>
        <w:t>Version 1.1  •  Correction &amp; Completion Release  •  9 September 2026</w:t>
      </w:r>
    </w:p>
    <w:p>
      <w:pPr>
        <w:spacing w:before="100"/>
      </w:pPr>
      <w:r>
        <w:rPr>
          <w:color w:val="4B6577"/>
          <w:sz w:val="17"/>
        </w:rPr>
        <w:t>Research baseline: official Polymarket CLOB V2 documentation, current official TypeScript SDK, pinned CloddsBot fork source, security guidance, PostgreSQL durability guidance, and live/prospective forecasting literature.</w:t>
      </w:r>
    </w:p>
    <w:tbl>
      <w:tblPr>
        <w:tblW w:type="auto" w:w="0"/>
        <w:jc w:val="left"/>
        <w:tblLook w:firstColumn="1" w:firstRow="1" w:lastColumn="0" w:lastRow="0" w:noHBand="0" w:noVBand="1" w:val="04A0"/>
      </w:tblPr>
      <w:tblGrid>
        <w:gridCol w:w="9936"/>
      </w:tblGrid>
      <w:tr>
        <w:tc>
          <w:tcPr>
            <w:tcW w:type="dxa" w:w="9936"/>
            <w:shd w:fill="EAF6F0"/>
            <w:tcMar>
              <w:top w:w="160" w:type="dxa"/>
              <w:start w:w="180" w:type="dxa"/>
              <w:bottom w:w="160" w:type="dxa"/>
              <w:end w:w="180" w:type="dxa"/>
            </w:tcMar>
            <w:tcBorders>
              <w:top w:val="single" w:sz="8" w:color="A7D8C0"/>
              <w:left w:val="single" w:sz="8" w:color="A7D8C0"/>
              <w:bottom w:val="single" w:sz="8" w:color="A7D8C0"/>
              <w:right w:val="single" w:sz="8" w:color="A7D8C0"/>
            </w:tcBorders>
          </w:tcPr>
          <w:p>
            <w:r>
              <w:rPr>
                <w:b/>
                <w:color w:val="1B6E4B"/>
              </w:rPr>
              <w:t xml:space="preserve">Autonomy contract. </w:t>
            </w:r>
            <w:r>
              <w:rPr>
                <w:sz w:val="18"/>
              </w:rPr>
              <w:t>After one-time commissioning, PolyRoot operates 24/7 with zero human approval per trade. It autonomously discovers markets, researches, forecasts, selects qualified strategies, sizes positions, enters, cancels/replaces, exits, redeems, reconciles, recovers, and resumes inside an immutable hard-cap policy. Human governance is reserved for commissioning, capital/signer changes, compliance blocks, and exceptional security recovery, not market decisions.</w:t>
            </w:r>
          </w:p>
        </w:tc>
      </w:tr>
    </w:tbl>
    <w:p>
      <w:pPr>
        <w:spacing w:before="360"/>
      </w:pPr>
      <w:r>
        <w:rPr>
          <w:i/>
          <w:color w:val="A93434"/>
          <w:sz w:val="17"/>
        </w:rPr>
        <w:t>Status: implementation specification. Not a claim of profitability, production readiness, or legal eligibility in any jurisdiction.</w:t>
      </w:r>
    </w:p>
    <w:p>
      <w:r>
        <w:br w:type="page"/>
      </w:r>
    </w:p>
    <w:p>
      <w:pPr>
        <w:pStyle w:val="Heading1"/>
        <w:keepNext/>
      </w:pPr>
      <w:r>
        <w:t>B0. Architecture Decision</w:t>
      </w:r>
    </w:p>
    <w:tbl>
      <w:tblPr>
        <w:tblW w:type="auto" w:w="0"/>
        <w:jc w:val="center"/>
        <w:tblLook w:firstColumn="1" w:firstRow="1" w:lastColumn="0" w:lastRow="0" w:noHBand="0" w:noVBand="1" w:val="04A0"/>
      </w:tblPr>
      <w:tblGrid>
        <w:gridCol w:w="9936"/>
      </w:tblGrid>
      <w:tr>
        <w:trPr>
          <w:cantSplit/>
        </w:trPr>
        <w:tc>
          <w:tcPr>
            <w:tcW w:type="dxa" w:w="9936"/>
            <w:shd w:fill="EAF6F0"/>
            <w:tcMar>
              <w:top w:w="115" w:type="dxa"/>
              <w:start w:w="145" w:type="dxa"/>
              <w:bottom w:w="115" w:type="dxa"/>
              <w:end w:w="145" w:type="dxa"/>
            </w:tcMar>
            <w:tcBorders>
              <w:top w:val="single" w:sz="6" w:color="C9D5DE"/>
              <w:left w:val="single" w:sz="6" w:color="C9D5DE"/>
              <w:bottom w:val="single" w:sz="6" w:color="C9D5DE"/>
              <w:right w:val="single" w:sz="6" w:color="C9D5DE"/>
            </w:tcBorders>
          </w:tcPr>
          <w:p>
            <w:pPr>
              <w:spacing w:after="0"/>
            </w:pPr>
            <w:r>
              <w:rPr>
                <w:b/>
                <w:color w:val="1B6E4B"/>
              </w:rPr>
              <w:t xml:space="preserve">Chosen architecture  </w:t>
            </w:r>
            <w:r>
              <w:rPr>
                <w:color w:val="233646"/>
              </w:rPr>
              <w:t>PolyRoot is not one giant AI process. It is a 24/7 autonomous system with strict privilege separation: untrusted data and LLM reasoning are upstream; deterministic money authority and signing are downstream. The system needs no human approval for routine market execution, but no AI component can change its own hard financial authority.</w:t>
            </w:r>
          </w:p>
        </w:tc>
      </w:tr>
    </w:tbl>
    <w:tbl>
      <w:tblPr>
        <w:tblW w:type="auto" w:w="0"/>
        <w:jc w:val="center"/>
        <w:tblLook w:firstColumn="1" w:firstRow="1" w:lastColumn="0" w:lastRow="0" w:noHBand="0" w:noVBand="1" w:val="04A0"/>
      </w:tblPr>
      <w:tblGrid>
        <w:gridCol w:w="9936"/>
      </w:tblGrid>
      <w:tr>
        <w:trPr>
          <w:cantSplit/>
        </w:trPr>
        <w:tc>
          <w:tcPr>
            <w:tcW w:type="dxa" w:w="9936"/>
            <w:shd w:fill="F2F6F9"/>
            <w:tcMar>
              <w:top w:w="140" w:type="dxa"/>
              <w:start w:w="160" w:type="dxa"/>
              <w:bottom w:w="140" w:type="dxa"/>
              <w:end w:w="160" w:type="dxa"/>
            </w:tcMar>
            <w:tcBorders>
              <w:top w:val="single" w:sz="8" w:color="9EB8CB"/>
              <w:left w:val="single" w:sz="8" w:color="9EB8CB"/>
              <w:bottom w:val="single" w:sz="8" w:color="9EB8CB"/>
              <w:right w:val="single" w:sz="8" w:color="9EB8CB"/>
            </w:tcBorders>
          </w:tcPr>
          <w:p>
            <w:pPr>
              <w:jc w:val="left"/>
            </w:pPr>
            <w:r>
              <w:rPr>
                <w:rFonts w:ascii="Consolas" w:hAnsi="Consolas"/>
                <w:color w:val="233646"/>
                <w:sz w:val="15"/>
              </w:rPr>
              <w:t>OWNER / CONTROL UI</w:t>
              <w:br/>
            </w:r>
            <w:r>
              <w:rPr>
                <w:rFonts w:ascii="Consolas" w:hAnsi="Consolas"/>
                <w:color w:val="233646"/>
                <w:sz w:val="15"/>
              </w:rPr>
              <w:t xml:space="preserve">  commission Autonomy Charter | governance changes | observe / emergency revoke</w:t>
              <w:br/>
            </w:r>
            <w:r>
              <w:rPr>
                <w:rFonts w:ascii="Consolas" w:hAnsi="Consolas"/>
                <w:color w:val="233646"/>
                <w:sz w:val="15"/>
              </w:rPr>
              <w:t xml:space="preserve">                              |</w:t>
              <w:br/>
            </w:r>
            <w:r>
              <w:rPr>
                <w:rFonts w:ascii="Consolas" w:hAnsi="Consolas"/>
                <w:color w:val="233646"/>
                <w:sz w:val="15"/>
              </w:rPr>
              <w:t xml:space="preserve">                              v</w:t>
              <w:br/>
            </w:r>
            <w:r>
              <w:rPr>
                <w:rFonts w:ascii="Consolas" w:hAnsi="Consolas"/>
                <w:color w:val="233646"/>
                <w:sz w:val="15"/>
              </w:rPr>
              <w:t>+-------------------- 24/7 SUPERVISOR / EVENT BUS --------------------+</w:t>
              <w:br/>
            </w:r>
            <w:r>
              <w:rPr>
                <w:rFonts w:ascii="Consolas" w:hAnsi="Consolas"/>
                <w:color w:val="233646"/>
                <w:sz w:val="15"/>
              </w:rPr>
              <w:t>|                                                                    |</w:t>
              <w:br/>
            </w:r>
            <w:r>
              <w:rPr>
                <w:rFonts w:ascii="Consolas" w:hAnsi="Consolas"/>
                <w:color w:val="233646"/>
                <w:sz w:val="15"/>
              </w:rPr>
              <w:t>v                                                                    v</w:t>
              <w:br/>
            </w:r>
            <w:r>
              <w:rPr>
                <w:rFonts w:ascii="Consolas" w:hAnsi="Consolas"/>
                <w:color w:val="233646"/>
                <w:sz w:val="15"/>
              </w:rPr>
              <w:t>DATA / GRAPH                                                  RESEARCH QUARANTINE</w:t>
              <w:br/>
            </w:r>
            <w:r>
              <w:rPr>
                <w:rFonts w:ascii="Consolas" w:hAnsi="Consolas"/>
                <w:color w:val="233646"/>
                <w:sz w:val="15"/>
              </w:rPr>
              <w:t>markets/events/books/user stream                              web/news/primary data</w:t>
              <w:br/>
            </w:r>
            <w:r>
              <w:rPr>
                <w:rFonts w:ascii="Consolas" w:hAnsi="Consolas"/>
                <w:color w:val="233646"/>
                <w:sz w:val="15"/>
              </w:rPr>
              <w:t>fees/modes/rules/catalysts                                    SSRF/size/rights gates</w:t>
              <w:br/>
            </w:r>
            <w:r>
              <w:rPr>
                <w:rFonts w:ascii="Consolas" w:hAnsi="Consolas"/>
                <w:color w:val="233646"/>
                <w:sz w:val="15"/>
              </w:rPr>
              <w:t>|                                                                    |</w:t>
              <w:br/>
            </w:r>
            <w:r>
              <w:rPr>
                <w:rFonts w:ascii="Consolas" w:hAnsi="Consolas"/>
                <w:color w:val="233646"/>
                <w:sz w:val="15"/>
              </w:rPr>
              <w:t>+-----------------------------+--------------------------------------+</w:t>
              <w:br/>
            </w:r>
            <w:r>
              <w:rPr>
                <w:rFonts w:ascii="Consolas" w:hAnsi="Consolas"/>
                <w:color w:val="233646"/>
                <w:sz w:val="15"/>
              </w:rPr>
              <w:t xml:space="preserve">                              v</w:t>
              <w:br/>
            </w:r>
            <w:r>
              <w:rPr>
                <w:rFonts w:ascii="Consolas" w:hAnsi="Consolas"/>
                <w:color w:val="233646"/>
                <w:sz w:val="15"/>
              </w:rPr>
              <w:t>INTELLIGENCE: normalized evidence -&gt; component forecasts -&gt; ensemble/calibration</w:t>
              <w:br/>
            </w:r>
            <w:r>
              <w:rPr>
                <w:rFonts w:ascii="Consolas" w:hAnsi="Consolas"/>
                <w:color w:val="233646"/>
                <w:sz w:val="15"/>
              </w:rPr>
              <w:t xml:space="preserve">                              |</w:t>
              <w:br/>
            </w:r>
            <w:r>
              <w:rPr>
                <w:rFonts w:ascii="Consolas" w:hAnsi="Consolas"/>
                <w:color w:val="233646"/>
                <w:sz w:val="15"/>
              </w:rPr>
              <w:t xml:space="preserve">                              v</w:t>
              <w:br/>
            </w:r>
            <w:r>
              <w:rPr>
                <w:rFonts w:ascii="Consolas" w:hAnsi="Consolas"/>
                <w:color w:val="233646"/>
                <w:sz w:val="15"/>
              </w:rPr>
              <w:t>SANDBOXED STRATEGY RUNTIME -&gt; Proposal / TradeIntent</w:t>
              <w:br/>
            </w:r>
            <w:r>
              <w:rPr>
                <w:rFonts w:ascii="Consolas" w:hAnsi="Consolas"/>
                <w:color w:val="233646"/>
                <w:sz w:val="15"/>
              </w:rPr>
              <w:t xml:space="preserve">                              |</w:t>
              <w:br/>
            </w:r>
            <w:r>
              <w:rPr>
                <w:rFonts w:ascii="Consolas" w:hAnsi="Consolas"/>
                <w:color w:val="233646"/>
                <w:sz w:val="15"/>
              </w:rPr>
              <w:t xml:space="preserve">                              v</w:t>
              <w:br/>
            </w:r>
            <w:r>
              <w:rPr>
                <w:rFonts w:ascii="Consolas" w:hAnsi="Consolas"/>
                <w:color w:val="233646"/>
                <w:sz w:val="15"/>
              </w:rPr>
              <w:t>DETERMINISTIC MONEY KERNEL</w:t>
              <w:br/>
            </w:r>
            <w:r>
              <w:rPr>
                <w:rFonts w:ascii="Consolas" w:hAnsi="Consolas"/>
                <w:color w:val="233646"/>
                <w:sz w:val="15"/>
              </w:rPr>
              <w:t xml:space="preserve">  eligibility -&gt; economics -&gt; sizing -&gt; graph/portfolio risk -&gt; atomic reservation</w:t>
              <w:br/>
            </w:r>
            <w:r>
              <w:rPr>
                <w:rFonts w:ascii="Consolas" w:hAnsi="Consolas"/>
                <w:color w:val="233646"/>
                <w:sz w:val="15"/>
              </w:rPr>
              <w:t xml:space="preserve">                              | ExecutionPermit</w:t>
              <w:br/>
            </w:r>
            <w:r>
              <w:rPr>
                <w:rFonts w:ascii="Consolas" w:hAnsi="Consolas"/>
                <w:color w:val="233646"/>
                <w:sz w:val="15"/>
              </w:rPr>
              <w:t xml:space="preserve">                              v</w:t>
              <w:br/>
            </w:r>
            <w:r>
              <w:rPr>
                <w:rFonts w:ascii="Consolas" w:hAnsi="Consolas"/>
                <w:color w:val="233646"/>
                <w:sz w:val="15"/>
              </w:rPr>
              <w:t>EXECUTOR / VENUE ADAPTER -&gt; typed sign request -&gt; SIGNER VAULT -&gt; POLYMARKET</w:t>
              <w:br/>
            </w:r>
            <w:r>
              <w:rPr>
                <w:rFonts w:ascii="Consolas" w:hAnsi="Consolas"/>
                <w:color w:val="233646"/>
                <w:sz w:val="15"/>
              </w:rPr>
              <w:t xml:space="preserve">  submit | cancel/replace | heartbeat | rate governor | settle | reconcile</w:t>
              <w:br/>
            </w:r>
            <w:r>
              <w:rPr>
                <w:rFonts w:ascii="Consolas" w:hAnsi="Consolas"/>
                <w:color w:val="233646"/>
                <w:sz w:val="15"/>
              </w:rPr>
              <w:t xml:space="preserve">                              |</w:t>
              <w:br/>
            </w:r>
            <w:r>
              <w:rPr>
                <w:rFonts w:ascii="Consolas" w:hAnsi="Consolas"/>
                <w:color w:val="233646"/>
                <w:sz w:val="15"/>
              </w:rPr>
              <w:t xml:space="preserve">                              v</w:t>
              <w:br/>
            </w:r>
            <w:r>
              <w:rPr>
                <w:rFonts w:ascii="Consolas" w:hAnsi="Consolas"/>
                <w:color w:val="233646"/>
                <w:sz w:val="15"/>
              </w:rPr>
              <w:t>POSTGRESQL EVENT LEDGER / OUTBOX / EXPERIMENTS / READ MODELS</w:t>
            </w:r>
          </w:p>
        </w:tc>
      </w:tr>
    </w:tbl>
    <w:p>
      <w:pPr>
        <w:pStyle w:val="Heading1"/>
        <w:keepNext/>
      </w:pPr>
      <w:r>
        <w:t>B1. Fork Disposition — CloddsBot Is Raw Material, Not the Runtime Authority</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95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Upstream area</w:t>
            </w:r>
          </w:p>
        </w:tc>
        <w:tc>
          <w:tcPr>
            <w:tcW w:type="dxa" w:w="1656"/>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Disposition</w:t>
            </w:r>
          </w:p>
        </w:tc>
        <w:tc>
          <w:tcPr>
            <w:tcW w:type="dxa" w:w="576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PolyRoot rule</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package.json / dependency graph</w:t>
            </w:r>
          </w:p>
        </w:tc>
        <w:tc>
          <w:tcPr>
            <w:tcW w:type="dxa" w:w="16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REDUCE</w:t>
            </w:r>
          </w:p>
        </w:tc>
        <w:tc>
          <w:tcPr>
            <w:tcW w:type="dxa" w:w="576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Keep MIT notice and required runtime; remove unrelated venues/DeFi/messaging/tools from LIVE image. Review postinstall/native hooks.</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src/feeds/polymarket/*</w:t>
            </w:r>
          </w:p>
        </w:tc>
        <w:tc>
          <w:tcPr>
            <w:tcW w:type="dxa" w:w="16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ADAPT</w:t>
            </w:r>
          </w:p>
        </w:tc>
        <w:tc>
          <w:tcPr>
            <w:tcW w:type="dxa" w:w="576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Reuse useful parsing/stream concepts behind canonical MarketDataAdapter; revalidate current CLOB V2 schemas/freshness.</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src/execution/index.ts</w:t>
            </w:r>
          </w:p>
        </w:tc>
        <w:tc>
          <w:tcPr>
            <w:tcW w:type="dxa" w:w="16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REPLACE HOT PATH</w:t>
            </w:r>
          </w:p>
        </w:tc>
        <w:tc>
          <w:tcPr>
            <w:tcW w:type="dxa" w:w="576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No broad direct signer/retry path. New executor uses durable intent/permit/unknown-state protocol.</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src/utils/polymarket-order-signer.ts</w:t>
            </w:r>
          </w:p>
        </w:tc>
        <w:tc>
          <w:tcPr>
            <w:tcW w:type="dxa" w:w="16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RETIRE / QUARANTINE</w:t>
            </w:r>
          </w:p>
        </w:tc>
        <w:tc>
          <w:tcPr>
            <w:tcW w:type="dxa" w:w="576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Pinned source lacks wallet type 3/POLY_1271 support. Official SDK/wallet adapter becomes default; manual signer not production authority.</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src/utils/polymarket-setup.ts</w:t>
            </w:r>
          </w:p>
        </w:tc>
        <w:tc>
          <w:tcPr>
            <w:tcW w:type="dxa" w:w="16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ADAPT</w:t>
            </w:r>
          </w:p>
        </w:tc>
        <w:tc>
          <w:tcPr>
            <w:tcW w:type="dxa" w:w="576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Approval/address helpers only after current pUSD/deposit-wallet/contract registry tests.</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src/feeds/polymarket/user-ws.ts</w:t>
            </w:r>
          </w:p>
        </w:tc>
        <w:tc>
          <w:tcPr>
            <w:tcW w:type="dxa" w:w="16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ADAPT</w:t>
            </w:r>
          </w:p>
        </w:tc>
        <w:tc>
          <w:tcPr>
            <w:tcW w:type="dxa" w:w="576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Raw order/trade events retained but reconciliation remains authoritative.</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src/risk/engine.ts</w:t>
            </w:r>
          </w:p>
        </w:tc>
        <w:tc>
          <w:tcPr>
            <w:tcW w:type="dxa" w:w="16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ADAPT CONCEPTS</w:t>
            </w:r>
          </w:p>
        </w:tc>
        <w:tc>
          <w:tcPr>
            <w:tcW w:type="dxa" w:w="576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Reuse check taxonomy/observability concepts; rewrite around durable ledger snapshot, atomic reservation and graph-aware caps.</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src/risk/var.ts / stress.ts / volatility.ts</w:t>
            </w:r>
          </w:p>
        </w:tc>
        <w:tc>
          <w:tcPr>
            <w:tcW w:type="dxa" w:w="16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RESEARCH / OPTIONAL</w:t>
            </w:r>
          </w:p>
        </w:tc>
        <w:tc>
          <w:tcPr>
            <w:tcW w:type="dxa" w:w="576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Use as analytics/protective signals only after validation; never bypass hard caps.</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src/trading/kelly.ts</w:t>
            </w:r>
          </w:p>
        </w:tc>
        <w:tc>
          <w:tcPr>
            <w:tcW w:type="dxa" w:w="16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REWRITE</w:t>
            </w:r>
          </w:p>
        </w:tc>
        <w:tc>
          <w:tcPr>
            <w:tcW w:type="dxa" w:w="576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Remove verbal-confidence and win-streak sizing. Use calibrated payoff distributions + capped fractional Kelly only after empirical gate.</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src/trading/safety.ts / circuit breakers</w:t>
            </w:r>
          </w:p>
        </w:tc>
        <w:tc>
          <w:tcPr>
            <w:tcW w:type="dxa" w:w="16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ADAPT</w:t>
            </w:r>
          </w:p>
        </w:tc>
        <w:tc>
          <w:tcPr>
            <w:tcW w:type="dxa" w:w="576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Fold into Money Kernel protective states and durable latches.</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src/agents/tool-registry.ts</w:t>
            </w:r>
          </w:p>
        </w:tc>
        <w:tc>
          <w:tcPr>
            <w:tcW w:type="dxa" w:w="16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REPLACE FOR PRODUCTION</w:t>
            </w:r>
          </w:p>
        </w:tc>
        <w:tc>
          <w:tcPr>
            <w:tcW w:type="dxa" w:w="576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Existing 630+ dynamic tool universe is incompatible with least privilege. PolyRoot intelligence gets explicit read/research/propose capabilities only.</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src/providers/index.ts</w:t>
            </w:r>
          </w:p>
        </w:tc>
        <w:tc>
          <w:tcPr>
            <w:tcW w:type="dxa" w:w="16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ADAPT</w:t>
            </w:r>
          </w:p>
        </w:tc>
        <w:tc>
          <w:tcPr>
            <w:tcW w:type="dxa" w:w="576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Reuse provider routing/retry/cost ideas; require structured output, capability probe, abort, lineage, rate card and fallback isolation.</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src/skills/bundled/trading-polymarket/*</w:t>
            </w:r>
          </w:p>
        </w:tc>
        <w:tc>
          <w:tcPr>
            <w:tcW w:type="dxa" w:w="16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REWIRE</w:t>
            </w:r>
          </w:p>
        </w:tc>
        <w:tc>
          <w:tcPr>
            <w:tcW w:type="dxa" w:w="576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No direct trading tool; commands create proposals/control requests only.</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src/strategies/hft-divergence/*</w:t>
            </w:r>
          </w:p>
        </w:tc>
        <w:tc>
          <w:tcPr>
            <w:tcW w:type="dxa" w:w="16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QUARANTINE</w:t>
            </w:r>
          </w:p>
        </w:tc>
        <w:tc>
          <w:tcPr>
            <w:tcW w:type="dxa" w:w="576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Not part of first LIVE release; any future use must satisfy its own latency/execution gate.</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src/arbitrage/* / opportunity executor</w:t>
            </w:r>
          </w:p>
        </w:tc>
        <w:tc>
          <w:tcPr>
            <w:tcW w:type="dxa" w:w="16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RESEARCH ONLY</w:t>
            </w:r>
          </w:p>
        </w:tc>
        <w:tc>
          <w:tcPr>
            <w:tcW w:type="dxa" w:w="576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No direct execution path; structural market-graph strategy is rebuilt under Money Kernel.</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gateway/control/risk routes</w:t>
            </w:r>
          </w:p>
        </w:tc>
        <w:tc>
          <w:tcPr>
            <w:tcW w:type="dxa" w:w="16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HARDEN</w:t>
            </w:r>
          </w:p>
        </w:tc>
        <w:tc>
          <w:tcPr>
            <w:tcW w:type="dxa" w:w="576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Owner authentication/read models/control commands only; no secret or financial DB writer.</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SQLite/chat persistence</w:t>
            </w:r>
          </w:p>
        </w:tc>
        <w:tc>
          <w:tcPr>
            <w:tcW w:type="dxa" w:w="16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NON-FINANCIAL ONLY</w:t>
            </w:r>
          </w:p>
        </w:tc>
        <w:tc>
          <w:tcPr>
            <w:tcW w:type="dxa" w:w="576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Cannot contain authoritative balances/orders/mandates/reservations. PostgreSQL is sole financial truth.</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Dockerfile / compose</w:t>
            </w:r>
          </w:p>
        </w:tc>
        <w:tc>
          <w:tcPr>
            <w:tcW w:type="dxa" w:w="16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HARDEN</w:t>
            </w:r>
          </w:p>
        </w:tc>
        <w:tc>
          <w:tcPr>
            <w:tcW w:type="dxa" w:w="576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Role-separated containers, read-only filesystems where feasible, private networks, no Docker socket, secret mounts, limits.</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BullMQ/Redis and optional infra</w:t>
            </w:r>
          </w:p>
        </w:tc>
        <w:tc>
          <w:tcPr>
            <w:tcW w:type="dxa" w:w="16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REMOVE v1 UNLESS PROFILED</w:t>
            </w:r>
          </w:p>
        </w:tc>
        <w:tc>
          <w:tcPr>
            <w:tcW w:type="dxa" w:w="576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PostgreSQL outbox/jobs first; add another stateful component only with measured need.</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auto-redeem / settlement helpers</w:t>
            </w:r>
          </w:p>
        </w:tc>
        <w:tc>
          <w:tcPr>
            <w:tcW w:type="dxa" w:w="16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REWRITE</w:t>
            </w:r>
          </w:p>
        </w:tc>
        <w:tc>
          <w:tcPr>
            <w:tcW w:type="dxa" w:w="576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Redeem only after finality, permission and confirmed transaction, through typed executor/signer flow.</w:t>
            </w:r>
          </w:p>
        </w:tc>
      </w:tr>
    </w:tbl>
    <w:p>
      <w:pPr>
        <w:spacing w:after="0"/>
      </w:pPr>
    </w:p>
    <w:p>
      <w:pPr>
        <w:pStyle w:val="Heading1"/>
        <w:keepNext/>
      </w:pPr>
      <w:r>
        <w:t>B2. Process and Trust Boundaries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Process / role</w:t>
            </w:r>
          </w:p>
        </w:tc>
        <w:tc>
          <w:tcPr>
            <w:tcW w:type="dxa" w:w="432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Can do</w:t>
            </w:r>
          </w:p>
        </w:tc>
        <w:tc>
          <w:tcPr>
            <w:tcW w:type="dxa" w:w="396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Cannot do</w:t>
            </w:r>
          </w:p>
        </w:tc>
      </w:tr>
      <w:tr>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Control Gateway</w:t>
            </w:r>
          </w:p>
        </w:tc>
        <w:tc>
          <w:tcPr>
            <w:tcW w:type="dxa" w:w="43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Authenticate owner; write governance command inbox; read redacted projections.</w:t>
            </w:r>
          </w:p>
        </w:tc>
        <w:tc>
          <w:tcPr>
            <w:tcW w:type="dxa" w:w="396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Hold trading keys; directly write ledger/reservation; call venue financial endpoint.</w:t>
            </w:r>
          </w:p>
        </w:tc>
      </w:tr>
      <w:tr>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Market/Data</w:t>
            </w:r>
          </w:p>
        </w:tc>
        <w:tc>
          <w:tcPr>
            <w:tcW w:type="dxa" w:w="43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Read public market/stream/metadata; build canonical snapshots/graph.</w:t>
            </w:r>
          </w:p>
        </w:tc>
        <w:tc>
          <w:tcPr>
            <w:tcW w:type="dxa" w:w="396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Sign, trade, mutate policy.</w:t>
            </w:r>
          </w:p>
        </w:tc>
      </w:tr>
      <w:tr>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Research Quarantine</w:t>
            </w:r>
          </w:p>
        </w:tc>
        <w:tc>
          <w:tcPr>
            <w:tcW w:type="dxa" w:w="43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Fetch allowed external content; normalize evidence; emit provenance.</w:t>
            </w:r>
          </w:p>
        </w:tc>
        <w:tc>
          <w:tcPr>
            <w:tcW w:type="dxa" w:w="396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Access signer, financial DB writer, shell on host, private-network metadata, arbitrary egress.</w:t>
            </w:r>
          </w:p>
        </w:tc>
      </w:tr>
      <w:tr>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Intelligence</w:t>
            </w:r>
          </w:p>
        </w:tc>
        <w:tc>
          <w:tcPr>
            <w:tcW w:type="dxa" w:w="43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Read normalized evidence/market snapshots; produce structured forecasts.</w:t>
            </w:r>
          </w:p>
        </w:tc>
        <w:tc>
          <w:tcPr>
            <w:tcW w:type="dxa" w:w="396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Direct financial call, secret, arbitrary SQL/shell, policy mutation.</w:t>
            </w:r>
          </w:p>
        </w:tc>
      </w:tr>
      <w:tr>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Strategy Sandbox</w:t>
            </w:r>
          </w:p>
        </w:tc>
        <w:tc>
          <w:tcPr>
            <w:tcW w:type="dxa" w:w="43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Read validated forecast/graph/economics; propose desired exposure.</w:t>
            </w:r>
          </w:p>
        </w:tc>
        <w:tc>
          <w:tcPr>
            <w:tcW w:type="dxa" w:w="396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Signer, secret, host env, raw financial SQL, governance.</w:t>
            </w:r>
          </w:p>
        </w:tc>
      </w:tr>
      <w:tr>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Money Kernel</w:t>
            </w:r>
          </w:p>
        </w:tc>
        <w:tc>
          <w:tcPr>
            <w:tcW w:type="dxa" w:w="43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Read durable financial projection/policy; authorize/reject; reserve exact assets.</w:t>
            </w:r>
          </w:p>
        </w:tc>
        <w:tc>
          <w:tcPr>
            <w:tcW w:type="dxa" w:w="396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Browse web, call LLM, sign arbitrary transactions.</w:t>
            </w:r>
          </w:p>
        </w:tc>
      </w:tr>
      <w:tr>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Executor</w:t>
            </w:r>
          </w:p>
        </w:tc>
        <w:tc>
          <w:tcPr>
            <w:tcW w:type="dxa" w:w="43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Consume durable permit; build/submit/cancel/reconcile typed venue actions.</w:t>
            </w:r>
          </w:p>
        </w:tc>
        <w:tc>
          <w:tcPr>
            <w:tcW w:type="dxa" w:w="396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Increase policy, execute arbitrary transfer/contract call.</w:t>
            </w:r>
          </w:p>
        </w:tc>
      </w:tr>
      <w:tr>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Signer Vault</w:t>
            </w:r>
          </w:p>
        </w:tc>
        <w:tc>
          <w:tcPr>
            <w:tcW w:type="dxa" w:w="43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Sign strictly typed allowlisted action bound to permit/policy/chain/amount.</w:t>
            </w:r>
          </w:p>
        </w:tc>
        <w:tc>
          <w:tcPr>
            <w:tcW w:type="dxa" w:w="396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General network/browser/shell/LLM; policy or market reasoning.</w:t>
            </w:r>
          </w:p>
        </w:tc>
      </w:tr>
      <w:tr>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Ledger/Reconciler</w:t>
            </w:r>
          </w:p>
        </w:tc>
        <w:tc>
          <w:tcPr>
            <w:tcW w:type="dxa" w:w="43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Append/post financial state and corrections; rebuild projections.</w:t>
            </w:r>
          </w:p>
        </w:tc>
        <w:tc>
          <w:tcPr>
            <w:tcW w:type="dxa" w:w="396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Create strategy ideas or secret-bearing prompts.</w:t>
            </w:r>
          </w:p>
        </w:tc>
      </w:tr>
    </w:tbl>
    <w:p>
      <w:pPr>
        <w:spacing w:after="0"/>
      </w:pPr>
    </w:p>
    <w:p>
      <w:pPr>
        <w:pStyle w:val="Heading1"/>
        <w:keepNext/>
      </w:pPr>
      <w:r>
        <w:t>B3. 24/7 Runtime, Autonomy and Recovery State Machines</w:t>
      </w:r>
    </w:p>
    <w:p>
      <w:pPr>
        <w:pStyle w:val="Heading2"/>
        <w:keepNext/>
      </w:pPr>
      <w:r>
        <w:t>B3.1 Runtime supervisor</w:t>
      </w:r>
    </w:p>
    <w:p>
      <w:pPr>
        <w:spacing w:after="64"/>
        <w:ind w:left="230" w:hanging="173"/>
      </w:pPr>
      <w:r>
        <w:t>• Supervisor is independent of the LLM loop. It owns service liveness, schedules, backpressure, incident state and safe restart orchestration.</w:t>
      </w:r>
    </w:p>
    <w:p>
      <w:pPr>
        <w:spacing w:after="64"/>
        <w:ind w:left="230" w:hanging="173"/>
      </w:pPr>
      <w:r>
        <w:t>• Executor authority is fenced by durable wallet lease_epoch. A replacement cannot submit until the previous epoch is invalid and in-flight/unknown obligations are reconciled.</w:t>
      </w:r>
    </w:p>
    <w:p>
      <w:pPr>
        <w:spacing w:after="64"/>
        <w:ind w:left="230" w:hanging="173"/>
      </w:pPr>
      <w:r>
        <w:t>• Autonomous cycle triggers from periodic discovery plus event-driven catalysts, book/price shocks, rule/metadata changes, user-stream events and scheduled deadlines.</w:t>
      </w:r>
    </w:p>
    <w:p>
      <w:pPr>
        <w:spacing w:after="64"/>
        <w:ind w:left="230" w:hanging="173"/>
      </w:pPr>
      <w:r>
        <w:t>• Research starvation/provider failure degrades intelligence; it never disables heartbeat, cancellation, reconciliation, risk monitoring or settlement management.</w:t>
      </w:r>
    </w:p>
    <w:p>
      <w:pPr>
        <w:pStyle w:val="Heading2"/>
        <w:keepNext/>
      </w:pPr>
      <w:r>
        <w:t>B3.2 Runtime transitions</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656"/>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From</w:t>
            </w:r>
          </w:p>
        </w:tc>
        <w:tc>
          <w:tcPr>
            <w:tcW w:type="dxa" w:w="302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Trigger</w:t>
            </w:r>
          </w:p>
        </w:tc>
        <w:tc>
          <w:tcPr>
            <w:tcW w:type="dxa" w:w="194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To</w:t>
            </w:r>
          </w:p>
        </w:tc>
        <w:tc>
          <w:tcPr>
            <w:tcW w:type="dxa" w:w="374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Automatic action / resume rule</w:t>
            </w:r>
          </w:p>
        </w:tc>
      </w:tr>
      <w:tr>
        <w:tc>
          <w:tcPr>
            <w:tcW w:type="dxa" w:w="16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BOOTSTRAPPING</w:t>
            </w:r>
          </w:p>
        </w:tc>
        <w:tc>
          <w:tcPr>
            <w:tcW w:type="dxa" w:w="302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manifest/clock/credentials loaded</w:t>
            </w:r>
          </w:p>
        </w:tc>
        <w:tc>
          <w:tcPr>
            <w:tcW w:type="dxa" w:w="19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RECOVERING</w:t>
            </w:r>
          </w:p>
        </w:tc>
        <w:tc>
          <w:tcPr>
            <w:tcW w:type="dxa" w:w="37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Acquire lease, rebuild projections, fetch venue state, classify unknowns.</w:t>
            </w:r>
          </w:p>
        </w:tc>
      </w:tr>
      <w:tr>
        <w:tc>
          <w:tcPr>
            <w:tcW w:type="dxa" w:w="16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RECOVERING</w:t>
            </w:r>
          </w:p>
        </w:tc>
        <w:tc>
          <w:tcPr>
            <w:tcW w:type="dxa" w:w="302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all blockers reconciled</w:t>
            </w:r>
          </w:p>
        </w:tc>
        <w:tc>
          <w:tcPr>
            <w:tcW w:type="dxa" w:w="19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ACTIVE</w:t>
            </w:r>
          </w:p>
        </w:tc>
        <w:tc>
          <w:tcPr>
            <w:tcW w:type="dxa" w:w="37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Arm streams/heartbeat/rate governor; begin autonomous loop.</w:t>
            </w:r>
          </w:p>
        </w:tc>
      </w:tr>
      <w:tr>
        <w:tc>
          <w:tcPr>
            <w:tcW w:type="dxa" w:w="16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ACTIVE</w:t>
            </w:r>
          </w:p>
        </w:tc>
        <w:tc>
          <w:tcPr>
            <w:tcW w:type="dxa" w:w="302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data/provider/venue degradation</w:t>
            </w:r>
          </w:p>
        </w:tc>
        <w:tc>
          <w:tcPr>
            <w:tcW w:type="dxa" w:w="19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DEGRADED</w:t>
            </w:r>
          </w:p>
        </w:tc>
        <w:tc>
          <w:tcPr>
            <w:tcW w:type="dxa" w:w="37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Reduce/stop entries by capability; maintain existing risk; auto-return when healthy.</w:t>
            </w:r>
          </w:p>
        </w:tc>
      </w:tr>
      <w:tr>
        <w:tc>
          <w:tcPr>
            <w:tcW w:type="dxa" w:w="16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ACTIVE/DEGRADED</w:t>
            </w:r>
          </w:p>
        </w:tc>
        <w:tc>
          <w:tcPr>
            <w:tcW w:type="dxa" w:w="302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loss/fault/liquidity policy threshold</w:t>
            </w:r>
          </w:p>
        </w:tc>
        <w:tc>
          <w:tcPr>
            <w:tcW w:type="dxa" w:w="19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PROTECTIVE_PAUSE</w:t>
            </w:r>
          </w:p>
        </w:tc>
        <w:tc>
          <w:tcPr>
            <w:tcW w:type="dxa" w:w="37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Cancel entry orders where safe; keep reconcile; resume only by preconfigured deterministic criteria.</w:t>
            </w:r>
          </w:p>
        </w:tc>
      </w:tr>
      <w:tr>
        <w:tc>
          <w:tcPr>
            <w:tcW w:type="dxa" w:w="16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any</w:t>
            </w:r>
          </w:p>
        </w:tc>
        <w:tc>
          <w:tcPr>
            <w:tcW w:type="dxa" w:w="302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geoblock/access hard block</w:t>
            </w:r>
          </w:p>
        </w:tc>
        <w:tc>
          <w:tcPr>
            <w:tcW w:type="dxa" w:w="19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ACCESS_BLOCKED</w:t>
            </w:r>
          </w:p>
        </w:tc>
        <w:tc>
          <w:tcPr>
            <w:tcW w:type="dxa" w:w="37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No entries; only permitted close/cancel; do not location-hop.</w:t>
            </w:r>
          </w:p>
        </w:tc>
      </w:tr>
      <w:tr>
        <w:tc>
          <w:tcPr>
            <w:tcW w:type="dxa" w:w="16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any</w:t>
            </w:r>
          </w:p>
        </w:tc>
        <w:tc>
          <w:tcPr>
            <w:tcW w:type="dxa" w:w="302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secret compromise / integrity failure / hard drawdown</w:t>
            </w:r>
          </w:p>
        </w:tc>
        <w:tc>
          <w:tcPr>
            <w:tcW w:type="dxa" w:w="19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EMERGENCY_HALT</w:t>
            </w:r>
          </w:p>
        </w:tc>
        <w:tc>
          <w:tcPr>
            <w:tcW w:type="dxa" w:w="37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Stop signing, preserve state, alert; requires governance/security recovery because automated self-fix would cross authority boundary.</w:t>
            </w:r>
          </w:p>
        </w:tc>
      </w:tr>
    </w:tbl>
    <w:p>
      <w:pPr>
        <w:spacing w:after="0"/>
      </w:pPr>
    </w:p>
    <w:p>
      <w:pPr>
        <w:pStyle w:val="Heading1"/>
        <w:keepNext/>
      </w:pPr>
      <w:r>
        <w:t>B4. Canonical Domain Contracts</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2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Object</w:t>
            </w:r>
          </w:p>
        </w:tc>
        <w:tc>
          <w:tcPr>
            <w:tcW w:type="dxa" w:w="806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Required fields / semantics</w:t>
            </w:r>
          </w:p>
        </w:tc>
      </w:tr>
      <w:tr>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AutonomyCharter</w:t>
            </w:r>
          </w:p>
        </w:tc>
        <w:tc>
          <w:tcPr>
            <w:tcW w:type="dxa" w:w="806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charter_id, wallet_id, release_manifest, policy_version/hash, capital ceiling, strategy/version allowlist, market-class allowlist, allowed actions, risk limits/tiers, auto-recovery rules, effective/expiry/revocation, commissioning actor/proof.</w:t>
            </w:r>
          </w:p>
        </w:tc>
      </w:tr>
      <w:tr>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MarketSnapshot</w:t>
            </w:r>
          </w:p>
        </w:tc>
        <w:tc>
          <w:tcPr>
            <w:tcW w:type="dxa" w:w="806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event/market/condition/question IDs, token/outcome map, chain/collateral, rules_hash, fee/tick/min-size/status, venue_mode, quote/book hash, source_at/received_at, graph node/version.</w:t>
            </w:r>
          </w:p>
        </w:tc>
      </w:tr>
      <w:tr>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EvidenceItem</w:t>
            </w:r>
          </w:p>
        </w:tc>
        <w:tc>
          <w:tcPr>
            <w:tcW w:type="dxa" w:w="806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id, source URL/publisher/family/authority, published_at?, fetched_at, available_at, content hash, claim/facts, relevance, rights/retention policy, untrusted flag.</w:t>
            </w:r>
          </w:p>
        </w:tc>
      </w:tr>
      <w:tr>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Forecast</w:t>
            </w:r>
          </w:p>
        </w:tc>
        <w:tc>
          <w:tcPr>
            <w:tcW w:type="dxa" w:w="806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forecast_id, market/rules/graph version, p_raw/component forecasts, aggregate/calibrated/conservative probability, evidence/counterevidence, assumptions, invalidators, horizon, valid_until, lineage, abstain_reason.</w:t>
            </w:r>
          </w:p>
        </w:tc>
      </w:tr>
      <w:tr>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StrategyProposal</w:t>
            </w:r>
          </w:p>
        </w:tc>
        <w:tc>
          <w:tcPr>
            <w:tcW w:type="dxa" w:w="806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proposal_id, strategy/version/params, forecast/graph refs, target exposure, entry/exit thesis, cost assumptions, expected edge distribution, expiry, reason/no-trade code.</w:t>
            </w:r>
          </w:p>
        </w:tc>
      </w:tr>
      <w:tr>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TradeIntent</w:t>
            </w:r>
          </w:p>
        </w:tc>
        <w:tc>
          <w:tcPr>
            <w:tcW w:type="dxa" w:w="806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intent_id, dedupe_key, purpose ENTRY/REDUCE/EXIT/REBALANCE, token/side, desired_qty/notional, limit/deadline, quote/rules/policy refs, strategy/forecast refs. No credentials/arbitrary calldata.</w:t>
            </w:r>
          </w:p>
        </w:tc>
      </w:tr>
      <w:tr>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RiskDecision/ExecutionPermit</w:t>
            </w:r>
          </w:p>
        </w:tc>
        <w:tc>
          <w:tcPr>
            <w:tcW w:type="dxa" w:w="806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decision_id, intent, ledger/policy/quote/lease versions, max qty/cash, exact reservation IDs/asset units, allowed order style, venue mode, reasons, issued/expires.</w:t>
            </w:r>
          </w:p>
        </w:tc>
      </w:tr>
      <w:tr>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Order/Trade/Settlement</w:t>
            </w:r>
          </w:p>
        </w:tc>
        <w:tc>
          <w:tcPr>
            <w:tcW w:type="dxa" w:w="806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raw venue status + internal monotonic status, IDs/hashes, requested/filled/remaining quantities, fee/rebate, timestamps, tx receipt, correction links.</w:t>
            </w:r>
          </w:p>
        </w:tc>
      </w:tr>
    </w:tbl>
    <w:p>
      <w:pPr>
        <w:spacing w:after="0"/>
      </w:pPr>
    </w:p>
    <w:p>
      <w:pPr>
        <w:pStyle w:val="BodySmall"/>
      </w:pPr>
      <w:r>
        <w:rPr>
          <w:b/>
        </w:rPr>
        <w:t xml:space="preserve">Serialization rule: </w:t>
      </w:r>
      <w:r>
        <w:t>schema_version on every persisted/exchanged object; financial decimal values serialized as strings or exact typed values; token/condition IDs remain opaque strings; unknown fields cannot expand capabilities.</w:t>
      </w:r>
    </w:p>
    <w:p>
      <w:pPr>
        <w:pStyle w:val="Heading1"/>
        <w:keepNext/>
      </w:pPr>
      <w:r>
        <w:t>B5. Wallet, Credentials and Signer Vault</w:t>
      </w:r>
    </w:p>
    <w:p>
      <w:pPr>
        <w:pStyle w:val="Heading2"/>
        <w:keepNext/>
      </w:pPr>
      <w:r>
        <w:t>B5.1 Identity and account setup</w:t>
      </w:r>
    </w:p>
    <w:tbl>
      <w:tblPr>
        <w:tblW w:type="auto" w:w="0"/>
        <w:jc w:val="center"/>
        <w:tblLook w:firstColumn="1" w:firstRow="1" w:lastColumn="0" w:lastRow="0" w:noHBand="0" w:noVBand="1" w:val="04A0"/>
      </w:tblPr>
      <w:tblGrid>
        <w:gridCol w:w="9936"/>
      </w:tblGrid>
      <w:tr>
        <w:trPr>
          <w:cantSplit/>
        </w:trPr>
        <w:tc>
          <w:tcPr>
            <w:tcW w:type="dxa" w:w="9936"/>
            <w:shd w:fill="F2F6F9"/>
            <w:tcMar>
              <w:top w:w="140" w:type="dxa"/>
              <w:start w:w="160" w:type="dxa"/>
              <w:bottom w:w="140" w:type="dxa"/>
              <w:end w:w="160" w:type="dxa"/>
            </w:tcMar>
            <w:tcBorders>
              <w:top w:val="single" w:sz="8" w:color="9EB8CB"/>
              <w:left w:val="single" w:sz="8" w:color="9EB8CB"/>
              <w:bottom w:val="single" w:sz="8" w:color="9EB8CB"/>
              <w:right w:val="single" w:sz="8" w:color="9EB8CB"/>
            </w:tcBorders>
          </w:tcPr>
          <w:p>
            <w:pPr>
              <w:jc w:val="left"/>
            </w:pPr>
            <w:r>
              <w:rPr>
                <w:rFonts w:ascii="Consolas" w:hAnsi="Consolas"/>
                <w:color w:val="233646"/>
                <w:sz w:val="15"/>
              </w:rPr>
              <w:t>SIGNER (owner-controlled key)</w:t>
              <w:br/>
            </w:r>
            <w:r>
              <w:rPr>
                <w:rFonts w:ascii="Consolas" w:hAnsi="Consolas"/>
                <w:color w:val="233646"/>
                <w:sz w:val="15"/>
              </w:rPr>
              <w:t xml:space="preserve">        | L1 ownership signature</w:t>
              <w:br/>
            </w:r>
            <w:r>
              <w:rPr>
                <w:rFonts w:ascii="Consolas" w:hAnsi="Consolas"/>
                <w:color w:val="233646"/>
                <w:sz w:val="15"/>
              </w:rPr>
              <w:t xml:space="preserve">        +--&gt; CLOB L2 API credentials</w:t>
              <w:br/>
            </w:r>
            <w:r>
              <w:rPr>
                <w:rFonts w:ascii="Consolas" w:hAnsi="Consolas"/>
                <w:color w:val="233646"/>
                <w:sz w:val="15"/>
              </w:rPr>
              <w:t xml:space="preserve">        |</w:t>
              <w:br/>
            </w:r>
            <w:r>
              <w:rPr>
                <w:rFonts w:ascii="Consolas" w:hAnsi="Consolas"/>
                <w:color w:val="233646"/>
                <w:sz w:val="15"/>
              </w:rPr>
              <w:t xml:space="preserve">        +--&gt; Deposit Wallet / account wallet (wallet type verified)</w:t>
              <w:br/>
            </w:r>
            <w:r>
              <w:rPr>
                <w:rFonts w:ascii="Consolas" w:hAnsi="Consolas"/>
                <w:color w:val="233646"/>
                <w:sz w:val="15"/>
              </w:rPr>
              <w:t xml:space="preserve">                 | pUSD + outcome tokens + approvals</w:t>
              <w:br/>
            </w:r>
            <w:r>
              <w:rPr>
                <w:rFonts w:ascii="Consolas" w:hAnsi="Consolas"/>
                <w:color w:val="233646"/>
                <w:sz w:val="15"/>
              </w:rPr>
              <w:t xml:space="preserve">                 +--&gt; gasless relayer operations when explicitly scoped</w:t>
            </w:r>
          </w:p>
        </w:tc>
      </w:tr>
    </w:tbl>
    <w:p>
      <w:pPr>
        <w:spacing w:after="64"/>
        <w:ind w:left="230" w:hanging="173"/>
      </w:pPr>
      <w:r>
        <w:t>• Current default new-account model is Deposit Wallet; legacy EOA/Proxy/Safe support is adapter capability, not an assumption.</w:t>
      </w:r>
    </w:p>
    <w:p>
      <w:pPr>
        <w:spacing w:after="64"/>
        <w:ind w:left="230" w:hanging="173"/>
      </w:pPr>
      <w:r>
        <w:t>• L2 order credentials, Relayer/Builder credentials and private signer are stored/scoped separately. Credential health is checked on startup and errors are classified without logging secret material.</w:t>
      </w:r>
    </w:p>
    <w:p>
      <w:pPr>
        <w:spacing w:after="64"/>
        <w:ind w:left="230" w:hanging="173"/>
      </w:pPr>
      <w:r>
        <w:t>• Trading approvals may be set up during commissioning through named, allowlisted wallet operations; autonomous strategy code cannot create arbitrary approvals.</w:t>
      </w:r>
    </w:p>
    <w:p>
      <w:pPr>
        <w:pStyle w:val="Heading2"/>
        <w:keepNext/>
      </w:pPr>
      <w:r>
        <w:t>B5.2 Signer request contract</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2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Check before signing</w:t>
            </w:r>
          </w:p>
        </w:tc>
        <w:tc>
          <w:tcPr>
            <w:tcW w:type="dxa" w:w="806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Invariant</w:t>
            </w:r>
          </w:p>
        </w:tc>
      </w:tr>
      <w:tr>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Permit</w:t>
            </w:r>
          </w:p>
        </w:tc>
        <w:tc>
          <w:tcPr>
            <w:tcW w:type="dxa" w:w="806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Exists durable, unexpired, unused where single-use is required; intent/payload/policy/lease hash match.</w:t>
            </w:r>
          </w:p>
        </w:tc>
      </w:tr>
      <w:tr>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Wallet/chain</w:t>
            </w:r>
          </w:p>
        </w:tc>
        <w:tc>
          <w:tcPr>
            <w:tcW w:type="dxa" w:w="806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Expected signer/account wallet/wallet type; Polygon/current contract registry.</w:t>
            </w:r>
          </w:p>
        </w:tc>
      </w:tr>
      <w:tr>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Action</w:t>
            </w:r>
          </w:p>
        </w:tc>
        <w:tc>
          <w:tcPr>
            <w:tcW w:type="dxa" w:w="806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Only allowlisted order/cancel/position-lifecycle action; no arbitrary destination/calldata.</w:t>
            </w:r>
          </w:p>
        </w:tc>
      </w:tr>
      <w:tr>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Amount</w:t>
            </w:r>
          </w:p>
        </w:tc>
        <w:tc>
          <w:tcPr>
            <w:tcW w:type="dxa" w:w="806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Canonical exact amount &lt;= permit reservation and hard policy.</w:t>
            </w:r>
          </w:p>
        </w:tc>
      </w:tr>
      <w:tr>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Freshness</w:t>
            </w:r>
          </w:p>
        </w:tc>
        <w:tc>
          <w:tcPr>
            <w:tcW w:type="dxa" w:w="806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Quote/market/rules/venue mode/clock within required TTL.</w:t>
            </w:r>
          </w:p>
        </w:tc>
      </w:tr>
      <w:tr>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Audit</w:t>
            </w:r>
          </w:p>
        </w:tc>
        <w:tc>
          <w:tcPr>
            <w:tcW w:type="dxa" w:w="806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Canonical payload hash recorded before side effect; sensitive raw key never logged.</w:t>
            </w:r>
          </w:p>
        </w:tc>
      </w:tr>
    </w:tbl>
    <w:p>
      <w:pPr>
        <w:spacing w:after="0"/>
      </w:pPr>
    </w:p>
    <w:p>
      <w:pPr>
        <w:pStyle w:val="Heading1"/>
        <w:keepNext/>
      </w:pPr>
      <w:r>
        <w:t>B6. Data Plane, Event Graph and Catalyst Bus</w:t>
      </w:r>
    </w:p>
    <w:p>
      <w:pPr>
        <w:pStyle w:val="Heading2"/>
        <w:keepNext/>
      </w:pPr>
      <w:r>
        <w:t>B6.1 Data pipeline</w:t>
      </w:r>
    </w:p>
    <w:tbl>
      <w:tblPr>
        <w:tblW w:type="auto" w:w="0"/>
        <w:jc w:val="center"/>
        <w:tblLook w:firstColumn="1" w:firstRow="1" w:lastColumn="0" w:lastRow="0" w:noHBand="0" w:noVBand="1" w:val="04A0"/>
      </w:tblPr>
      <w:tblGrid>
        <w:gridCol w:w="9936"/>
      </w:tblGrid>
      <w:tr>
        <w:trPr>
          <w:cantSplit/>
        </w:trPr>
        <w:tc>
          <w:tcPr>
            <w:tcW w:type="dxa" w:w="9936"/>
            <w:shd w:fill="F2F6F9"/>
            <w:tcMar>
              <w:top w:w="140" w:type="dxa"/>
              <w:start w:w="160" w:type="dxa"/>
              <w:bottom w:w="140" w:type="dxa"/>
              <w:end w:w="160" w:type="dxa"/>
            </w:tcMar>
            <w:tcBorders>
              <w:top w:val="single" w:sz="8" w:color="9EB8CB"/>
              <w:left w:val="single" w:sz="8" w:color="9EB8CB"/>
              <w:bottom w:val="single" w:sz="8" w:color="9EB8CB"/>
              <w:right w:val="single" w:sz="8" w:color="9EB8CB"/>
            </w:tcBorders>
          </w:tcPr>
          <w:p>
            <w:pPr>
              <w:jc w:val="left"/>
            </w:pPr>
            <w:r>
              <w:rPr>
                <w:rFonts w:ascii="Consolas" w:hAnsi="Consolas"/>
                <w:color w:val="233646"/>
                <w:sz w:val="15"/>
              </w:rPr>
              <w:t>Gamma / market discovery + CLOB market metadata + market WS + user WS + Data API</w:t>
              <w:br/>
            </w:r>
            <w:r>
              <w:rPr>
                <w:rFonts w:ascii="Consolas" w:hAnsi="Consolas"/>
                <w:color w:val="233646"/>
                <w:sz w:val="15"/>
              </w:rPr>
              <w:t xml:space="preserve">            |</w:t>
              <w:br/>
            </w:r>
            <w:r>
              <w:rPr>
                <w:rFonts w:ascii="Consolas" w:hAnsi="Consolas"/>
                <w:color w:val="233646"/>
                <w:sz w:val="15"/>
              </w:rPr>
              <w:t xml:space="preserve">            v</w:t>
              <w:br/>
            </w:r>
            <w:r>
              <w:rPr>
                <w:rFonts w:ascii="Consolas" w:hAnsi="Consolas"/>
                <w:color w:val="233646"/>
                <w:sz w:val="15"/>
              </w:rPr>
              <w:t>canonical identity / rules / fee / book / activity / account snapshots</w:t>
              <w:br/>
            </w:r>
            <w:r>
              <w:rPr>
                <w:rFonts w:ascii="Consolas" w:hAnsi="Consolas"/>
                <w:color w:val="233646"/>
                <w:sz w:val="15"/>
              </w:rPr>
              <w:t xml:space="preserve">            |</w:t>
              <w:br/>
            </w:r>
            <w:r>
              <w:rPr>
                <w:rFonts w:ascii="Consolas" w:hAnsi="Consolas"/>
                <w:color w:val="233646"/>
                <w:sz w:val="15"/>
              </w:rPr>
              <w:t xml:space="preserve">            +--&gt; Native Event Graph (event + negative-risk)</w:t>
              <w:br/>
            </w:r>
            <w:r>
              <w:rPr>
                <w:rFonts w:ascii="Consolas" w:hAnsi="Consolas"/>
                <w:color w:val="233646"/>
                <w:sz w:val="15"/>
              </w:rPr>
              <w:t xml:space="preserve">            +--&gt; Inferred Relation Graph (conditional/correlated/temporal)</w:t>
              <w:br/>
            </w:r>
            <w:r>
              <w:rPr>
                <w:rFonts w:ascii="Consolas" w:hAnsi="Consolas"/>
                <w:color w:val="233646"/>
                <w:sz w:val="15"/>
              </w:rPr>
              <w:t xml:space="preserve">            +--&gt; Catalyst/Event Bus (news/rules/price/volume/schedule changes)</w:t>
              <w:br/>
            </w:r>
            <w:r>
              <w:rPr>
                <w:rFonts w:ascii="Consolas" w:hAnsi="Consolas"/>
                <w:color w:val="233646"/>
                <w:sz w:val="15"/>
              </w:rPr>
              <w:t xml:space="preserve">            +--&gt; Decision Snapshot Archive</w:t>
            </w:r>
          </w:p>
        </w:tc>
      </w:tr>
    </w:tbl>
    <w:p>
      <w:pPr>
        <w:pStyle w:val="Heading2"/>
        <w:keepNext/>
      </w:pPr>
      <w:r>
        <w:t>B6.2 Market Graph edge contract</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2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relation_type</w:t>
            </w:r>
          </w:p>
        </w:tc>
        <w:tc>
          <w:tcPr>
            <w:tcW w:type="dxa" w:w="22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Trust level</w:t>
            </w:r>
          </w:p>
        </w:tc>
        <w:tc>
          <w:tcPr>
            <w:tcW w:type="dxa" w:w="482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Use</w:t>
            </w:r>
          </w:p>
        </w:tc>
      </w:tr>
      <w:tr>
        <w:tc>
          <w:tcPr>
            <w:tcW w:type="dxa" w:w="32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NATIVE_NEG_RISK / NATIVE_EVENT_MEMBER</w:t>
            </w:r>
          </w:p>
        </w:tc>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VERIFIED_PLATFORM</w:t>
            </w:r>
          </w:p>
        </w:tc>
        <w:tc>
          <w:tcPr>
            <w:tcW w:type="dxa" w:w="482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Risk grouping; structural strategy if payout/rules validated.</w:t>
            </w:r>
          </w:p>
        </w:tc>
      </w:tr>
      <w:tr>
        <w:tc>
          <w:tcPr>
            <w:tcW w:type="dxa" w:w="32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COMPLEMENT</w:t>
            </w:r>
          </w:p>
        </w:tc>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VERIFIED_RULES or INFERRED</w:t>
            </w:r>
          </w:p>
        </w:tc>
        <w:tc>
          <w:tcPr>
            <w:tcW w:type="dxa" w:w="482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Probability constraint and risk. Structural execution only when deterministic.</w:t>
            </w:r>
          </w:p>
        </w:tc>
      </w:tr>
      <w:tr>
        <w:tc>
          <w:tcPr>
            <w:tcW w:type="dxa" w:w="32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MUTUALLY_EXCLUSIVE</w:t>
            </w:r>
          </w:p>
        </w:tc>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VERIFIED_RULES or INFERRED</w:t>
            </w:r>
          </w:p>
        </w:tc>
        <w:tc>
          <w:tcPr>
            <w:tcW w:type="dxa" w:w="482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Portfolio/event cap; relative-value research.</w:t>
            </w:r>
          </w:p>
        </w:tc>
      </w:tr>
      <w:tr>
        <w:tc>
          <w:tcPr>
            <w:tcW w:type="dxa" w:w="32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SUBSET / SUPERSET</w:t>
            </w:r>
          </w:p>
        </w:tc>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INFERRED/VERIFIED_RULES</w:t>
            </w:r>
          </w:p>
        </w:tc>
        <w:tc>
          <w:tcPr>
            <w:tcW w:type="dxa" w:w="482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Logical consistency checks; conservative risk until validated.</w:t>
            </w:r>
          </w:p>
        </w:tc>
      </w:tr>
      <w:tr>
        <w:tc>
          <w:tcPr>
            <w:tcW w:type="dxa" w:w="32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CONDITIONAL / TEMPORAL_DEPENDENCY</w:t>
            </w:r>
          </w:p>
        </w:tc>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INFERRED</w:t>
            </w:r>
          </w:p>
        </w:tc>
        <w:tc>
          <w:tcPr>
            <w:tcW w:type="dxa" w:w="482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Forecast features and correlation risk; never treated as risk-free.</w:t>
            </w:r>
          </w:p>
        </w:tc>
      </w:tr>
      <w:tr>
        <w:tc>
          <w:tcPr>
            <w:tcW w:type="dxa" w:w="32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SHARED_RESOLUTION_SOURCE / CORRELATED</w:t>
            </w:r>
          </w:p>
        </w:tc>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INFERRED</w:t>
            </w:r>
          </w:p>
        </w:tc>
        <w:tc>
          <w:tcPr>
            <w:tcW w:type="dxa" w:w="482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Risk clustering and evidence/catalyst propagation.</w:t>
            </w:r>
          </w:p>
        </w:tc>
      </w:tr>
    </w:tbl>
    <w:p>
      <w:pPr>
        <w:spacing w:after="0"/>
      </w:pPr>
    </w:p>
    <w:p>
      <w:pPr>
        <w:pStyle w:val="Heading1"/>
        <w:keepNext/>
      </w:pPr>
      <w:r>
        <w:t>B7. Research and Forecast Intelligence</w:t>
      </w:r>
    </w:p>
    <w:p>
      <w:pPr>
        <w:pStyle w:val="Heading2"/>
        <w:keepNext/>
      </w:pPr>
      <w:r>
        <w:t>B7.1 Research quarantine</w:t>
      </w:r>
    </w:p>
    <w:p>
      <w:pPr>
        <w:spacing w:after="64"/>
        <w:ind w:left="230" w:hanging="173"/>
      </w:pPr>
      <w:r>
        <w:t>• Retrieval worker receives a market research question, source allow/deny policy and resource budget, not system authority or financial secrets.</w:t>
      </w:r>
    </w:p>
    <w:p>
      <w:pPr>
        <w:spacing w:after="64"/>
        <w:ind w:left="230" w:hanging="173"/>
      </w:pPr>
      <w:r>
        <w:t>• HTTP egress validates URL scheme, DNS/IP and redirects; blocks localhost/private/link-local/metadata networks; caps bytes, archive expansion, content type and time.</w:t>
      </w:r>
    </w:p>
    <w:p>
      <w:pPr>
        <w:spacing w:after="64"/>
        <w:ind w:left="230" w:hanging="173"/>
      </w:pPr>
      <w:r>
        <w:t>• Raw content is normalized into evidence claims with provenance. Embedded instructions remain quoted data and are never placed into privileged system instructions.</w:t>
      </w:r>
    </w:p>
    <w:p>
      <w:pPr>
        <w:spacing w:after="64"/>
        <w:ind w:left="230" w:hanging="173"/>
      </w:pPr>
      <w:r>
        <w:t>• Sports-specific Polymarket stream is treated as informational only; sports strategies require independently validated authoritative sports feeds because official docs explicitly disclaim it as a trading-decision basis.</w:t>
      </w:r>
    </w:p>
    <w:p>
      <w:pPr>
        <w:pStyle w:val="Heading2"/>
        <w:keepNext/>
      </w:pPr>
      <w:r>
        <w:t>B7.2 Forecast ensemble pipeline</w:t>
      </w:r>
    </w:p>
    <w:tbl>
      <w:tblPr>
        <w:tblW w:type="auto" w:w="0"/>
        <w:jc w:val="center"/>
        <w:tblLook w:firstColumn="1" w:firstRow="1" w:lastColumn="0" w:lastRow="0" w:noHBand="0" w:noVBand="1" w:val="04A0"/>
      </w:tblPr>
      <w:tblGrid>
        <w:gridCol w:w="9936"/>
      </w:tblGrid>
      <w:tr>
        <w:trPr>
          <w:cantSplit/>
        </w:trPr>
        <w:tc>
          <w:tcPr>
            <w:tcW w:type="dxa" w:w="9936"/>
            <w:shd w:fill="F2F6F9"/>
            <w:tcMar>
              <w:top w:w="140" w:type="dxa"/>
              <w:start w:w="160" w:type="dxa"/>
              <w:bottom w:w="140" w:type="dxa"/>
              <w:end w:w="160" w:type="dxa"/>
            </w:tcMar>
            <w:tcBorders>
              <w:top w:val="single" w:sz="8" w:color="9EB8CB"/>
              <w:left w:val="single" w:sz="8" w:color="9EB8CB"/>
              <w:bottom w:val="single" w:sz="8" w:color="9EB8CB"/>
              <w:right w:val="single" w:sz="8" w:color="9EB8CB"/>
            </w:tcBorders>
          </w:tcPr>
          <w:p>
            <w:pPr>
              <w:jc w:val="left"/>
            </w:pPr>
            <w:r>
              <w:rPr>
                <w:rFonts w:ascii="Consolas" w:hAnsi="Consolas"/>
                <w:color w:val="233646"/>
                <w:sz w:val="15"/>
              </w:rPr>
              <w:t>market baseline / prior ------------------+</w:t>
              <w:br/>
            </w:r>
            <w:r>
              <w:rPr>
                <w:rFonts w:ascii="Consolas" w:hAnsi="Consolas"/>
                <w:color w:val="233646"/>
                <w:sz w:val="15"/>
              </w:rPr>
              <w:t>retrieved primary evidence -&gt; forecaster A |</w:t>
              <w:br/>
            </w:r>
            <w:r>
              <w:rPr>
                <w:rFonts w:ascii="Consolas" w:hAnsi="Consolas"/>
                <w:color w:val="233646"/>
                <w:sz w:val="15"/>
              </w:rPr>
              <w:t>counterevidence ------------&gt; forecaster B |--&gt; deterministic aggregation --&gt; calibration</w:t>
              <w:br/>
            </w:r>
            <w:r>
              <w:rPr>
                <w:rFonts w:ascii="Consolas" w:hAnsi="Consolas"/>
                <w:color w:val="233646"/>
                <w:sz w:val="15"/>
              </w:rPr>
              <w:t>market microstructure ------&gt; statistical C |                                 |</w:t>
              <w:br/>
            </w:r>
            <w:r>
              <w:rPr>
                <w:rFonts w:ascii="Consolas" w:hAnsi="Consolas"/>
                <w:color w:val="233646"/>
                <w:sz w:val="15"/>
              </w:rPr>
              <w:t>graph relations ------------&gt; structural D |                                 v</w:t>
              <w:br/>
            </w:r>
            <w:r>
              <w:rPr>
                <w:rFonts w:ascii="Consolas" w:hAnsi="Consolas"/>
                <w:color w:val="233646"/>
                <w:sz w:val="15"/>
              </w:rPr>
              <w:t xml:space="preserve">                                      component lineage                 actionable distribution</w:t>
            </w:r>
          </w:p>
        </w:tc>
      </w:tr>
    </w:tbl>
    <w:p>
      <w:pPr>
        <w:spacing w:after="64"/>
        <w:ind w:left="230" w:hanging="173"/>
      </w:pPr>
      <w:r>
        <w:t>• Each component is independently scored; aggregator does not hide disagreement. Market price is captured at the same decision timestamp and is benchmark/prior signal, never a future input.</w:t>
      </w:r>
    </w:p>
    <w:p>
      <w:pPr>
        <w:spacing w:after="64"/>
        <w:ind w:left="230" w:hanging="173"/>
      </w:pPr>
      <w:r>
        <w:t>• Calibration is segmented by model/provider/category/horizon/regime only when sample suffices. Aggregate forecasts may require their own recalibration.</w:t>
      </w:r>
    </w:p>
    <w:p>
      <w:pPr>
        <w:spacing w:after="64"/>
        <w:ind w:left="230" w:hanging="173"/>
      </w:pPr>
      <w:r>
        <w:t>• Emerging likelihood-aggregation research can be tested as an experimental forecaster, but no new preprint methodology becomes LIVE authority without prospective qualification.</w:t>
      </w:r>
    </w:p>
    <w:p>
      <w:pPr>
        <w:spacing w:after="64"/>
        <w:ind w:left="230" w:hanging="173"/>
      </w:pPr>
      <w:r>
        <w:t>• Provider fallback creates a new lineage; model alias/system fingerprint/API version are stored when the provider exposes them.</w:t>
      </w:r>
    </w:p>
    <w:p>
      <w:pPr>
        <w:pStyle w:val="Heading1"/>
        <w:keepNext/>
      </w:pPr>
      <w:r>
        <w:t>B8. Strategy Runtime and Autonomous Arbiter</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76"/>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Strategy</w:t>
            </w:r>
          </w:p>
        </w:tc>
        <w:tc>
          <w:tcPr>
            <w:tcW w:type="dxa" w:w="518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Input</w:t>
            </w:r>
          </w:p>
        </w:tc>
        <w:tc>
          <w:tcPr>
            <w:tcW w:type="dxa" w:w="2736"/>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Output / gate</w:t>
            </w:r>
          </w:p>
        </w:tc>
      </w:tr>
      <w:tr>
        <w:tc>
          <w:tcPr>
            <w:tcW w:type="dxa" w:w="23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evidence_directional_v2</w:t>
            </w:r>
          </w:p>
        </w:tc>
        <w:tc>
          <w:tcPr>
            <w:tcW w:type="dxa" w:w="518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Calibrated probability + evidence quality + executable book + catalysts/costs.</w:t>
            </w:r>
          </w:p>
        </w:tc>
        <w:tc>
          <w:tcPr>
            <w:tcW w:type="dxa" w:w="27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Desired directional exposure or NO_TRADE. P0 core candidate.</w:t>
            </w:r>
          </w:p>
        </w:tc>
      </w:tr>
      <w:tr>
        <w:tc>
          <w:tcPr>
            <w:tcW w:type="dxa" w:w="23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market_graph_relative_value_v1</w:t>
            </w:r>
          </w:p>
        </w:tc>
        <w:tc>
          <w:tcPr>
            <w:tcW w:type="dxa" w:w="518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Verified graph constraints + synchronized executable quotes + settlement compatibility.</w:t>
            </w:r>
          </w:p>
        </w:tc>
        <w:tc>
          <w:tcPr>
            <w:tcW w:type="dxa" w:w="27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Paired/multi-leg proposal; requires atomicity/risk behavior appropriate to actual venue capabilities.</w:t>
            </w:r>
          </w:p>
        </w:tc>
      </w:tr>
      <w:tr>
        <w:tc>
          <w:tcPr>
            <w:tcW w:type="dxa" w:w="23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maker_liquidity_v1</w:t>
            </w:r>
          </w:p>
        </w:tc>
        <w:tc>
          <w:tcPr>
            <w:tcW w:type="dxa" w:w="518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Book microstructure + inventory + post-only capability + fee/rebate schedule + adverse-selection model.</w:t>
            </w:r>
          </w:p>
        </w:tc>
        <w:tc>
          <w:tcPr>
            <w:tcW w:type="dxa" w:w="27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Maker quotes; P1 experimental until micro-LIVE fill/rebate calibration.</w:t>
            </w:r>
          </w:p>
        </w:tc>
      </w:tr>
      <w:tr>
        <w:tc>
          <w:tcPr>
            <w:tcW w:type="dxa" w:w="23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smart_money_consensus_v1</w:t>
            </w:r>
          </w:p>
        </w:tc>
        <w:tc>
          <w:tcPr>
            <w:tcW w:type="dxa" w:w="518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Public wallet activity + reproducible wallet-score history + causally available timestamps.</w:t>
            </w:r>
          </w:p>
        </w:tc>
        <w:tc>
          <w:tcPr>
            <w:tcW w:type="dxa" w:w="27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Forecast feature/proposal; P1; never blind copy.</w:t>
            </w:r>
          </w:p>
        </w:tc>
      </w:tr>
    </w:tbl>
    <w:p>
      <w:pPr>
        <w:spacing w:after="0"/>
      </w:pPr>
    </w:p>
    <w:p>
      <w:pPr>
        <w:pStyle w:val="Heading2"/>
        <w:keepNext/>
      </w:pPr>
      <w:r>
        <w:t>B8.1 Arbiter algorithm</w:t>
      </w:r>
    </w:p>
    <w:p>
      <w:pPr>
        <w:spacing w:after="60"/>
        <w:ind w:left="288" w:hanging="230"/>
      </w:pPr>
      <w:r>
        <w:rPr>
          <w:b/>
          <w:color w:val="2E74B5"/>
        </w:rPr>
        <w:t xml:space="preserve">1. </w:t>
      </w:r>
      <w:r>
        <w:t>Collect only proposals from exact strategy versions marked eligible for current mode/risk tier.</w:t>
      </w:r>
    </w:p>
    <w:p>
      <w:pPr>
        <w:spacing w:after="60"/>
        <w:ind w:left="288" w:hanging="230"/>
      </w:pPr>
      <w:r>
        <w:rPr>
          <w:b/>
          <w:color w:val="2E74B5"/>
        </w:rPr>
        <w:t xml:space="preserve">2. </w:t>
      </w:r>
      <w:r>
        <w:t>Discard expired/rules-changed/data-stale proposals and those whose required graph/source/capabilities are unavailable.</w:t>
      </w:r>
    </w:p>
    <w:p>
      <w:pPr>
        <w:spacing w:after="60"/>
        <w:ind w:left="288" w:hanging="230"/>
      </w:pPr>
      <w:r>
        <w:rPr>
          <w:b/>
          <w:color w:val="2E74B5"/>
        </w:rPr>
        <w:t xml:space="preserve">3. </w:t>
      </w:r>
      <w:r>
        <w:t>Normalize proposals into desired economic exposure, not raw order quantities.</w:t>
      </w:r>
    </w:p>
    <w:p>
      <w:pPr>
        <w:spacing w:after="60"/>
        <w:ind w:left="288" w:hanging="230"/>
      </w:pPr>
      <w:r>
        <w:rPr>
          <w:b/>
          <w:color w:val="2E74B5"/>
        </w:rPr>
        <w:t xml:space="preserve">4. </w:t>
      </w:r>
      <w:r>
        <w:t>Deduplicate/net correlated proposals through Market Graph and strategy budget rules.</w:t>
      </w:r>
    </w:p>
    <w:p>
      <w:pPr>
        <w:spacing w:after="60"/>
        <w:ind w:left="288" w:hanging="230"/>
      </w:pPr>
      <w:r>
        <w:rPr>
          <w:b/>
          <w:color w:val="2E74B5"/>
        </w:rPr>
        <w:t xml:space="preserve">5. </w:t>
      </w:r>
      <w:r>
        <w:t>Compare incremental portfolio utility/net EV including opportunity cost and exit/reallocation alternatives.</w:t>
      </w:r>
    </w:p>
    <w:p>
      <w:pPr>
        <w:spacing w:after="60"/>
        <w:ind w:left="288" w:hanging="230"/>
      </w:pPr>
      <w:r>
        <w:rPr>
          <w:b/>
          <w:color w:val="2E74B5"/>
        </w:rPr>
        <w:t xml:space="preserve">6. </w:t>
      </w:r>
      <w:r>
        <w:t>Emit bounded TradeIntent(s); final authority remains with Money Kernel.</w:t>
      </w:r>
    </w:p>
    <w:p>
      <w:pPr>
        <w:pStyle w:val="Heading1"/>
        <w:keepNext/>
      </w:pPr>
      <w:r>
        <w:t>B9. Economics, Position Sizing and Money Kernel</w:t>
      </w:r>
    </w:p>
    <w:p>
      <w:pPr>
        <w:pStyle w:val="Heading2"/>
        <w:keepNext/>
      </w:pPr>
      <w:r>
        <w:t>B9.1 Net economics</w:t>
      </w:r>
    </w:p>
    <w:tbl>
      <w:tblPr>
        <w:tblW w:type="auto" w:w="0"/>
        <w:jc w:val="center"/>
        <w:tblLook w:firstColumn="1" w:firstRow="1" w:lastColumn="0" w:lastRow="0" w:noHBand="0" w:noVBand="1" w:val="04A0"/>
      </w:tblPr>
      <w:tblGrid>
        <w:gridCol w:w="9936"/>
      </w:tblGrid>
      <w:tr>
        <w:trPr>
          <w:cantSplit/>
        </w:trPr>
        <w:tc>
          <w:tcPr>
            <w:tcW w:type="dxa" w:w="9936"/>
            <w:shd w:fill="EAF2F8"/>
            <w:tcMar>
              <w:top w:w="115" w:type="dxa"/>
              <w:start w:w="145" w:type="dxa"/>
              <w:bottom w:w="115" w:type="dxa"/>
              <w:end w:w="145" w:type="dxa"/>
            </w:tcMar>
            <w:tcBorders>
              <w:top w:val="single" w:sz="6" w:color="C9D5DE"/>
              <w:left w:val="single" w:sz="6" w:color="C9D5DE"/>
              <w:bottom w:val="single" w:sz="6" w:color="C9D5DE"/>
              <w:right w:val="single" w:sz="6" w:color="C9D5DE"/>
            </w:tcBorders>
          </w:tcPr>
          <w:p>
            <w:pPr>
              <w:spacing w:after="0"/>
            </w:pPr>
            <w:r>
              <w:rPr>
                <w:b/>
                <w:color w:val="2E74B5"/>
              </w:rPr>
              <w:t xml:space="preserve">Economic equation  </w:t>
            </w:r>
            <w:r>
              <w:rPr>
                <w:color w:val="233646"/>
              </w:rPr>
              <w:t>Net economic EV = expected payout value - executable cash debit - taker fee - adverse-selection/slippage/latency cost - allocated AI/data/infra cost + conservatively eligible maker/taker rebates. Realized rebates replace estimates in accounting.</w:t>
            </w:r>
          </w:p>
        </w:tc>
      </w:tr>
    </w:tbl>
    <w:p>
      <w:pPr>
        <w:spacing w:after="64"/>
        <w:ind w:left="230" w:hanging="173"/>
      </w:pPr>
      <w:r>
        <w:t>• Do not hardcode current rebate tables as durable alpha. Query/version fee/rebate parameters where available; otherwise assume no rebate in pre-trade EV and record realized payments later.</w:t>
      </w:r>
    </w:p>
    <w:p>
      <w:pPr>
        <w:spacing w:after="64"/>
        <w:ind w:left="230" w:hanging="173"/>
      </w:pPr>
      <w:r>
        <w:t>• VWAP already incorporates depth. Do not double-count the same slippage component. Make assumptions explicit and test against micro-LIVE.</w:t>
      </w:r>
    </w:p>
    <w:p>
      <w:pPr>
        <w:pStyle w:val="Heading2"/>
        <w:keepNext/>
      </w:pPr>
      <w:r>
        <w:t>B9.2 Robust position sizer</w:t>
      </w:r>
    </w:p>
    <w:tbl>
      <w:tblPr>
        <w:tblW w:type="auto" w:w="0"/>
        <w:jc w:val="center"/>
        <w:tblLook w:firstColumn="1" w:firstRow="1" w:lastColumn="0" w:lastRow="0" w:noHBand="0" w:noVBand="1" w:val="04A0"/>
      </w:tblPr>
      <w:tblGrid>
        <w:gridCol w:w="9936"/>
      </w:tblGrid>
      <w:tr>
        <w:trPr>
          <w:cantSplit/>
        </w:trPr>
        <w:tc>
          <w:tcPr>
            <w:tcW w:type="dxa" w:w="9936"/>
            <w:shd w:fill="F2F6F9"/>
            <w:tcMar>
              <w:top w:w="140" w:type="dxa"/>
              <w:start w:w="160" w:type="dxa"/>
              <w:bottom w:w="140" w:type="dxa"/>
              <w:end w:w="160" w:type="dxa"/>
            </w:tcMar>
            <w:tcBorders>
              <w:top w:val="single" w:sz="8" w:color="9EB8CB"/>
              <w:left w:val="single" w:sz="8" w:color="9EB8CB"/>
              <w:bottom w:val="single" w:sz="8" w:color="9EB8CB"/>
              <w:right w:val="single" w:sz="8" w:color="9EB8CB"/>
            </w:tcBorders>
          </w:tcPr>
          <w:p>
            <w:pPr>
              <w:jc w:val="left"/>
            </w:pPr>
            <w:r>
              <w:rPr>
                <w:rFonts w:ascii="Consolas" w:hAnsi="Consolas"/>
                <w:color w:val="233646"/>
                <w:sz w:val="15"/>
              </w:rPr>
              <w:t>calibrated actionable probability / payout distribution</w:t>
              <w:br/>
            </w:r>
            <w:r>
              <w:rPr>
                <w:rFonts w:ascii="Consolas" w:hAnsi="Consolas"/>
                <w:color w:val="233646"/>
                <w:sz w:val="15"/>
              </w:rPr>
              <w:t xml:space="preserve">              | uncertainty + market liquidity</w:t>
              <w:br/>
            </w:r>
            <w:r>
              <w:rPr>
                <w:rFonts w:ascii="Consolas" w:hAnsi="Consolas"/>
                <w:color w:val="233646"/>
                <w:sz w:val="15"/>
              </w:rPr>
              <w:t xml:space="preserve">              v</w:t>
              <w:br/>
            </w:r>
            <w:r>
              <w:rPr>
                <w:rFonts w:ascii="Consolas" w:hAnsi="Consolas"/>
                <w:color w:val="233646"/>
                <w:sz w:val="15"/>
              </w:rPr>
              <w:t>raw suggested risk amount</w:t>
              <w:br/>
            </w:r>
            <w:r>
              <w:rPr>
                <w:rFonts w:ascii="Consolas" w:hAnsi="Consolas"/>
                <w:color w:val="233646"/>
                <w:sz w:val="15"/>
              </w:rPr>
              <w:t xml:space="preserve">              | optional bounded fractional-Kelly AFTER validation</w:t>
              <w:br/>
            </w:r>
            <w:r>
              <w:rPr>
                <w:rFonts w:ascii="Consolas" w:hAnsi="Consolas"/>
                <w:color w:val="233646"/>
                <w:sz w:val="15"/>
              </w:rPr>
              <w:t xml:space="preserve">              v</w:t>
              <w:br/>
            </w:r>
            <w:r>
              <w:rPr>
                <w:rFonts w:ascii="Consolas" w:hAnsi="Consolas"/>
                <w:color w:val="233646"/>
                <w:sz w:val="15"/>
              </w:rPr>
              <w:t>strategy cap -&gt; market/event/correlation cap -&gt; portfolio cap -&gt; loss tier -&gt; exact reservation</w:t>
            </w:r>
          </w:p>
        </w:tc>
      </w:tr>
    </w:tbl>
    <w:p>
      <w:r>
        <w:rPr>
          <w:b/>
        </w:rPr>
        <w:t xml:space="preserve">Explicit rejection of an upstream heuristic. </w:t>
      </w:r>
      <w:r>
        <w:t>Pinned Clodds dynamic Kelly maps edge to a probability proxy, uses an arbitrary confidence input and can boost size after win streaks. PolyRoot does not use that as authoritative sizing. Recent wins are not new information about the current event unless a pre-registered model proves otherwise.</w:t>
      </w:r>
    </w:p>
    <w:p>
      <w:pPr>
        <w:pStyle w:val="Heading2"/>
        <w:keepNext/>
      </w:pPr>
      <w:r>
        <w:t>B9.3 Atomic authorization sequence</w:t>
      </w:r>
    </w:p>
    <w:p>
      <w:pPr>
        <w:spacing w:after="60"/>
        <w:ind w:left="288" w:hanging="230"/>
      </w:pPr>
      <w:r>
        <w:rPr>
          <w:b/>
          <w:color w:val="2E74B5"/>
        </w:rPr>
        <w:t xml:space="preserve">1. </w:t>
      </w:r>
      <w:r>
        <w:t>Validate LIVE + active Autonomy Charter + exact qualified strategy/version + account/access/readiness.</w:t>
      </w:r>
    </w:p>
    <w:p>
      <w:pPr>
        <w:spacing w:after="60"/>
        <w:ind w:left="288" w:hanging="230"/>
      </w:pPr>
      <w:r>
        <w:rPr>
          <w:b/>
          <w:color w:val="2E74B5"/>
        </w:rPr>
        <w:t xml:space="preserve">2. </w:t>
      </w:r>
      <w:r>
        <w:t>Validate market identity/rules/graph/fee/venue mode/quote/forecast freshness and clock.</w:t>
      </w:r>
    </w:p>
    <w:p>
      <w:pPr>
        <w:spacing w:after="60"/>
        <w:ind w:left="288" w:hanging="230"/>
      </w:pPr>
      <w:r>
        <w:rPr>
          <w:b/>
          <w:color w:val="2E74B5"/>
        </w:rPr>
        <w:t xml:space="preserve">3. </w:t>
      </w:r>
      <w:r>
        <w:t>Compute net economics and liquidity-constrained suggested size.</w:t>
      </w:r>
    </w:p>
    <w:p>
      <w:pPr>
        <w:spacing w:after="60"/>
        <w:ind w:left="288" w:hanging="230"/>
      </w:pPr>
      <w:r>
        <w:rPr>
          <w:b/>
          <w:color w:val="2E74B5"/>
        </w:rPr>
        <w:t xml:space="preserve">4. </w:t>
      </w:r>
      <w:r>
        <w:t>Apply graph-aware market/event/correlation/strategy/portfolio and loss/protective-tier limits including unknown obligations.</w:t>
      </w:r>
    </w:p>
    <w:p>
      <w:pPr>
        <w:spacing w:after="60"/>
        <w:ind w:left="288" w:hanging="230"/>
      </w:pPr>
      <w:r>
        <w:rPr>
          <w:b/>
          <w:color w:val="2E74B5"/>
        </w:rPr>
        <w:t xml:space="preserve">5. </w:t>
      </w:r>
      <w:r>
        <w:t>Within one short DB transaction lock policy/wallet risk row, revalidate projection version, write reservation + RiskDecision + outbox/permit atomically.</w:t>
      </w:r>
    </w:p>
    <w:p>
      <w:pPr>
        <w:spacing w:after="60"/>
        <w:ind w:left="288" w:hanging="230"/>
      </w:pPr>
      <w:r>
        <w:rPr>
          <w:b/>
          <w:color w:val="2E74B5"/>
        </w:rPr>
        <w:t xml:space="preserve">6. </w:t>
      </w:r>
      <w:r>
        <w:t>Executor rechecks short permit TTL, lease, venue mode, quote/rules and balance before typed signer request.</w:t>
      </w:r>
    </w:p>
    <w:p>
      <w:pPr>
        <w:pStyle w:val="Heading1"/>
        <w:keepNext/>
      </w:pPr>
      <w:r>
        <w:t>B10. VenueAdapter and Execution State Machines</w:t>
      </w:r>
    </w:p>
    <w:p>
      <w:pPr>
        <w:pStyle w:val="Heading2"/>
        <w:keepNext/>
      </w:pPr>
      <w:r>
        <w:t>B10.1 Adapter surface</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95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Method family</w:t>
            </w:r>
          </w:p>
        </w:tc>
        <w:tc>
          <w:tcPr>
            <w:tcW w:type="dxa" w:w="734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Contract</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capabilities/getMarket/getBook</w:t>
            </w:r>
          </w:p>
        </w:tc>
        <w:tc>
          <w:tcPr>
            <w:tcW w:type="dxa" w:w="73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Return current order types, wallet/collateral support, tick/min size/fee/status/mode and verified snapshot. Unsupported is explicit.</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buildCanonicalOrder</w:t>
            </w:r>
          </w:p>
        </w:tc>
        <w:tc>
          <w:tcPr>
            <w:tcW w:type="dxa" w:w="73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Exact units, chain/contract/wallet identity, order style/deadline. Business layer never hand-builds SDK payloads.</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submit</w:t>
            </w:r>
          </w:p>
        </w:tc>
        <w:tc>
          <w:tcPr>
            <w:tcW w:type="dxa" w:w="73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Return ACK / DEFINITIVE_REJECT / UNKNOWN; ACK is not a fill. Ambiguous response remains UNKNOWN.</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get/list orders &amp; trades</w:t>
            </w:r>
          </w:p>
        </w:tc>
        <w:tc>
          <w:tcPr>
            <w:tcW w:type="dxa" w:w="73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Overlap/pagination; preserve raw status; detect external/manual activity.</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cancel/cancelAll</w:t>
            </w:r>
          </w:p>
        </w:tc>
        <w:tc>
          <w:tcPr>
            <w:tcW w:type="dxa" w:w="73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Per-order result and late-fill reconciliation; cancel does not undo matched trades.</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userStream/marketStream/heartbeat</w:t>
            </w:r>
          </w:p>
        </w:tc>
        <w:tc>
          <w:tcPr>
            <w:tcW w:type="dxa" w:w="73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Independent health/readiness; reconnect snapshot/lookback; heartbeat behavior versioned by contract test.</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balances/allowances/positions</w:t>
            </w:r>
          </w:p>
        </w:tc>
        <w:tc>
          <w:tcPr>
            <w:tcW w:type="dxa" w:w="73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Fresh asset-aware state for spendability/reconciliation.</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settlement/redeem</w:t>
            </w:r>
          </w:p>
        </w:tc>
        <w:tc>
          <w:tcPr>
            <w:tcW w:type="dxa" w:w="73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Only final eligible positions; typed signer action; confirmed receipt before ledger credit.</w:t>
            </w:r>
          </w:p>
        </w:tc>
      </w:tr>
    </w:tbl>
    <w:p>
      <w:pPr>
        <w:spacing w:after="0"/>
      </w:pPr>
    </w:p>
    <w:p>
      <w:pPr>
        <w:pStyle w:val="Heading2"/>
        <w:keepNext/>
      </w:pPr>
      <w:r>
        <w:t>B10.2 Intent/order/trade states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Domain</w:t>
            </w:r>
          </w:p>
        </w:tc>
        <w:tc>
          <w:tcPr>
            <w:tcW w:type="dxa" w:w="482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Core states</w:t>
            </w:r>
          </w:p>
        </w:tc>
        <w:tc>
          <w:tcPr>
            <w:tcW w:type="dxa" w:w="367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Invariant</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Intent</w:t>
            </w:r>
          </w:p>
        </w:tc>
        <w:tc>
          <w:tcPr>
            <w:tcW w:type="dxa" w:w="482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CREATED -&gt; VALIDATED -&gt; RESERVED -&gt; DISPATCHED | REJECTED | EXPIRED</w:t>
            </w:r>
          </w:p>
        </w:tc>
        <w:tc>
          <w:tcPr>
            <w:tcW w:type="dxa" w:w="367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EXPIRED releases only if no ambiguous submit exists.</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Submit</w:t>
            </w:r>
          </w:p>
        </w:tc>
        <w:tc>
          <w:tcPr>
            <w:tcW w:type="dxa" w:w="482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SUBMITTING -&gt; ACKNOWLEDGED | SUBMISSION_UNKNOWN | DEFINITIVE_REJECT</w:t>
            </w:r>
          </w:p>
        </w:tc>
        <w:tc>
          <w:tcPr>
            <w:tcW w:type="dxa" w:w="367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UNKNOWN retains reservation and triggers lookup/reconcile; no blind replacement.</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Order</w:t>
            </w:r>
          </w:p>
        </w:tc>
        <w:tc>
          <w:tcPr>
            <w:tcW w:type="dxa" w:w="482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LIVE / PARTIAL / MATCHED / CANCELED / EXPIRED / REJECTED / UNKNOWN</w:t>
            </w:r>
          </w:p>
        </w:tc>
        <w:tc>
          <w:tcPr>
            <w:tcW w:type="dxa" w:w="367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Raw venue status stored; remaining quantity is source for replace, never original size.</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Cancel</w:t>
            </w:r>
          </w:p>
        </w:tc>
        <w:tc>
          <w:tcPr>
            <w:tcW w:type="dxa" w:w="482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CANCEL_REQUESTED -&gt; CANCELED | CANCEL_UNKNOWN | NOT_CANCELED</w:t>
            </w:r>
          </w:p>
        </w:tc>
        <w:tc>
          <w:tcPr>
            <w:tcW w:type="dxa" w:w="367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Release only verified canceled remainder; late fill stays economic.</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Trade</w:t>
            </w:r>
          </w:p>
        </w:tc>
        <w:tc>
          <w:tcPr>
            <w:tcW w:type="dxa" w:w="482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MATCHED -&gt; MINED/RETRYING -&gt; CONFIRMED | FAILED</w:t>
            </w:r>
          </w:p>
        </w:tc>
        <w:tc>
          <w:tcPr>
            <w:tcW w:type="dxa" w:w="367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Arrival can be duplicated/out-of-order; final state cannot be downgraded by stale event.</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Position</w:t>
            </w:r>
          </w:p>
        </w:tc>
        <w:tc>
          <w:tcPr>
            <w:tcW w:type="dxa" w:w="482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pending -&gt; settled -&gt; redeemable -&gt; redeemed; disputed separate</w:t>
            </w:r>
          </w:p>
        </w:tc>
        <w:tc>
          <w:tcPr>
            <w:tcW w:type="dxa" w:w="367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Pending consumes risk but is not freely sellable unless venue/settlement state says so.</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Resolution</w:t>
            </w:r>
          </w:p>
        </w:tc>
        <w:tc>
          <w:tcPr>
            <w:tcW w:type="dxa" w:w="482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open -&gt; proposed -&gt; challenged/disputed -&gt; final</w:t>
            </w:r>
          </w:p>
        </w:tc>
        <w:tc>
          <w:tcPr>
            <w:tcW w:type="dxa" w:w="367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Trade settlement and market resolution are separate lifecycles.</w:t>
            </w:r>
          </w:p>
        </w:tc>
      </w:tr>
    </w:tbl>
    <w:p>
      <w:pPr>
        <w:spacing w:after="0"/>
      </w:pPr>
    </w:p>
    <w:p>
      <w:pPr>
        <w:pStyle w:val="Heading1"/>
        <w:keepNext/>
      </w:pPr>
      <w:r>
        <w:t>B11. Timeout, Rate Limits, Restricted Modes and Automatic Recovery</w:t>
      </w:r>
    </w:p>
    <w:p>
      <w:pPr>
        <w:pStyle w:val="Heading2"/>
        <w:keepNext/>
      </w:pPr>
      <w:r>
        <w:t>B11.1 Submission protocol</w:t>
      </w:r>
    </w:p>
    <w:p>
      <w:pPr>
        <w:spacing w:after="64"/>
        <w:ind w:left="230" w:hanging="173"/>
      </w:pPr>
      <w:r>
        <w:t>• A logical decision has a stable dedupe_key within wallet/strategy/decision scope. Same key with different payload is conflict.</w:t>
      </w:r>
    </w:p>
    <w:p>
      <w:pPr>
        <w:spacing w:after="64"/>
        <w:ind w:left="230" w:hanging="173"/>
      </w:pPr>
      <w:r>
        <w:t>• Intent/reservation/outbox are durable before network. Canonical payload/order hash is persisted before an ambiguous side effect where possible.</w:t>
      </w:r>
    </w:p>
    <w:p>
      <w:pPr>
        <w:spacing w:after="64"/>
        <w:ind w:left="230" w:hanging="173"/>
      </w:pPr>
      <w:r>
        <w:t>• Network timeout after possible acceptance is UNKNOWN, not failure. Lookup uses order ID/hash/account/time/pagination/trades; insufficient lookup keeps UNKNOWN.</w:t>
      </w:r>
    </w:p>
    <w:p>
      <w:pPr>
        <w:spacing w:after="64"/>
        <w:ind w:left="230" w:hanging="173"/>
      </w:pPr>
      <w:r>
        <w:t>• Financial transport retry is narrower than ordinary API retry. 425/restricted-mode retry still requires TTL/quote/rules/venue-mode revalidation before a new submit attempt.</w:t>
      </w:r>
    </w:p>
    <w:p>
      <w:pPr>
        <w:pStyle w:val="Heading2"/>
        <w:keepNext/>
      </w:pPr>
      <w:r>
        <w:t>B11.2 Venue mode action matrix</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230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Venue mode</w:t>
            </w:r>
          </w:p>
        </w:tc>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New taker</w:t>
            </w:r>
          </w:p>
        </w:tc>
        <w:tc>
          <w:tcPr>
            <w:tcW w:type="dxa" w:w="302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New maker/postOnly</w:t>
            </w:r>
          </w:p>
        </w:tc>
        <w:tc>
          <w:tcPr>
            <w:tcW w:type="dxa" w:w="14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Cancel</w:t>
            </w:r>
          </w:p>
        </w:tc>
        <w:tc>
          <w:tcPr>
            <w:tcW w:type="dxa" w:w="172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Reconcile</w:t>
            </w:r>
          </w:p>
        </w:tc>
      </w:tr>
      <w:tr>
        <w:tc>
          <w:tcPr>
            <w:tcW w:type="dxa" w:w="230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NORMAL</w:t>
            </w:r>
          </w:p>
        </w:tc>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Allowed if permit valid</w:t>
            </w:r>
          </w:p>
        </w:tc>
        <w:tc>
          <w:tcPr>
            <w:tcW w:type="dxa" w:w="302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Allowed if permit valid</w:t>
            </w:r>
          </w:p>
        </w:tc>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Allowed</w:t>
            </w:r>
          </w:p>
        </w:tc>
        <w:tc>
          <w:tcPr>
            <w:tcW w:type="dxa" w:w="172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Required</w:t>
            </w:r>
          </w:p>
        </w:tc>
      </w:tr>
      <w:tr>
        <w:tc>
          <w:tcPr>
            <w:tcW w:type="dxa" w:w="230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POST_ONLY</w:t>
            </w:r>
          </w:p>
        </w:tc>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Blocked</w:t>
            </w:r>
          </w:p>
        </w:tc>
        <w:tc>
          <w:tcPr>
            <w:tcW w:type="dxa" w:w="302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Allowed only if strategy/order still valid post-only</w:t>
            </w:r>
          </w:p>
        </w:tc>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Allowed</w:t>
            </w:r>
          </w:p>
        </w:tc>
        <w:tc>
          <w:tcPr>
            <w:tcW w:type="dxa" w:w="172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Required</w:t>
            </w:r>
          </w:p>
        </w:tc>
      </w:tr>
      <w:tr>
        <w:tc>
          <w:tcPr>
            <w:tcW w:type="dxa" w:w="230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CANCEL_ONLY</w:t>
            </w:r>
          </w:p>
        </w:tc>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Blocked</w:t>
            </w:r>
          </w:p>
        </w:tc>
        <w:tc>
          <w:tcPr>
            <w:tcW w:type="dxa" w:w="302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Blocked</w:t>
            </w:r>
          </w:p>
        </w:tc>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Allowed</w:t>
            </w:r>
          </w:p>
        </w:tc>
        <w:tc>
          <w:tcPr>
            <w:tcW w:type="dxa" w:w="172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Required</w:t>
            </w:r>
          </w:p>
        </w:tc>
      </w:tr>
      <w:tr>
        <w:tc>
          <w:tcPr>
            <w:tcW w:type="dxa" w:w="230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RESTARTING / 425</w:t>
            </w:r>
          </w:p>
        </w:tc>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Blocked</w:t>
            </w:r>
          </w:p>
        </w:tc>
        <w:tc>
          <w:tcPr>
            <w:tcW w:type="dxa" w:w="302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Retry only after backoff + full revalidation</w:t>
            </w:r>
          </w:p>
        </w:tc>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Best effort per endpoint availability</w:t>
            </w:r>
          </w:p>
        </w:tc>
        <w:tc>
          <w:tcPr>
            <w:tcW w:type="dxa" w:w="172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Required when available</w:t>
            </w:r>
          </w:p>
        </w:tc>
      </w:tr>
      <w:tr>
        <w:tc>
          <w:tcPr>
            <w:tcW w:type="dxa" w:w="230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UNKNOWN / UNAVAILABLE</w:t>
            </w:r>
          </w:p>
        </w:tc>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Blocked</w:t>
            </w:r>
          </w:p>
        </w:tc>
        <w:tc>
          <w:tcPr>
            <w:tcW w:type="dxa" w:w="302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Blocked</w:t>
            </w:r>
          </w:p>
        </w:tc>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Best effort if reachable</w:t>
            </w:r>
          </w:p>
        </w:tc>
        <w:tc>
          <w:tcPr>
            <w:tcW w:type="dxa" w:w="172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Required / recovery snapshot</w:t>
            </w:r>
          </w:p>
        </w:tc>
      </w:tr>
    </w:tbl>
    <w:p>
      <w:pPr>
        <w:spacing w:after="0"/>
      </w:pPr>
    </w:p>
    <w:p>
      <w:pPr>
        <w:pStyle w:val="Heading2"/>
        <w:keepNext/>
      </w:pPr>
      <w:r>
        <w:t>B11.3 Rate governor</w:t>
      </w:r>
    </w:p>
    <w:p>
      <w:pPr>
        <w:spacing w:after="64"/>
        <w:ind w:left="230" w:hanging="173"/>
      </w:pPr>
      <w:r>
        <w:t>• Maintain separate budgets for critical cancel/reconcile/heartbeat versus market-data/research traffic; do not spend the emergency budget on discovery scans.</w:t>
      </w:r>
    </w:p>
    <w:p>
      <w:pPr>
        <w:spacing w:after="64"/>
        <w:ind w:left="230" w:hanging="173"/>
      </w:pPr>
      <w:r>
        <w:t>• Record queue_age_ms and deadline. Because Cloudflare can throttle by delaying/queueing, a request that reaches the front of a queue after intent TTL is no longer automatically valid.</w:t>
      </w:r>
    </w:p>
    <w:p>
      <w:pPr>
        <w:spacing w:after="64"/>
        <w:ind w:left="230" w:hanging="173"/>
      </w:pPr>
      <w:r>
        <w:t>• Use local token buckets below documented maximums, adaptive backoff, Retry-After where supplied and circuit-breaker behavior under persistent throttling.</w:t>
      </w:r>
    </w:p>
    <w:p>
      <w:pPr>
        <w:pStyle w:val="Heading1"/>
        <w:keepNext/>
      </w:pPr>
      <w:r>
        <w:t>B12. Ledger, Accounting, Reconciliation and Settlement</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331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Table / projection</w:t>
            </w:r>
          </w:p>
        </w:tc>
        <w:tc>
          <w:tcPr>
            <w:tcW w:type="dxa" w:w="698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Key constraints</w:t>
            </w:r>
          </w:p>
        </w:tc>
      </w:tr>
      <w:tr>
        <w:tc>
          <w:tcPr>
            <w:tcW w:type="dxa" w:w="331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wallets / credentials / asset_registry</w:t>
            </w:r>
          </w:p>
        </w:tc>
        <w:tc>
          <w:tcPr>
            <w:tcW w:type="dxa" w:w="698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Verified signer/wallet/wallet_type/chain/contracts/decimals; secret references only, never raw secret in ledger.</w:t>
            </w:r>
          </w:p>
        </w:tc>
      </w:tr>
      <w:tr>
        <w:tc>
          <w:tcPr>
            <w:tcW w:type="dxa" w:w="331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autonomy_charters / policy_versions</w:t>
            </w:r>
          </w:p>
        </w:tc>
        <w:tc>
          <w:tcPr>
            <w:tcW w:type="dxa" w:w="698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Immutable version/hash/effective/expiry/revocation; governance proof.</w:t>
            </w:r>
          </w:p>
        </w:tc>
      </w:tr>
      <w:tr>
        <w:tc>
          <w:tcPr>
            <w:tcW w:type="dxa" w:w="331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markets / market_versions / graph_edges</w:t>
            </w:r>
          </w:p>
        </w:tc>
        <w:tc>
          <w:tcPr>
            <w:tcW w:type="dxa" w:w="698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Official IDs; rules/fee/mode validity; native/inferred relation provenance.</w:t>
            </w:r>
          </w:p>
        </w:tc>
      </w:tr>
      <w:tr>
        <w:tc>
          <w:tcPr>
            <w:tcW w:type="dxa" w:w="331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evidence / forecasts / experiments</w:t>
            </w:r>
          </w:p>
        </w:tc>
        <w:tc>
          <w:tcPr>
            <w:tcW w:type="dxa" w:w="698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available_at/source cutoff, model/prompt/calibrator/ensemble lineage, labels only after finality.</w:t>
            </w:r>
          </w:p>
        </w:tc>
      </w:tr>
      <w:tr>
        <w:tc>
          <w:tcPr>
            <w:tcW w:type="dxa" w:w="331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intents / decisions / reservations</w:t>
            </w:r>
          </w:p>
        </w:tc>
        <w:tc>
          <w:tcPr>
            <w:tcW w:type="dxa" w:w="698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UNIQUE(wallet,dedupe_key), exact asset units, ledger/policy/quote/lease versions.</w:t>
            </w:r>
          </w:p>
        </w:tc>
      </w:tr>
      <w:tr>
        <w:tc>
          <w:tcPr>
            <w:tcW w:type="dxa" w:w="331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orders / venue_trades / settlements</w:t>
            </w:r>
          </w:p>
        </w:tc>
        <w:tc>
          <w:tcPr>
            <w:tcW w:type="dxa" w:w="698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Unique venue/account IDs; raw + internal status, quantities, fee/rebate, timestamps/receipt.</w:t>
            </w:r>
          </w:p>
        </w:tc>
      </w:tr>
      <w:tr>
        <w:tc>
          <w:tcPr>
            <w:tcW w:type="dxa" w:w="331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ledger_events / postings</w:t>
            </w:r>
          </w:p>
        </w:tc>
        <w:tc>
          <w:tcPr>
            <w:tcW w:type="dxa" w:w="698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Append-only, dedupe/version; balanced postings per asset; correction_of_event_id.</w:t>
            </w:r>
          </w:p>
        </w:tc>
      </w:tr>
      <w:tr>
        <w:tc>
          <w:tcPr>
            <w:tcW w:type="dxa" w:w="331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wallet_projections / position_lots</w:t>
            </w:r>
          </w:p>
        </w:tc>
        <w:tc>
          <w:tcPr>
            <w:tcW w:type="dxa" w:w="698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projected_event_seq; free/reserved/pending/settled; weighted-average or frozen cost-basis method.</w:t>
            </w:r>
          </w:p>
        </w:tc>
      </w:tr>
      <w:tr>
        <w:tc>
          <w:tcPr>
            <w:tcW w:type="dxa" w:w="331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outbox_jobs / inbox_events / leases</w:t>
            </w:r>
          </w:p>
        </w:tc>
        <w:tc>
          <w:tcPr>
            <w:tcW w:type="dxa" w:w="698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Transactional outbox, event/status dedupe, retry class, lease epoch/expiry.</w:t>
            </w:r>
          </w:p>
        </w:tc>
      </w:tr>
      <w:tr>
        <w:tc>
          <w:tcPr>
            <w:tcW w:type="dxa" w:w="331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audit / costs / gate_reports</w:t>
            </w:r>
          </w:p>
        </w:tc>
        <w:tc>
          <w:tcPr>
            <w:tcW w:type="dxa" w:w="698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Actor/correlation IDs, before/after hash, model/data/infra costs, release/test evidence, redacted secrets.</w:t>
            </w:r>
          </w:p>
        </w:tc>
      </w:tr>
    </w:tbl>
    <w:p>
      <w:pPr>
        <w:spacing w:after="0"/>
      </w:pPr>
    </w:p>
    <w:p>
      <w:pPr>
        <w:spacing w:after="64"/>
        <w:ind w:left="230" w:hanging="173"/>
      </w:pPr>
      <w:r>
        <w:t>• Free cash = verified settled spendable pUSD - active cash reservations, without counting a reservation twice after it becomes a fill. Free shares = settled inventory - sell reservations.</w:t>
      </w:r>
    </w:p>
    <w:p>
      <w:pPr>
        <w:spacing w:after="64"/>
        <w:ind w:left="230" w:hanging="173"/>
      </w:pPr>
      <w:r>
        <w:t>• Pending matched exposure consumes risk even before it is sellable. ACK/open order produces no realized PnL.</w:t>
      </w:r>
    </w:p>
    <w:p>
      <w:pPr>
        <w:spacing w:after="64"/>
        <w:ind w:left="230" w:hanging="173"/>
      </w:pPr>
      <w:r>
        <w:t>• Net economic PnL = trading PnL - operating costs + realized rebates; deposits/withdrawals are cash flows, not profit.</w:t>
      </w:r>
    </w:p>
    <w:p>
      <w:pPr>
        <w:spacing w:after="64"/>
        <w:ind w:left="230" w:hanging="173"/>
      </w:pPr>
      <w:r>
        <w:t>• Reconcile immediately at startup/reconnect/unknown and target every 15s while healthy. Material drift blocks new entry and is never “rounded away.”</w:t>
      </w:r>
    </w:p>
    <w:p>
      <w:pPr>
        <w:pStyle w:val="Heading1"/>
        <w:keepNext/>
      </w:pPr>
      <w:r>
        <w:t>B13. Security Architecture</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59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Threat</w:t>
            </w:r>
          </w:p>
        </w:tc>
        <w:tc>
          <w:tcPr>
            <w:tcW w:type="dxa" w:w="770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Control stack</w:t>
            </w:r>
          </w:p>
        </w:tc>
      </w:tr>
      <w:tr>
        <w:tc>
          <w:tcPr>
            <w:tcW w:type="dxa" w:w="25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Indirect prompt injection</w:t>
            </w:r>
          </w:p>
        </w:tc>
        <w:tc>
          <w:tcPr>
            <w:tcW w:type="dxa" w:w="770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Research quarantine -&gt; source/HTML/text normalization -&gt; untrusted marker -&gt; structured schema -&gt; privileged forecast context without executable instructions -&gt; no signer capability.</w:t>
            </w:r>
          </w:p>
        </w:tc>
      </w:tr>
      <w:tr>
        <w:tc>
          <w:tcPr>
            <w:tcW w:type="dxa" w:w="25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SSRF/internal-network probing</w:t>
            </w:r>
          </w:p>
        </w:tc>
        <w:tc>
          <w:tcPr>
            <w:tcW w:type="dxa" w:w="770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Controlled egress, scheme/domain/IP validation, private/link-local/localhost/metadata deny, DNS/redirect revalidation, response/decompression/time caps.</w:t>
            </w:r>
          </w:p>
        </w:tc>
      </w:tr>
      <w:tr>
        <w:tc>
          <w:tcPr>
            <w:tcW w:type="dxa" w:w="25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Malicious strategy/plugin</w:t>
            </w:r>
          </w:p>
        </w:tc>
        <w:tc>
          <w:tcPr>
            <w:tcW w:type="dxa" w:w="770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Separate process/container or hardened worker, no host env/Docker socket/raw DB/signer, explicit capability manifest, signed release.</w:t>
            </w:r>
          </w:p>
        </w:tc>
      </w:tr>
      <w:tr>
        <w:tc>
          <w:tcPr>
            <w:tcW w:type="dxa" w:w="25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Credential leakage</w:t>
            </w:r>
          </w:p>
        </w:tc>
        <w:tc>
          <w:tcPr>
            <w:tcW w:type="dxa" w:w="770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Secret store/file permissions, per-service secret mounts, canary/redaction, no secret in prompt/log/export/backups, narrow signer.</w:t>
            </w:r>
          </w:p>
        </w:tc>
      </w:tr>
      <w:tr>
        <w:tc>
          <w:tcPr>
            <w:tcW w:type="dxa" w:w="25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Supply-chain compromise</w:t>
            </w:r>
          </w:p>
        </w:tc>
        <w:tc>
          <w:tcPr>
            <w:tcW w:type="dxa" w:w="770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Dependency amputation, exact lock/digests, SBOM/provenance, install-script review, vulnerability/secret scans, immutable image.</w:t>
            </w:r>
          </w:p>
        </w:tc>
      </w:tr>
      <w:tr>
        <w:tc>
          <w:tcPr>
            <w:tcW w:type="dxa" w:w="25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Privilege escalation from UI</w:t>
            </w:r>
          </w:p>
        </w:tc>
        <w:tc>
          <w:tcPr>
            <w:tcW w:type="dxa" w:w="770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TLS, strong auth, HttpOnly/Secure/SameSite, CSRF, governance reauth, internal network isolation, audit.</w:t>
            </w:r>
          </w:p>
        </w:tc>
      </w:tr>
    </w:tbl>
    <w:p>
      <w:pPr>
        <w:spacing w:after="0"/>
      </w:pPr>
    </w:p>
    <w:p>
      <w:pPr>
        <w:pStyle w:val="Heading1"/>
        <w:keepNext/>
      </w:pPr>
      <w:r>
        <w:t>B14. Deployment, Persistence and Observability</w:t>
      </w:r>
    </w:p>
    <w:p>
      <w:pPr>
        <w:pStyle w:val="Heading2"/>
        <w:keepNext/>
      </w:pPr>
      <w:r>
        <w:t>B14.1 Initial VPS layout</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44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Unit</w:t>
            </w:r>
          </w:p>
        </w:tc>
        <w:tc>
          <w:tcPr>
            <w:tcW w:type="dxa" w:w="784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Boundary / resource rule</w:t>
            </w:r>
          </w:p>
        </w:tc>
      </w:tr>
      <w:tr>
        <w:tc>
          <w:tcPr>
            <w:tcW w:type="dxa" w:w="244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Reverse proxy</w:t>
            </w:r>
          </w:p>
        </w:tc>
        <w:tc>
          <w:tcPr>
            <w:tcW w:type="dxa" w:w="784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Only public HTTPS dashboard/API; rate limits/headers; no internal executor/DB routes.</w:t>
            </w:r>
          </w:p>
        </w:tc>
      </w:tr>
      <w:tr>
        <w:tc>
          <w:tcPr>
            <w:tcW w:type="dxa" w:w="244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Gateway/control</w:t>
            </w:r>
          </w:p>
        </w:tc>
        <w:tc>
          <w:tcPr>
            <w:tcW w:type="dxa" w:w="784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Non-root; no trading secret; owner session + read models + governance command inbox.</w:t>
            </w:r>
          </w:p>
        </w:tc>
      </w:tr>
      <w:tr>
        <w:tc>
          <w:tcPr>
            <w:tcW w:type="dxa" w:w="244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Data/research/intelligence</w:t>
            </w:r>
          </w:p>
        </w:tc>
        <w:tc>
          <w:tcPr>
            <w:tcW w:type="dxa" w:w="784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Read-only/research roles; controlled egress; CPU/memory limits; no signer/financial writer.</w:t>
            </w:r>
          </w:p>
        </w:tc>
      </w:tr>
      <w:tr>
        <w:tc>
          <w:tcPr>
            <w:tcW w:type="dxa" w:w="244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Strategy workers</w:t>
            </w:r>
          </w:p>
        </w:tc>
        <w:tc>
          <w:tcPr>
            <w:tcW w:type="dxa" w:w="784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Sandboxed, exact strategy image/version; no secrets; proposal output only.</w:t>
            </w:r>
          </w:p>
        </w:tc>
      </w:tr>
      <w:tr>
        <w:tc>
          <w:tcPr>
            <w:tcW w:type="dxa" w:w="244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Money kernel/executor</w:t>
            </w:r>
          </w:p>
        </w:tc>
        <w:tc>
          <w:tcPr>
            <w:tcW w:type="dxa" w:w="784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Private network; single wallet lease authority; financial DB roles; no general web browsing/LLM.</w:t>
            </w:r>
          </w:p>
        </w:tc>
      </w:tr>
      <w:tr>
        <w:tc>
          <w:tcPr>
            <w:tcW w:type="dxa" w:w="244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Signer Vault</w:t>
            </w:r>
          </w:p>
        </w:tc>
        <w:tc>
          <w:tcPr>
            <w:tcW w:type="dxa" w:w="784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Smallest possible process/secret scope; allowlisted local RPC from executor only.</w:t>
            </w:r>
          </w:p>
        </w:tc>
      </w:tr>
      <w:tr>
        <w:tc>
          <w:tcPr>
            <w:tcW w:type="dxa" w:w="244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PostgreSQL</w:t>
            </w:r>
          </w:p>
        </w:tc>
        <w:tc>
          <w:tcPr>
            <w:tcW w:type="dxa" w:w="784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Private bind; separate roles; durable storage; connection/statement limits; WAL/disk monitoring.</w:t>
            </w:r>
          </w:p>
        </w:tc>
      </w:tr>
      <w:tr>
        <w:tc>
          <w:tcPr>
            <w:tcW w:type="dxa" w:w="244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Backup/monitor</w:t>
            </w:r>
          </w:p>
        </w:tc>
        <w:tc>
          <w:tcPr>
            <w:tcW w:type="dxa" w:w="784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Encrypted off-host backups, restore key separate from VPS, metrics/log/alert pipeline.</w:t>
            </w:r>
          </w:p>
        </w:tc>
      </w:tr>
    </w:tbl>
    <w:p>
      <w:pPr>
        <w:spacing w:after="0"/>
      </w:pPr>
    </w:p>
    <w:tbl>
      <w:tblPr>
        <w:tblW w:type="auto" w:w="0"/>
        <w:jc w:val="center"/>
        <w:tblLook w:firstColumn="1" w:firstRow="1" w:lastColumn="0" w:lastRow="0" w:noHBand="0" w:noVBand="1" w:val="04A0"/>
      </w:tblPr>
      <w:tblGrid>
        <w:gridCol w:w="9936"/>
      </w:tblGrid>
      <w:tr>
        <w:trPr>
          <w:cantSplit/>
        </w:trPr>
        <w:tc>
          <w:tcPr>
            <w:tcW w:type="dxa" w:w="9936"/>
            <w:shd w:fill="FFF6DD"/>
            <w:tcMar>
              <w:top w:w="115" w:type="dxa"/>
              <w:start w:w="145" w:type="dxa"/>
              <w:bottom w:w="115" w:type="dxa"/>
              <w:end w:w="145" w:type="dxa"/>
            </w:tcMar>
            <w:tcBorders>
              <w:top w:val="single" w:sz="6" w:color="C9D5DE"/>
              <w:left w:val="single" w:sz="6" w:color="C9D5DE"/>
              <w:bottom w:val="single" w:sz="6" w:color="C9D5DE"/>
              <w:right w:val="single" w:sz="6" w:color="C9D5DE"/>
            </w:tcBorders>
          </w:tcPr>
          <w:p>
            <w:pPr>
              <w:spacing w:after="0"/>
            </w:pPr>
            <w:r>
              <w:rPr>
                <w:b/>
                <w:color w:val="9A6A00"/>
              </w:rPr>
              <w:t xml:space="preserve">Initial capacity target  </w:t>
            </w:r>
            <w:r>
              <w:rPr>
                <w:color w:val="233646"/>
              </w:rPr>
              <w:t>Start with a measured budget around 4 vCPU / 8 GiB RAM / &gt;=40 GiB free SSD for this service plus off-host backup, inherited as a planning baseline from v1.0. Benchmark real market count, streams, research load and storage growth before co-locating other heavy services.</w:t>
            </w:r>
          </w:p>
        </w:tc>
      </w:tr>
    </w:tbl>
    <w:p>
      <w:pPr>
        <w:pStyle w:val="Heading2"/>
        <w:keepNext/>
      </w:pPr>
      <w:r>
        <w:t>B14.2 Observability</w:t>
      </w:r>
    </w:p>
    <w:p>
      <w:r>
        <w:rPr>
          <w:b/>
        </w:rPr>
        <w:t xml:space="preserve">Required metrics: </w:t>
      </w:r>
      <w:r>
        <w:t>runtime_state, venue_mode, risk_tier, quote_age_ms, metadata_age_s, forecast_age_s, graph_version_age, user_stream_lag, heartbeat_age, rate_bucket_remaining, queue_age, permit_age, unknown_order_count, reconciliation_diff, reserved/free cash, pending settlement, exposure by cluster, loss latch, strategy health, forecast cost, llm/data cost, clock skew, disk/WAL, backup_age, restore_test_age, execution_reality_gap.</w:t>
      </w:r>
    </w:p>
    <w:p>
      <w:r>
        <w:rPr>
          <w:b/>
        </w:rPr>
        <w:t xml:space="preserve">Log identity: </w:t>
      </w:r>
      <w:r>
        <w:t>correlation_id, charter/policy hash, strategy/forecast/intent/decision/order IDs, event_seq, venue_mode and reason_code. High-cardinality labels such as arbitrary evidence URLs/order IDs stay in structured logs, not unbounded metric labels.</w:t>
      </w:r>
    </w:p>
    <w:p>
      <w:pPr>
        <w:pStyle w:val="Heading1"/>
        <w:keepNext/>
      </w:pPr>
      <w:r>
        <w:t>B15. Paper, Shadow, Prospective Research and Autonomous Learning</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376"/>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Stage</w:t>
            </w:r>
          </w:p>
        </w:tc>
        <w:tc>
          <w:tcPr>
            <w:tcW w:type="dxa" w:w="792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Protocol</w:t>
            </w:r>
          </w:p>
        </w:tc>
      </w:tr>
      <w:tr>
        <w:tc>
          <w:tcPr>
            <w:tcW w:type="dxa" w:w="23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Preregistration</w:t>
            </w:r>
          </w:p>
        </w:tc>
        <w:tc>
          <w:tcPr>
            <w:tcW w:type="dxa" w:w="79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Universe/eligibility, strategy/model/prompt/calibrator/aggregator, parameter envelope, costs, benchmarks, metrics, CI/bootstrap, stopping rule and sensitivity frozen before final evaluation.</w:t>
            </w:r>
          </w:p>
        </w:tc>
      </w:tr>
      <w:tr>
        <w:tc>
          <w:tcPr>
            <w:tcW w:type="dxa" w:w="23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Historical replay</w:t>
            </w:r>
          </w:p>
        </w:tc>
        <w:tc>
          <w:tcPr>
            <w:tcW w:type="dxa" w:w="79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Rolling-origin/time-respecting; evidence available_at enforced; complete market-selection log; use as debugging/priors only because LLM pretraining contamination may exist.</w:t>
            </w:r>
          </w:p>
        </w:tc>
      </w:tr>
      <w:tr>
        <w:tc>
          <w:tcPr>
            <w:tcW w:type="dxa" w:w="23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PAPER live</w:t>
            </w:r>
          </w:p>
        </w:tc>
        <w:tc>
          <w:tcPr>
            <w:tcW w:type="dxa" w:w="79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Use contemporaneous book/depth/tick/min-size/fees, latency and conservative queue/fill model; report uncertain fill rather than inventing one.</w:t>
            </w:r>
          </w:p>
        </w:tc>
      </w:tr>
      <w:tr>
        <w:tc>
          <w:tcPr>
            <w:tcW w:type="dxa" w:w="23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SHADOW prospective</w:t>
            </w:r>
          </w:p>
        </w:tc>
        <w:tc>
          <w:tcPr>
            <w:tcW w:type="dxa" w:w="79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Freeze exact version; record hypothetical intents/quotes/research without orders; same-time market baseline; no post-resolution leakage.</w:t>
            </w:r>
          </w:p>
        </w:tc>
      </w:tr>
      <w:tr>
        <w:tc>
          <w:tcPr>
            <w:tcW w:type="dxa" w:w="23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micro-LIVE</w:t>
            </w:r>
          </w:p>
        </w:tc>
        <w:tc>
          <w:tcPr>
            <w:tcW w:type="dxa" w:w="79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Validate actual signing, rate/mode behavior, fill/settlement, fees/rebates and simulator reality gap under small explicit cap.</w:t>
            </w:r>
          </w:p>
        </w:tc>
      </w:tr>
      <w:tr>
        <w:tc>
          <w:tcPr>
            <w:tcW w:type="dxa" w:w="23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Autonomous experiment factory</w:t>
            </w:r>
          </w:p>
        </w:tc>
        <w:tc>
          <w:tcPr>
            <w:tcW w:type="dxa" w:w="79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System may propose/test new hypotheses in PAPER/SHADOW inside compute budget; all variants enter registry; no code/strategy auto-promotes to LIVE.</w:t>
            </w:r>
          </w:p>
        </w:tc>
      </w:tr>
    </w:tbl>
    <w:p>
      <w:pPr>
        <w:spacing w:after="0"/>
      </w:pPr>
    </w:p>
    <w:p>
      <w:pPr>
        <w:spacing w:after="64"/>
        <w:ind w:left="230" w:hanging="173"/>
      </w:pPr>
      <w:r>
        <w:t>• Forecast metrics: Brier, log loss, calibration/reliability, sharpness, abstention/coverage and same-timestamp market baseline by category/horizon/model/ensemble.</w:t>
      </w:r>
    </w:p>
    <w:p>
      <w:pPr>
        <w:spacing w:after="64"/>
        <w:ind w:left="230" w:hanging="173"/>
      </w:pPr>
      <w:r>
        <w:t>• Trading metrics: gross/net PnL and edge, drawdown, turnover, fill/cancel ratio, execution reality gap, fees/rebates, LLM/data/infra cost, capacity/depth, concentration and independent event clusters.</w:t>
      </w:r>
    </w:p>
    <w:p>
      <w:pPr>
        <w:spacing w:after="64"/>
        <w:ind w:left="230" w:hanging="173"/>
      </w:pPr>
      <w:r>
        <w:t>• Use clustered bootstrap or equivalent preregistered uncertainty where dependencies exist. Too few independent clusters means inconclusive, not “pass.”</w:t>
      </w:r>
    </w:p>
    <w:p>
      <w:pPr>
        <w:spacing w:after="64"/>
        <w:ind w:left="230" w:hanging="173"/>
      </w:pPr>
      <w:r>
        <w:t>• Track all tried variants and failed hypotheses. Multiple testing and repeated peeking are explicit risks; best-of-many historical result alone is not promotion evidence.</w:t>
      </w:r>
    </w:p>
    <w:p>
      <w:pPr>
        <w:pStyle w:val="Heading1"/>
        <w:keepNext/>
      </w:pPr>
      <w:r>
        <w:t>B16. Traceability and 96 Primary Acceptance Scenarios</w:t>
      </w:r>
    </w:p>
    <w:p>
      <w:r>
        <w:rPr>
          <w:b/>
        </w:rPr>
        <w:t xml:space="preserve">Trace rule. </w:t>
      </w:r>
      <w:r>
        <w:t>Each PR-* requirement from the PRD maps to exactly one primary T-PR-* scenario below. These are acceptance specifications, not claims of executed tests. Implementation expands each into unit, property, contract, concurrency, fault and security tests as appropriate.</w:t>
      </w:r>
    </w:p>
    <w:p>
      <w:pPr>
        <w:pStyle w:val="Heading2"/>
        <w:keepNext/>
      </w:pPr>
      <w:r>
        <w:t>B16.1 Acceptance — Governance &amp; autonomy charter</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Test / priority</w:t>
            </w:r>
          </w:p>
        </w:tc>
        <w:tc>
          <w:tcPr>
            <w:tcW w:type="dxa" w:w="74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Scenario -&gt; required result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T-PR-GOV-01</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Change an upstream/dependency hash: release is rejected until the manifest and disposition matrix are updated.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G0-G1</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T-PR-GOV-02</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Enable a second venue without its venue gate: LIVE routing refuses it while research/PAPER remains available.</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T-PR-GOV-03</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With an active charter, 100 eligible intents can execute without interactive approval; an expired/superseded charter blocks new risk.</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T-PR-GOV-04</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Disconnect the dashboard/operator: an eligible autonomous cycle continues; only governance-changing actions are unavailable.</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T-PR-GOV-05</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Prompt/tool call attempts to raise limits or enable an unqualified strategy are rejected, audited, and do not change the policy hash.</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G1-G3</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T-PR-GOV-06</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Simulate CLOSE_ONLY/BLOCKED: entry is denied; only platform-permitted risk reduction/cancel is attempted and status is visible.</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T-PR-GOV-07</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Attempt governance mutation from LLM/research process: 403/capability rejection and immutable audit event.</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T-PR-GOV-08</w:t>
              <w:br/>
              <w:t>P1</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Add a connector without license/data-right record: build or strategy eligibility gate fails.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G0-G3</w:t>
            </w:r>
          </w:p>
        </w:tc>
      </w:tr>
    </w:tbl>
    <w:p>
      <w:pPr>
        <w:spacing w:after="0"/>
      </w:pPr>
    </w:p>
    <w:p>
      <w:pPr>
        <w:pStyle w:val="Heading2"/>
        <w:keepNext/>
      </w:pPr>
      <w:r>
        <w:t>B16.2 Acceptance — 24/7 autonomy runtime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Test / priority</w:t>
            </w:r>
          </w:p>
        </w:tc>
        <w:tc>
          <w:tcPr>
            <w:tcW w:type="dxa" w:w="74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Scenario -&gt; required result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T-PR-AUT-01</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Kill each service at randomized boundaries: supervisor restores it; no duplicate economic execution occurs.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T-PR-AUT-02</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Run a 24-hour deterministic scenario with no UI session: the loop completes entries/exits/reconciliation within charter limits.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T-PR-AUT-03</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Inject network/DB/provider outages: entries pause, state reconciles, and the system resumes automatically only after blockers clear.</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T-PR-AUT-04</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Primary provider fails mid-cycle: fallback either produces a valid new-lineage forecast or abstains; executor/reconciler remain healthy.</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T-PR-AUT-05</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Two qualified strategies issue conflicting intents: arbiter applies frozen precedence/portfolio rules and never double-counts desired exposure.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T-PR-AUT-06</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Trigger each tier: all new decisions use stricter limits; recovery to a higher tier follows only preconfigured, auditable criteria.</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T-PR-AUT-07</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Adaptive tuner proposes out-of-envelope parameter: rejected; in-envelope change creates a new parameter/version record.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T-PR-AUT-08</w:t>
              <w:br/>
              <w:t>P1</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Auto-generated strategy runs in isolated PAPER/SHADOW only; attempted LIVE promotion without signed release gate fails.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bl>
    <w:p>
      <w:pPr>
        <w:spacing w:after="0"/>
      </w:pPr>
    </w:p>
    <w:p>
      <w:pPr>
        <w:pStyle w:val="Heading2"/>
        <w:keepNext/>
      </w:pPr>
      <w:r>
        <w:t>B16.3 Acceptance — Wallet, credentials &amp; signer</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Test / priority</w:t>
            </w:r>
          </w:p>
        </w:tc>
        <w:tc>
          <w:tcPr>
            <w:tcW w:type="dxa" w:w="74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Scenario -&gt; required result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T-PR-WAL-01</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SDK upgrade changes a method/schema: adapter contract test fails before release; financial domain code remains unchanged.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G0-G1</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T-PR-WAL-02</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Exercise supported fixtures for wallet types; unsupported signature type fails before signing/submission.</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G0-G4</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T-PR-WAL-03</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Swap signer and wallet in a fixture: startup/submit fails before any financial side effect.</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G0-G4</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T-PR-WAL-04</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Revoke/rotate L2 credentials: executor transitions safely and old credentials cannot authorize new requests.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T-PR-WAL-05</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Compromise research container: no relayer/builder key is readable; wallet administration endpoints are absent.</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G1-G4</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T-PR-WAL-06</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Wallet has nominal balance but missing allowance: free spendable cash is lower and entry is rejected until setup is valid.</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T-PR-WAL-07</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Send arbitrary contract calldata or mismatched amount/policy hash to signer: signing is refused and audited.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G1-G4</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T-PR-WAL-08</w:t>
              <w:br/>
              <w:t>P1</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Strategy/LLM requests a transfer/bridge: no tool exists; approved break-glass workflow remains separate from trading autonomy.</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bl>
    <w:p>
      <w:pPr>
        <w:spacing w:after="0"/>
      </w:pPr>
    </w:p>
    <w:p>
      <w:pPr>
        <w:pStyle w:val="Heading2"/>
        <w:keepNext/>
      </w:pPr>
      <w:r>
        <w:t>B16.4 Acceptance — Market data &amp; graph</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Test / priority</w:t>
            </w:r>
          </w:p>
        </w:tc>
        <w:tc>
          <w:tcPr>
            <w:tcW w:type="dxa" w:w="74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Scenario -&gt; required result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T-PR-DATA-01</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Two same-title markets with different IDs never share positions, forecasts or ledger state.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T-PR-DATA-02</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Change rules/clarification after forecast: stale intent fails RULES_CHANGED and requires a new forecast.</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T-PR-DATA-03</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Drop/reorder stream events: entry stops until fresh snapshot/reconciliation proves a coherent state.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T-PR-DATA-04</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Inject post-only/cancel-only/425: order behavior changes correctly instead of blind retry.</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T-PR-DATA-05</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Negative-risk event fixture creates mutually-exclusive/native edges and consistent exposure grouping.</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T-PR-DATA-06</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Low-confidence inferred edge may inform risk/research but cannot trigger structural-arbitrage execution.</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T-PR-DATA-07</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Replay universe for a day reproduces the exact eligible/rejected set and reason codes.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T-PR-DATA-08</w:t>
              <w:br/>
              <w:t>P1</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Complete experiment remains reproducible after hot raw-book retention expires.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bl>
    <w:p>
      <w:pPr>
        <w:spacing w:after="0"/>
      </w:pPr>
    </w:p>
    <w:p>
      <w:pPr>
        <w:pStyle w:val="Heading2"/>
        <w:keepNext/>
      </w:pPr>
      <w:r>
        <w:t>B16.5 Acceptance — Intelligence &amp; forecasting</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Test / priority</w:t>
            </w:r>
          </w:p>
        </w:tc>
        <w:tc>
          <w:tcPr>
            <w:tcW w:type="dxa" w:w="74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Scenario -&gt; required result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T-PR-INT-01</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Malformed/out-of-range/missing-lineage forecast is rejected before strategy use.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T-PR-INT-02</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Evaluation report compares model to same-timestamp market baseline without leakage from later prices.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T-PR-INT-03</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Seed a one-sided evidence set: counter-search surfaces opposing evidence or records a documented coverage failure.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T-PR-INT-04</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Three syndicated copies contribute one independent source; first-party primary source remains distinguishable.</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T-PR-INT-05</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Remove one component: ensemble reruns with changed lineage and no hidden substitution; all component outputs remain auditable.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T-PR-INT-06</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Model/category shift cannot silently inherit an incompatible calibrator; system abstains or uses an eligible fallback.</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T-PR-INT-07</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Canary future evidence never appears in historical replay; model alias change creates a new lineage record.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T-PR-INT-08</w:t>
              <w:br/>
              <w:t>P1</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Exhaust all LLM quota: no stale forecast creates an entry and financial safety processes continue.</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bl>
    <w:p>
      <w:pPr>
        <w:spacing w:after="0"/>
      </w:pPr>
    </w:p>
    <w:p>
      <w:pPr>
        <w:pStyle w:val="Heading2"/>
        <w:keepNext/>
      </w:pPr>
      <w:r>
        <w:t>B16.6 Acceptance — Strategy platform</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Test / priority</w:t>
            </w:r>
          </w:p>
        </w:tc>
        <w:tc>
          <w:tcPr>
            <w:tcW w:type="dxa" w:w="74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Scenario -&gt; required result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T-PR-STR-01</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Malicious strategy attempts filesystem/env/network escape: sandbox/allowlist blocks it and signer remains unreachable.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T-PR-STR-02</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Positive raw edge that disappears after conservative probability/cost/depth produces NO_TRADE.</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T-PR-STR-03</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Inconsistent native negative-risk group is detected in PAPER; inferred-only relationship cannot bypass validation gate.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T-PR-STR-04</w:t>
              <w:br/>
              <w:t>P1</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Maker rebate rises but adverse selection makes net EV negative: no quote is placed.</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G4-G7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T-PR-STR-05</w:t>
              <w:br/>
              <w:t>P1</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High-PnL wallet without sufficient independent history/causal timing is excluded or down-weighted.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G4-G7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T-PR-STR-06</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Simultaneous intents for same token/event are netted into one bounded desired exposure.</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T-PR-STR-07</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 position with deteriorated hold EV exits/reduces without waiting for human approval or market resolution.</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T-PR-STR-08</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Change one threshold during holdout: new experiment/version created and old results remain immutable.</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bl>
    <w:p>
      <w:pPr>
        <w:spacing w:after="0"/>
      </w:pPr>
    </w:p>
    <w:p>
      <w:pPr>
        <w:pStyle w:val="Heading2"/>
        <w:keepNext/>
      </w:pPr>
      <w:r>
        <w:t>B16.7 Acceptance — Money kernel &amp; risk</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Test / priority</w:t>
            </w:r>
          </w:p>
        </w:tc>
        <w:tc>
          <w:tcPr>
            <w:tcW w:type="dxa" w:w="74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Scenario -&gt; required result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T-PR-RISK-01</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Parallel intents that together breach a cap result in at most the safe subset being reserved.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T-PR-RISK-02</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Three markets from one event cannot each consume a separate full market cap.</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T-PR-RISK-03</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Crash after reservation/before submit and timeout-after-submit preserve correct capacity across restart.</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T-PR-RISK-04</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LLM says “95% confident” with unchanged calibrated distribution: position size does not increase.</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T-PR-RISK-05</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Safe size falls below min_size: system abstains instead of rounding up.</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T-PR-RISK-06</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Daily stop persists through restart; configured next-period recovery resumes at reduced tier without human trade approval.</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T-PR-RISK-07</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Cancel failure does not falsely free shares; flatten reports partial/failure rather than claiming zero exposure.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T-PR-RISK-08</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Unknown order cannot be ignored to place replacement exposure; external trade immediately changes available risk.</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bl>
    <w:p>
      <w:pPr>
        <w:spacing w:after="0"/>
      </w:pPr>
    </w:p>
    <w:p>
      <w:pPr>
        <w:pStyle w:val="Heading2"/>
        <w:keepNext/>
      </w:pPr>
      <w:r>
        <w:t>B16.8 Acceptance — Execution &amp; venue lifecycle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Test / priority</w:t>
            </w:r>
          </w:p>
        </w:tc>
        <w:tc>
          <w:tcPr>
            <w:tcW w:type="dxa" w:w="74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Scenario -&gt; required result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T-PR-EXE-01</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Call-graph/security tests find no active direct order/sign path outside the executor boundary.</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T-PR-EXE-02</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Read-only contract test against current API/SDK matches frozen adapter fixtures; mismatch blocks release.</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T-PR-EXE-03</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Repeat identical logical request 100 times: one intent and at most one active economic order result.</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T-PR-EXE-04</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Venue accepts but response is lost: system finds/holds the order without a duplicate submit.</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T-PR-EXE-05</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Partial fill arrives during cancel: replacement does not duplicate position and reservations transition exactly once.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T-PR-EXE-06</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Out-of-order/duplicate trade events cannot downgrade terminal state or double-post economic effect.</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T-PR-EXE-07</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Throttle/425/post-only fixture delays request beyond TTL: stale intent is re-evaluated or cancelled, not submitted late.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T-PR-EXE-08</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Paper predicts fill but micro-LIVE repeatedly misses: simulator calibration worsens and strategy gate reflects the reality gap.</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G4-G7</w:t>
            </w:r>
          </w:p>
        </w:tc>
      </w:tr>
    </w:tbl>
    <w:p>
      <w:pPr>
        <w:spacing w:after="0"/>
      </w:pPr>
    </w:p>
    <w:p>
      <w:pPr>
        <w:pStyle w:val="Heading2"/>
        <w:keepNext/>
      </w:pPr>
      <w:r>
        <w:t>B16.9 Acceptance — Ledger &amp; reconciliation</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Test / priority</w:t>
            </w:r>
          </w:p>
        </w:tc>
        <w:tc>
          <w:tcPr>
            <w:tcW w:type="dxa" w:w="74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Scenario -&gt; required result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T-PR-LED-01</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Replay identical event stream produces identical balances/PnL with no duplicate economic effect.</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T-PR-LED-02</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Property tests across rounding/fee-in-cash-or-shares preserve asset identities.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T-PR-LED-03</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Delete projections and rebuild from events: result matches before deletion.</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T-PR-LED-04</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Inject balance/trade drift: new entries stop and discrepancy is resolved or explicitly escalated.</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T-PR-LED-05</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Manual trade appears on venue: it is detected, posted and reduces free capacity.</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T-PR-LED-06</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Rebate/cost changes alter net economics without rewriting gross trading PnL.</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T-PR-LED-07</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FAILED after MATCHED reverses pending effect exactly once and preserves audit lineage.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T-PR-LED-08</w:t>
              <w:br/>
              <w:t>P1</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Export reconciles to ledger totals and contains no private keys/API secrets.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bl>
    <w:p>
      <w:pPr>
        <w:spacing w:after="0"/>
      </w:pPr>
    </w:p>
    <w:p>
      <w:pPr>
        <w:pStyle w:val="Heading2"/>
        <w:keepNext/>
      </w:pPr>
      <w:r>
        <w:t>B16.10 Acceptance — Security boundaries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Test / priority</w:t>
            </w:r>
          </w:p>
        </w:tc>
        <w:tc>
          <w:tcPr>
            <w:tcW w:type="dxa" w:w="74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Scenario -&gt; required result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T-PR-SEC-01</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Evidence containing “transfer funds/reveal key” changes neither tools nor policy and is stored as untrusted text.</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T-PR-SEC-02</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Compromise retrieval worker: attacker cannot reach executor/signing/private DB roles.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T-PR-SEC-03</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URL redirect/DNS-rebind to 127.0.0.1/RFC1918 is blocked and logged.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T-PR-SEC-04</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Secret canary never appears in prompt/log/export/telemetry after fault and debug paths.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T-PR-SEC-05</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Malicious plugin cannot open arbitrary socket/read env/write financial DB.</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T-PR-SEC-06</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Reintroduce unrelated trading/shell package into LIVE image: dependency allowlist/build gate fails.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T-PR-SEC-07</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Unauthenticated internet client cannot read portfolio, mutate policy or reach internal executor routes.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T-PR-SEC-08</w:t>
              <w:br/>
              <w:t>P1</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Known attack corpus remains blocked; regression in a critical path blocks promotion.</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bl>
    <w:p>
      <w:pPr>
        <w:spacing w:after="0"/>
      </w:pPr>
    </w:p>
    <w:p>
      <w:pPr>
        <w:pStyle w:val="Heading2"/>
        <w:keepNext/>
      </w:pPr>
      <w:r>
        <w:t>B16.11 Acceptance — Operations &amp; reliability</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Test / priority</w:t>
            </w:r>
          </w:p>
        </w:tc>
        <w:tc>
          <w:tcPr>
            <w:tcW w:type="dxa" w:w="74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Scenario -&gt; required result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T-PR-OPS-01</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Network-policy test proves research/gateway cannot directly reach signer socket or financial DB writer role.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T-PR-OPS-02</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Two replicas race: only current epoch can sign/submit; no split-brain order occurs.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T-PR-OPS-03</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Restart at each durable boundary: no stale intent is executed and prior live orders remain managed.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T-PR-OPS-04</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Destroy host and restore on a clean machine; entry remains blocked until state is reconciled and measured RPO/RTO are reported.</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T-PR-OPS-05</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Inject stale book/disk full/clock skew/unknown submit: correct protective state and deduplicated incident/recovery event occur.</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T-PR-OPS-06</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Saturate research CPU/memory: executor heartbeat/reconcile SLO remains within target or entries pause safely.</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T-PR-OPS-07</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Rollback incompatible schema is refused; existing live orders remain reconcilable across deployment.</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T-PR-OPS-08</w:t>
              <w:br/>
              <w:t>P1</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Daily AI/data budget reached: research degrades/abstains while financial monitoring continues.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bl>
    <w:p>
      <w:pPr>
        <w:spacing w:after="0"/>
      </w:pPr>
    </w:p>
    <w:p>
      <w:pPr>
        <w:pStyle w:val="Heading2"/>
        <w:keepNext/>
      </w:pPr>
      <w:r>
        <w:t>B16.12 Acceptance — Validation &amp; release gates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Test / priority</w:t>
            </w:r>
          </w:p>
        </w:tc>
        <w:tc>
          <w:tcPr>
            <w:tcW w:type="dxa" w:w="74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Scenario -&gt; required result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T-PR-VAL-01</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Mock passes but current read-only contract differs: release remains blocked until adapter is updated.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T-PR-VAL-02</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Random partial-fill/reorder/rounding sequences never violate financial invariants.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T-PR-VAL-03</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Fault suite achieves zero duplicate economic execution and zero unexplained financial drift.</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T-PR-VAL-04</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Resting limit touching midpoint alone does not count as fill; calibrated error metrics are recorded.</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T-PR-VAL-05</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Post-cutoff news/outcomes never enter prior decisions; full universe and abstentions are logged.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G4-G7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T-PR-VAL-06</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 forecast with higher win rate but worse proper score/calibration is not called superior.</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G4-G7</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T-PR-VAL-07</w:t>
              <w:br/>
              <w:t>P0</w:t>
            </w:r>
          </w:p>
        </w:tc>
        <w:tc>
          <w:tcPr>
            <w:tcW w:type="dxa" w:w="74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Best-of-many variant cannot be promoted without preregistered holdout/prospective evidence and trial registry.</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G4-G7</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T-PR-VAL-08</w:t>
              <w:br/>
              <w:t>P0</w:t>
            </w:r>
          </w:p>
        </w:tc>
        <w:tc>
          <w:tcPr>
            <w:tcW w:type="dxa" w:w="74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All engineering tests pass but net economic gate fails: autonomous-LIVE promotion is denied.</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bl>
    <w:p>
      <w:pPr>
        <w:spacing w:after="0"/>
      </w:pPr>
    </w:p>
    <w:p>
      <w:pPr>
        <w:pStyle w:val="Heading1"/>
        <w:keepNext/>
      </w:pPr>
      <w:r>
        <w:t>B17. Release Evidence, ADRs and Implementation Sequence</w:t>
      </w:r>
    </w:p>
    <w:p>
      <w:pPr>
        <w:pStyle w:val="Heading2"/>
        <w:keepNext/>
      </w:pPr>
      <w:r>
        <w:t>B17.1 Mandatory gate artifacts</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52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Artifact</w:t>
            </w:r>
          </w:p>
        </w:tc>
        <w:tc>
          <w:tcPr>
            <w:tcW w:type="dxa" w:w="7776"/>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Minimum fields/content</w:t>
            </w:r>
          </w:p>
        </w:tc>
      </w:tr>
      <w:tr>
        <w:tc>
          <w:tcPr>
            <w:tcW w:type="dxa" w:w="25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release_manifest.json</w:t>
            </w:r>
          </w:p>
        </w:tc>
        <w:tc>
          <w:tcPr>
            <w:tcW w:type="dxa" w:w="77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Fork SHA, lock/dependency hashes, SDK/runtime/image digests, schema/migrations, wallet/contract registry, strategy/model versions, policy version, gate report refs, disposition summary.</w:t>
            </w:r>
          </w:p>
        </w:tc>
      </w:tr>
      <w:tr>
        <w:tc>
          <w:tcPr>
            <w:tcW w:type="dxa" w:w="25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test_report.json</w:t>
            </w:r>
          </w:p>
        </w:tc>
        <w:tc>
          <w:tcPr>
            <w:tcW w:type="dxa" w:w="77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requirement/test ID, commit/image/schema, fixture/API version, timestamp, input/hash, expected/actual/status, evidence path, reviewer/automation provenance.</w:t>
            </w:r>
          </w:p>
        </w:tc>
      </w:tr>
      <w:tr>
        <w:tc>
          <w:tcPr>
            <w:tcW w:type="dxa" w:w="25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experiment_report</w:t>
            </w:r>
          </w:p>
        </w:tc>
        <w:tc>
          <w:tcPr>
            <w:tcW w:type="dxa" w:w="77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Universe + all exclusions, cutoffs, evidence/model/ensemble/calibrator, parameters, cost allocation, benchmark, proper scores, net economics, CI, event clusters, all tried variants.</w:t>
            </w:r>
          </w:p>
        </w:tc>
      </w:tr>
      <w:tr>
        <w:tc>
          <w:tcPr>
            <w:tcW w:type="dxa" w:w="25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autonomy_charter</w:t>
            </w:r>
          </w:p>
        </w:tc>
        <w:tc>
          <w:tcPr>
            <w:tcW w:type="dxa" w:w="77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Wallet/signer identity, capital cap, risk tiers/limits, exact strategy/release allowlist, markets/actions, auto-recovery policy, expiry/revocation and commissioning proof.</w:t>
            </w:r>
          </w:p>
        </w:tc>
      </w:tr>
      <w:tr>
        <w:tc>
          <w:tcPr>
            <w:tcW w:type="dxa" w:w="25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fork_disposition.csv</w:t>
            </w:r>
          </w:p>
        </w:tc>
        <w:tc>
          <w:tcPr>
            <w:tcW w:type="dxa" w:w="77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Every upstream module/subsystem with KEEP/ADAPT/REWRITE/REMOVE/QUARANTINE and evidence that forbidden financial paths are unreachable.</w:t>
            </w:r>
          </w:p>
        </w:tc>
      </w:tr>
      <w:tr>
        <w:tc>
          <w:tcPr>
            <w:tcW w:type="dxa" w:w="25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restore_report</w:t>
            </w:r>
          </w:p>
        </w:tc>
        <w:tc>
          <w:tcPr>
            <w:tcW w:type="dxa" w:w="77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Backup source, target host, RPO/RTO measured, lost/gap data, post-restore reconciliation and readiness result.</w:t>
            </w:r>
          </w:p>
        </w:tc>
      </w:tr>
    </w:tbl>
    <w:p>
      <w:pPr>
        <w:spacing w:after="0"/>
      </w:pPr>
    </w:p>
    <w:p>
      <w:pPr>
        <w:pStyle w:val="Heading2"/>
        <w:keepNext/>
      </w:pPr>
      <w:r>
        <w:t>B17.2 Required ADRs before corresponding implementation</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158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ADR</w:t>
            </w:r>
          </w:p>
        </w:tc>
        <w:tc>
          <w:tcPr>
            <w:tcW w:type="dxa" w:w="871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Decision</w:t>
            </w:r>
          </w:p>
        </w:tc>
      </w:tr>
      <w:tr>
        <w:tc>
          <w:tcPr>
            <w:tcW w:type="dxa" w:w="158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ADR-01</w:t>
            </w:r>
          </w:p>
        </w:tc>
        <w:tc>
          <w:tcPr>
            <w:tcW w:type="dxa" w:w="871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Fork reduction, dependency allowlist and production tool/capability model.</w:t>
            </w:r>
          </w:p>
        </w:tc>
      </w:tr>
      <w:tr>
        <w:tc>
          <w:tcPr>
            <w:tcW w:type="dxa" w:w="158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ADR-02</w:t>
            </w:r>
          </w:p>
        </w:tc>
        <w:tc>
          <w:tcPr>
            <w:tcW w:type="dxa" w:w="871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Official SDK/version, wallet type support, pUSD/contract/approval registry and credential lifecycle.</w:t>
            </w:r>
          </w:p>
        </w:tc>
      </w:tr>
      <w:tr>
        <w:tc>
          <w:tcPr>
            <w:tcW w:type="dxa" w:w="158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ADR-03</w:t>
            </w:r>
          </w:p>
        </w:tc>
        <w:tc>
          <w:tcPr>
            <w:tcW w:type="dxa" w:w="871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Canonical domain schemas, event ledger, idempotency, reservations and state machines.</w:t>
            </w:r>
          </w:p>
        </w:tc>
      </w:tr>
      <w:tr>
        <w:tc>
          <w:tcPr>
            <w:tcW w:type="dxa" w:w="158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ADR-04</w:t>
            </w:r>
          </w:p>
        </w:tc>
        <w:tc>
          <w:tcPr>
            <w:tcW w:type="dxa" w:w="871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Autonomy Charter, 24/7 runtime states, auto-recovery/resume and exceptional hard-block governance.</w:t>
            </w:r>
          </w:p>
        </w:tc>
      </w:tr>
      <w:tr>
        <w:tc>
          <w:tcPr>
            <w:tcW w:type="dxa" w:w="158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ADR-05</w:t>
            </w:r>
          </w:p>
        </w:tc>
        <w:tc>
          <w:tcPr>
            <w:tcW w:type="dxa" w:w="871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Market/Event Graph relation taxonomy and graph-aware risk/strategy use.</w:t>
            </w:r>
          </w:p>
        </w:tc>
      </w:tr>
      <w:tr>
        <w:tc>
          <w:tcPr>
            <w:tcW w:type="dxa" w:w="158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ADR-06</w:t>
            </w:r>
          </w:p>
        </w:tc>
        <w:tc>
          <w:tcPr>
            <w:tcW w:type="dxa" w:w="871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Research quarantine, source registry, forecast ensemble/calibration and provider lineage.</w:t>
            </w:r>
          </w:p>
        </w:tc>
      </w:tr>
      <w:tr>
        <w:tc>
          <w:tcPr>
            <w:tcW w:type="dxa" w:w="158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ADR-07</w:t>
            </w:r>
          </w:p>
        </w:tc>
        <w:tc>
          <w:tcPr>
            <w:tcW w:type="dxa" w:w="871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Position sizing/economics, fee/rebate treatment, risk tiers and exit/reallocation utility.</w:t>
            </w:r>
          </w:p>
        </w:tc>
      </w:tr>
      <w:tr>
        <w:tc>
          <w:tcPr>
            <w:tcW w:type="dxa" w:w="158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ADR-08</w:t>
            </w:r>
          </w:p>
        </w:tc>
        <w:tc>
          <w:tcPr>
            <w:tcW w:type="dxa" w:w="871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Deployment/security/signer vault/egress isolation/backup/rollback.</w:t>
            </w:r>
          </w:p>
        </w:tc>
      </w:tr>
      <w:tr>
        <w:tc>
          <w:tcPr>
            <w:tcW w:type="dxa" w:w="158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ADR-09</w:t>
            </w:r>
          </w:p>
        </w:tc>
        <w:tc>
          <w:tcPr>
            <w:tcW w:type="dxa" w:w="871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PAPER simulator, prospective evaluation, multiple-testing policy and autonomous experiment factory.</w:t>
            </w:r>
          </w:p>
        </w:tc>
      </w:tr>
    </w:tbl>
    <w:p>
      <w:pPr>
        <w:spacing w:after="0"/>
      </w:pPr>
    </w:p>
    <w:p>
      <w:pPr>
        <w:pStyle w:val="Heading2"/>
        <w:keepNext/>
      </w:pPr>
      <w:r>
        <w:t>B17.3 Implementation order</w:t>
      </w:r>
    </w:p>
    <w:p>
      <w:pPr>
        <w:spacing w:after="60"/>
        <w:ind w:left="288" w:hanging="230"/>
      </w:pPr>
      <w:r>
        <w:rPr>
          <w:b/>
          <w:color w:val="2E74B5"/>
        </w:rPr>
        <w:t xml:space="preserve">1. </w:t>
      </w:r>
      <w:r>
        <w:t>Freeze research baseline, fork disposition and production dependency graph; pin SDK/runtime and current contract fixtures.</w:t>
      </w:r>
    </w:p>
    <w:p>
      <w:pPr>
        <w:spacing w:after="60"/>
        <w:ind w:left="288" w:hanging="230"/>
      </w:pPr>
      <w:r>
        <w:rPr>
          <w:b/>
          <w:color w:val="2E74B5"/>
        </w:rPr>
        <w:t xml:space="preserve">2. </w:t>
      </w:r>
      <w:r>
        <w:t>Define canonical schemas, Autonomy Charter, asset/wallet/credential registry and PostgreSQL ledger/migrations.</w:t>
      </w:r>
    </w:p>
    <w:p>
      <w:pPr>
        <w:spacing w:after="60"/>
        <w:ind w:left="288" w:hanging="230"/>
      </w:pPr>
      <w:r>
        <w:rPr>
          <w:b/>
          <w:color w:val="2E74B5"/>
        </w:rPr>
        <w:t xml:space="preserve">3. </w:t>
      </w:r>
      <w:r>
        <w:t>Build Money Kernel, reservations, Signer Vault and VenueAdapter before any new strategy can reach a financial endpoint.</w:t>
      </w:r>
    </w:p>
    <w:p>
      <w:pPr>
        <w:spacing w:after="60"/>
        <w:ind w:left="288" w:hanging="230"/>
      </w:pPr>
      <w:r>
        <w:rPr>
          <w:b/>
          <w:color w:val="2E74B5"/>
        </w:rPr>
        <w:t xml:space="preserve">4. </w:t>
      </w:r>
      <w:r>
        <w:t>Complete order/trade/cancel/settlement/reconciliation/fencing/rate/venue-mode fault harness and G1/G2 evidence.</w:t>
      </w:r>
    </w:p>
    <w:p>
      <w:pPr>
        <w:spacing w:after="60"/>
        <w:ind w:left="288" w:hanging="230"/>
      </w:pPr>
      <w:r>
        <w:rPr>
          <w:b/>
          <w:color w:val="2E74B5"/>
        </w:rPr>
        <w:t xml:space="preserve">5. </w:t>
      </w:r>
      <w:r>
        <w:t>Harden deployment, security quarantine/egress, backup/restore and observability; close G3.</w:t>
      </w:r>
    </w:p>
    <w:p>
      <w:pPr>
        <w:spacing w:after="60"/>
        <w:ind w:left="288" w:hanging="230"/>
      </w:pPr>
      <w:r>
        <w:rPr>
          <w:b/>
          <w:color w:val="2E74B5"/>
        </w:rPr>
        <w:t xml:space="preserve">6. </w:t>
      </w:r>
      <w:r>
        <w:t>Build market/event graph, source registry, ensemble/calibration and strategy sandbox/arbiter.</w:t>
      </w:r>
    </w:p>
    <w:p>
      <w:pPr>
        <w:spacing w:after="60"/>
        <w:ind w:left="288" w:hanging="230"/>
      </w:pPr>
      <w:r>
        <w:rPr>
          <w:b/>
          <w:color w:val="2E74B5"/>
        </w:rPr>
        <w:t xml:space="preserve">7. </w:t>
      </w:r>
      <w:r>
        <w:t>Implement evidence_directional_v2 and graph_relative_value_v1 plus exit/reallocation engine and full PAPER loop.</w:t>
      </w:r>
    </w:p>
    <w:p>
      <w:pPr>
        <w:spacing w:after="60"/>
        <w:ind w:left="288" w:hanging="230"/>
      </w:pPr>
      <w:r>
        <w:rPr>
          <w:b/>
          <w:color w:val="2E74B5"/>
        </w:rPr>
        <w:t xml:space="preserve">8. </w:t>
      </w:r>
      <w:r>
        <w:t>Run PAPER and prospective SHADOW; qualify exact versions; then micro-LIVE and calibrate execution reality gap.</w:t>
      </w:r>
    </w:p>
    <w:p>
      <w:pPr>
        <w:spacing w:after="60"/>
        <w:ind w:left="288" w:hanging="230"/>
      </w:pPr>
      <w:r>
        <w:rPr>
          <w:b/>
          <w:color w:val="2E74B5"/>
        </w:rPr>
        <w:t xml:space="preserve">9. </w:t>
      </w:r>
      <w:r>
        <w:t>Enable G7 24/7 autonomous-LIVE only when both operational and economic gates pass. Add experimental strategies separately, not by expanding the trust boundary.</w:t>
      </w:r>
    </w:p>
    <w:p>
      <w:pPr>
        <w:pStyle w:val="Heading1"/>
        <w:keepNext/>
      </w:pPr>
      <w:r>
        <w:t>B18. Research Sources and Verification Boundaries</w:t>
      </w:r>
    </w:p>
    <w:p>
      <w:r>
        <w:rPr>
          <w:b/>
        </w:rPr>
        <w:t xml:space="preserve">Version-sensitive rule. </w:t>
      </w:r>
      <w:r>
        <w:t>Polymarket changes quickly. Every SDK name, wallet type, endpoint, fee/rebate schedule, contract address, rate limit and venue behavior in this blueprint is a research baseline, not an eternal constant. G0 must re-run official contract checks against the actual deploy version and host.</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79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ID</w:t>
            </w:r>
          </w:p>
        </w:tc>
        <w:tc>
          <w:tcPr>
            <w:tcW w:type="dxa" w:w="316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Source</w:t>
            </w:r>
          </w:p>
        </w:tc>
        <w:tc>
          <w:tcPr>
            <w:tcW w:type="dxa" w:w="6336"/>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Use in this specification</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S01</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Original PRD v1.0</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Polymarket_AI_Trader_PRD_v1.0.docx, baseline 8 Sep 2026. Retained: staged modes/gates, deterministic risk, unknown-order discipline, ledger, prospective evaluation.</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S02</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Original Blueprint v1.0</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Polymarket_AI_Trader_Blueprint_v1.0.docx, baseline 8 Sep 2026. Retained: isolated executor, PG financial ledger, reservation/outbox, reconciliation, recovery/fault testing.</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S03</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CloddsBot pinned baseline</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alsk1992/CloddsBot commit 715fd4a6c06b4cd5bb38eee225dd09b3bc95c5e8; package 1.9.0, MIT, large multi-venue/tool dependency surface.</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S04</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CloddsBot execution</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src/execution/index.ts at pinned commit. Manual/direct signing and broad retry surface motivate replacement of LIVE hot path.</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S05</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CloddsBot tool registry</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src/agents/tool-registry.ts at pinned commit. 630+ tool design spans trading, shell, SQL, Docker, messaging and multiple venues; not suitable as LIVE intelligence capability set.</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S06</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CloddsBot risk engine</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src/risk/engine.ts at pinned commit. Useful concepts: kill switch, circuit breaker, exposure, drawdown, VaR, volatility, Kelly; authoritative PolyRoot integration is redesigned around durable reservations.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S07</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CloddsBot dynamic Kelly</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src/trading/kelly.ts at pinned commit. Contains confidence/win-streak heuristics; PolyRoot does not use verbal confidence or win-streak boosts as financial evidence.</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S08</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CloddsBot provider layer</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src/providers/index.ts at pinned commit. Multi-provider/fallback/cost plumbing is reusable only behind structured-output/capability/lineage controls.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S09</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 Trading Overview</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https://docs.polymarket.com/trading/overview — CLOB orders settle on Polygon in pUSD/outcome tokens; account setup is one-time, then order workflow repeats.</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S10</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 Quickstart</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https://docs.polymarket.com/trading/quickstart — current examples use @polymarket/client createSecureClient and pUSD-denominated market orders.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S11</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 Wallets &amp; Authentication</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https://docs.polymarket.com/trading/wallets-auth — Deposit Wallet default for account wallets deployed on/after 4 May 2026; wallet type 3; L1/L2 credentials, relayer/builder and gasless wallet operations.</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S12</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 CLOB V2 Migration</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https://docs.polymarket.com/v2-migration — CLOB V2 live 28 Apr 2026; V1 signed orders/legacy V1 SDK no longer production target; new contracts/backend/pUSD/fee behavior.</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S13</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Official TypeScript SDK</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https://github.com/Polymarket/ts-sdk — current @polymarket/client package observed as 0.9.0 on research baseline, Node &gt;=24. Pin exact version/digest at implementation gate.</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S14</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 pUSD</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https://docs.polymarket.com/concepts/pusd — pUSD is ERC-20 collateral used for Polymarket trading; 6 decimals on Polygon, USDC-backed.</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S15</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Markets &amp; Events</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https://docs.polymarket.com/concepts/markets-events — events group related markets; some multi-market events are mutually exclusive negative-risk groups.</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S16</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Negative Risk Markets</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https://docs.polymarket.com/concepts/negative-risk — atomic No-to-other-Yes conversion semantics support native graph constraints.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S17</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Resolution</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https://docs.polymarket.com/concepts/resolution — UMA proposal/challenge/dispute lifecycle; dispute can delay final resolution.</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S18</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Real-Time Data</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https://docs.polymarket.com/market-data/realtime-data — market/user/RTDS feeds; sports stream is informational and explicitly not a basis for trading decisions.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S19</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Matching Engine Restarts</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https://docs.polymarket.com/trading/matching-engine — HTTP 425 during restart; post-only period after restart; cancel-only/post-only require distinct order flow.</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S20</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 Error Codes</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https://docs.polymarket.com/resources/error-codes — current error taxonomy including 425 and order/matching failures.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S21</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 Fees</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https://docs.polymarket.com/trading/fees — category-dependent taker fee rates, maker fee 0 in documented schedule, dynamic market fee metadata.</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S22</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Maker Rebates</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https://docs.polymarket.com/programs/maker-rebates — daily pUSD rebates based on executed maker liquidity; program parameters can vary.</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S23</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Taker Rebates</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https://docs.polymarket.com/programs/taker-rebates — program live 28 May 2026, rolling weighted-volume tiers and daily pUSD rebates; treat as dynamic policy.</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S24</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Rate Limits</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https://docs.polymarket.com/api-reference/rate-limits — Cloudflare throttling can delay/queue requests; separate CLOB order/cancel rate limits.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S25</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Geographic Restrictions</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https://docs.polymarket.com/api-reference/geoblock — check access before placing orders; blocked/close-only states must be obeyed, not bypassed.</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S26</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OWASP LLM Prompt Injection Prevention</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https://cheatsheetseries.owasp.org/cheatsheets/LLM_Prompt_Injection_Prevention_Cheat_Sheet.html — untrusted external content, least privilege and deterministic validation.</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S27</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OWASP SSRF Prevention</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https://cheatsheetseries.owasp.org/cheatsheets/Server_Side_Request_Forgery_Prevention_Cheat_Sheet.html — URL/IP allow/deny validation, redirect/DNS/private-network defenses.</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S28</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PostgreSQL Serializable Transactions</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https://www.postgresql.org/docs/17/transaction-iso.html — serializable transactions may abort; retry DB transaction, never blindly replay external financial side effects.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S29</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PostgreSQL PITR</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https://www.postgresql.org/docs/17/continuous-archiving.html — base backup/WAL continuous archiving supports point-in-time recovery; RPO/RTO require drills.</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S30</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Halawi et al., NeurIPS 2024</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Approaching Human-Level Forecasting with Language Models — retrieval, forecasting and aggregation can approach competitive human crowd performance; pipeline matters.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S31</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Prophet Arena, ICLR 2026</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Live probabilistic multi-horizon benchmark uses market baseline, proper scores/calibration and return metrics; supports modular/prospective evaluation.</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S32</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Beyond Accuracy: Can LLM Forecasters Profit on Prediction Markets? 2026</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OpenReview paper emphasizes forecasting accuracy is not the same as realized autonomous trading profitability; historical expected-value estimates are not live fill PnL.</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S33</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LEAP, arXiv Sep 2026</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Emerging preprint: explicit prior + per-evidence likelihood aggregation improves auditability/calibration versus monolithic prediction in reported experiments. Treat as research input, not established production truth.</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S34</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LLM Forecasting Agents Survey, arXiv Aug 2026</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Survey highlights calibration under shift, contamination-resistant live evaluation, explicit cost/accuracy reporting and hybrid retrieval/statistical designs.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S35</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Calibration-Induced Degeneracy, arXiv Aug 2026</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Case study shows expensive LLM features can contribute nothing after calibration; motivates calibration-viability checks and cheap baselines.</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S36</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Gneiting &amp; Raftery 2007</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Strictly proper scoring rules support honest probabilistic evaluation; Brier/log loss used alongside calibration.</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S37</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Hyndman &amp; Athanasopoulos</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Forecasting: Principles and Practice — rolling-origin/time-series cross-validation preserves temporal order.</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S38</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Kapoor &amp; Narayanan 2022</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Leakage and reproducibility — data leakage can materially inflate ML results; temporal/source cutoffs are mandatory.</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S39</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Bailey et al.</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The Probability of Backtest Overfitting — searching many variants produces selection bias; register all trials and protect holdout/prospective evaluation.</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S40</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Forecast combination literature</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Forecast combinations often improve robustness, but aggregation can disturb calibration; component and aggregate forecasts require separate evaluation/recalibration.</w:t>
            </w:r>
          </w:p>
        </w:tc>
      </w:tr>
    </w:tbl>
    <w:p>
      <w:pPr>
        <w:spacing w:after="0"/>
      </w:pPr>
    </w:p>
    <w:sectPr w:rsidR="00FC693F" w:rsidRPr="0006063C" w:rsidSect="00034616">
      <w:headerReference w:type="default" r:id="rId9"/>
      <w:footerReference w:type="default" r:id="rId10"/>
      <w:pgSz w:w="12240" w:h="15840"/>
      <w:pgMar w:top="1008" w:right="1152" w:bottom="1008"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6577"/>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4B6577"/>
        <w:sz w:val="15"/>
      </w:rPr>
      <w:t>POLYROOT /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9" w:lineRule="auto"/>
    </w:pPr>
    <w:rPr>
      <w:rFonts w:ascii="Calibri" w:hAnsi="Calibri"/>
      <w:color w:val="2336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63C5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after="50" w:line="247" w:lineRule="auto"/>
    </w:pPr>
    <w:rPr>
      <w:rFonts w:ascii="Calibri" w:hAnsi="Calibri"/>
      <w:color w:val="233646"/>
      <w:sz w:val="16"/>
    </w:rPr>
  </w:style>
  <w:style w:type="paragraph" w:customStyle="1" w:styleId="TableBody">
    <w:name w:val="Table Body"/>
    <w:pPr>
      <w:spacing w:after="0" w:line="240" w:lineRule="auto"/>
    </w:pPr>
    <w:rPr>
      <w:rFonts w:ascii="Calibri" w:hAnsi="Calibri"/>
      <w:color w:val="233646"/>
      <w:sz w:val="15"/>
    </w:rPr>
  </w:style>
  <w:style w:type="paragraph" w:customStyle="1" w:styleId="TableHeader">
    <w:name w:val="Table Header"/>
    <w:pPr>
      <w:spacing w:after="0" w:line="240" w:lineRule="auto"/>
    </w:pPr>
    <w:rPr>
      <w:rFonts w:ascii="Calibri" w:hAnsi="Calibri"/>
      <w:b/>
      <w:color w:val="FFFFFF"/>
      <w:sz w:val="15"/>
    </w:rPr>
  </w:style>
  <w:style w:type="paragraph" w:customStyle="1" w:styleId="CaptionCustom">
    <w:name w:val="Caption Custom"/>
    <w:pPr>
      <w:spacing w:after="100"/>
    </w:pPr>
    <w:rPr>
      <w:rFonts w:ascii="Calibri" w:hAnsi="Calibri"/>
      <w:i/>
      <w:color w:val="4B657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PolyRoot — Modular Autonomous Prediction-Market Intelligence &amp; Trading System — Technical Blueprint v1.1</dc:title>
  <dc:subject>Architecture and verification blueprint for autonomous 24/7 prediction-market intelligence and trading</dc:subject>
  <dc:creator>PolyRoot</dc:creator>
  <cp:keywords>PolyRoot, Polymarket, CLOB V2, autonomous trading, AI forecasting, architecture, risk, ledger</cp:keywords>
  <dc:description>generated by python-docx</dc:description>
  <cp:lastModifiedBy/>
  <cp:revision>1</cp:revision>
  <dcterms:created xsi:type="dcterms:W3CDTF">2013-12-23T23:15:00Z</dcterms:created>
  <dcterms:modified xsi:type="dcterms:W3CDTF">2013-12-23T23:15:00Z</dcterms:modified>
  <cp:category/>
</cp:coreProperties>
</file>