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Blueprint | Polymarket AI Trader</w:t>
      </w:r>
    </w:p>
    <w:p>
      <w:pPr>
        <w:pStyle w:val="MetaText"/>
      </w:pPr>
      <w:r>
        <w:t>Desain teknis fork CloddsBot • Versi 1.0 • Disusun 9 September 2026</w:t>
      </w:r>
    </w:p>
    <w:p>
      <w:pPr>
        <w:pStyle w:val="MetaText"/>
      </w:pPr>
      <w:r>
        <w:t>Baseline riset: 8 September 2026 • Pasangan dokumen: PRD v1.0 • Status: desain, bukan implementasi tervalidasi</w:t>
      </w:r>
    </w:p>
    <w:p>
      <w:pPr>
        <w:spacing w:before="120" w:after="200"/>
        <w:shd w:fill="F0F5FA" w:val="clear"/>
      </w:pPr>
      <w:r>
        <w:rPr>
          <w:b/>
        </w:rPr>
        <w:t>Arsitektur yang dipilih</w:t>
        <w:br/>
      </w:r>
      <w:r>
        <w:t>Gateway dan intelligence mengelola riset serta antarmuka. Satu execution service per wallet menguasai signing, risk reservation, order lifecycle dan rekonsiliasi. PostgreSQL menjadi ledger finansial; AI hanya dapat mengusulkan intent.</w:t>
      </w:r>
    </w:p>
    <w:p>
      <w:pPr/>
      <w:r>
        <w:t>Dokumen ini adalah pedoman implementasi dan review. Semua nama modul baru, route internal, schema, threshold, SLO dan urutan deployment merupakan usulan. Tidak ada klaim bahwa file baru sudah ada di upstream, tes sudah lulus, atau sistem telah menghasilkan profit. ID PM-* dan T-PM-* sama dengan PRD: 53 kebutuhan, 53 skenario acceptance utama.</w:t>
      </w:r>
    </w:p>
    <w:p>
      <w:pPr>
        <w:pStyle w:val="Heading1"/>
      </w:pPr>
      <w:r>
        <w:t>B1. Prinsip dan keputusan arsitektur</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4680"/>
        <w:gridCol w:w="4680"/>
      </w:tblGrid>
      <w:tr>
        <w:trPr>
          <w:cantSplit/>
          <w:tblHeader/>
        </w:trPr>
        <w:tc>
          <w:tcPr>
            <w:tcW w:type="dxa" w:w="4680"/>
            <w:vAlign w:val="top"/>
            <w:shd w:fill="E8EEF5" w:val="clear"/>
          </w:tcPr>
          <w:p>
            <w:pPr>
              <w:pStyle w:val="TableText"/>
              <w:keepNext w:val="0"/>
              <w:keepLines/>
            </w:pPr>
            <w:r>
              <w:rPr>
                <w:b/>
              </w:rPr>
              <w:t>Keputusan</w:t>
            </w:r>
          </w:p>
        </w:tc>
        <w:tc>
          <w:tcPr>
            <w:tcW w:type="dxa" w:w="4680"/>
            <w:vAlign w:val="top"/>
            <w:shd w:fill="E8EEF5" w:val="clear"/>
          </w:tcPr>
          <w:p>
            <w:pPr>
              <w:pStyle w:val="TableText"/>
              <w:keepNext w:val="0"/>
              <w:keepLines/>
            </w:pPr>
            <w:r>
              <w:rPr>
                <w:b/>
              </w:rPr>
              <w:t>Alasan / konsekuensi</w:t>
            </w:r>
          </w:p>
        </w:tc>
      </w:tr>
      <w:tr>
        <w:trPr>
          <w:cantSplit/>
        </w:trPr>
        <w:tc>
          <w:tcPr>
            <w:tcW w:type="dxa" w:w="4680"/>
            <w:vAlign w:val="top"/>
          </w:tcPr>
          <w:p>
            <w:pPr>
              <w:pStyle w:val="TableText"/>
              <w:keepNext w:val="0"/>
              <w:keepLines/>
            </w:pPr>
            <w:r>
              <w:rPr>
                <w:b w:val="0"/>
              </w:rPr>
              <w:t>Fork terkontrol</w:t>
            </w:r>
          </w:p>
        </w:tc>
        <w:tc>
          <w:tcPr>
            <w:tcW w:type="dxa" w:w="4680"/>
            <w:vAlign w:val="top"/>
          </w:tcPr>
          <w:p>
            <w:pPr>
              <w:pStyle w:val="TableText"/>
              <w:keepNext w:val="0"/>
              <w:keepLines/>
            </w:pPr>
            <w:r>
              <w:rPr>
                <w:b w:val="0"/>
              </w:rPr>
              <w:t>Pin 715fd4a6c06b4cd5bb38eee225dd09b3bc95c5e8; pertahankan lisensi MIT. Ambil komponen yang terverifikasi dan tutup jalur finansial lain.</w:t>
            </w:r>
          </w:p>
        </w:tc>
      </w:tr>
      <w:tr>
        <w:trPr>
          <w:cantSplit/>
        </w:trPr>
        <w:tc>
          <w:tcPr>
            <w:tcW w:type="dxa" w:w="4680"/>
            <w:vAlign w:val="top"/>
          </w:tcPr>
          <w:p>
            <w:pPr>
              <w:pStyle w:val="TableText"/>
              <w:keepNext w:val="0"/>
              <w:keepLines/>
            </w:pPr>
            <w:r>
              <w:rPr>
                <w:b w:val="0"/>
              </w:rPr>
              <w:t>Signer terpisah</w:t>
            </w:r>
          </w:p>
        </w:tc>
        <w:tc>
          <w:tcPr>
            <w:tcW w:type="dxa" w:w="4680"/>
            <w:vAlign w:val="top"/>
          </w:tcPr>
          <w:p>
            <w:pPr>
              <w:pStyle w:val="TableText"/>
              <w:keepNext w:val="0"/>
              <w:keepLines/>
            </w:pPr>
            <w:r>
              <w:rPr>
                <w:b w:val="0"/>
              </w:rPr>
              <w:t>Secret trading hanya pada executor. Kompromi prompt atau gateway tidak boleh memberi akses key atau menaikkan policy.</w:t>
            </w:r>
          </w:p>
        </w:tc>
      </w:tr>
      <w:tr>
        <w:trPr>
          <w:cantSplit/>
        </w:trPr>
        <w:tc>
          <w:tcPr>
            <w:tcW w:type="dxa" w:w="4680"/>
            <w:vAlign w:val="top"/>
          </w:tcPr>
          <w:p>
            <w:pPr>
              <w:pStyle w:val="TableText"/>
              <w:keepNext w:val="0"/>
              <w:keepLines/>
            </w:pPr>
            <w:r>
              <w:rPr>
                <w:b w:val="0"/>
              </w:rPr>
              <w:t>Deterministic risk</w:t>
            </w:r>
          </w:p>
        </w:tc>
        <w:tc>
          <w:tcPr>
            <w:tcW w:type="dxa" w:w="4680"/>
            <w:vAlign w:val="top"/>
          </w:tcPr>
          <w:p>
            <w:pPr>
              <w:pStyle w:val="TableText"/>
              <w:keepNext w:val="0"/>
              <w:keepLines/>
            </w:pPr>
            <w:r>
              <w:rPr>
                <w:b w:val="0"/>
              </w:rPr>
              <w:t>LLM tidak menentukan limit maupun mengeksekusi call bursa. Permintaan harus lulus schema, pricing, policy dan reservasi atomik.</w:t>
            </w:r>
          </w:p>
        </w:tc>
      </w:tr>
      <w:tr>
        <w:trPr>
          <w:cantSplit/>
        </w:trPr>
        <w:tc>
          <w:tcPr>
            <w:tcW w:type="dxa" w:w="4680"/>
            <w:vAlign w:val="top"/>
          </w:tcPr>
          <w:p>
            <w:pPr>
              <w:pStyle w:val="TableText"/>
              <w:keepNext w:val="0"/>
              <w:keepLines/>
            </w:pPr>
            <w:r>
              <w:rPr>
                <w:b w:val="0"/>
              </w:rPr>
              <w:t>PostgreSQL untuk uang</w:t>
            </w:r>
          </w:p>
        </w:tc>
        <w:tc>
          <w:tcPr>
            <w:tcW w:type="dxa" w:w="4680"/>
            <w:vAlign w:val="top"/>
          </w:tcPr>
          <w:p>
            <w:pPr>
              <w:pStyle w:val="TableText"/>
              <w:keepNext w:val="0"/>
              <w:keepLines/>
            </w:pPr>
            <w:r>
              <w:rPr>
                <w:b w:val="0"/>
              </w:rPr>
              <w:t>Transaksi, unique constraint, append-only event dan outbox; SQLite upstream hanya untuk chat/UI lokal dengan satu writer.</w:t>
            </w:r>
          </w:p>
        </w:tc>
      </w:tr>
      <w:tr>
        <w:trPr>
          <w:cantSplit/>
        </w:trPr>
        <w:tc>
          <w:tcPr>
            <w:tcW w:type="dxa" w:w="4680"/>
            <w:vAlign w:val="top"/>
          </w:tcPr>
          <w:p>
            <w:pPr>
              <w:pStyle w:val="TableText"/>
              <w:keepNext w:val="0"/>
              <w:keepLines/>
            </w:pPr>
            <w:r>
              <w:rPr>
                <w:b w:val="0"/>
              </w:rPr>
              <w:t>Satu executor per wallet</w:t>
            </w:r>
          </w:p>
        </w:tc>
        <w:tc>
          <w:tcPr>
            <w:tcW w:type="dxa" w:w="4680"/>
            <w:vAlign w:val="top"/>
          </w:tcPr>
          <w:p>
            <w:pPr>
              <w:pStyle w:val="TableText"/>
              <w:keepNext w:val="0"/>
              <w:keepLines/>
            </w:pPr>
            <w:r>
              <w:rPr>
                <w:b w:val="0"/>
              </w:rPr>
              <w:t>Durable lease dan fencing epoch, ditambah pemeriksaan sebelum sign/submit; recovery menahan entry sampai state bursa jelas.</w:t>
            </w:r>
          </w:p>
        </w:tc>
      </w:tr>
      <w:tr>
        <w:trPr>
          <w:cantSplit/>
        </w:trPr>
        <w:tc>
          <w:tcPr>
            <w:tcW w:type="dxa" w:w="4680"/>
            <w:vAlign w:val="top"/>
          </w:tcPr>
          <w:p>
            <w:pPr>
              <w:pStyle w:val="TableText"/>
              <w:keepNext w:val="0"/>
              <w:keepLines/>
            </w:pPr>
            <w:r>
              <w:rPr>
                <w:b w:val="0"/>
              </w:rPr>
              <w:t>SDK resmi melalui adapter</w:t>
            </w:r>
          </w:p>
        </w:tc>
        <w:tc>
          <w:tcPr>
            <w:tcW w:type="dxa" w:w="4680"/>
            <w:vAlign w:val="top"/>
          </w:tcPr>
          <w:p>
            <w:pPr>
              <w:pStyle w:val="TableText"/>
              <w:keepNext w:val="0"/>
              <w:keepLines/>
            </w:pPr>
            <w:r>
              <w:rPr>
                <w:b w:val="0"/>
              </w:rPr>
              <w:t>Pin @polymarket/client; jangan menyalin payload signature tanpa contract test. Adapter membatasi ketergantungan bisnis terhadap API bursa.</w:t>
            </w:r>
          </w:p>
        </w:tc>
      </w:tr>
      <w:tr>
        <w:trPr>
          <w:cantSplit/>
        </w:trPr>
        <w:tc>
          <w:tcPr>
            <w:tcW w:type="dxa" w:w="4680"/>
            <w:vAlign w:val="top"/>
          </w:tcPr>
          <w:p>
            <w:pPr>
              <w:pStyle w:val="TableText"/>
              <w:keepNext w:val="0"/>
              <w:keepLines/>
            </w:pPr>
            <w:r>
              <w:rPr>
                <w:b w:val="0"/>
              </w:rPr>
              <w:t>Tidak menambah Redis v1</w:t>
            </w:r>
          </w:p>
        </w:tc>
        <w:tc>
          <w:tcPr>
            <w:tcW w:type="dxa" w:w="4680"/>
            <w:vAlign w:val="top"/>
          </w:tcPr>
          <w:p>
            <w:pPr>
              <w:pStyle w:val="TableText"/>
              <w:keepNext w:val="0"/>
              <w:keepLines/>
            </w:pPr>
            <w:r>
              <w:rPr>
                <w:b w:val="0"/>
              </w:rPr>
              <w:t>Queue/outbox PostgreSQL cukup sebagai rancangan awal; tambah komponen hanya bila profiling menunjukkan kebutuhan.</w:t>
            </w:r>
          </w:p>
        </w:tc>
      </w:tr>
    </w:tbl>
    <w:p>
      <w:pPr>
        <w:spacing w:after="60" w:before="0" w:line="240" w:lineRule="auto"/>
      </w:pPr>
      <w:r>
        <w:rPr>
          <w:sz w:val="4"/>
        </w:rPr>
      </w:r>
    </w:p>
    <w:p>
      <w:pPr>
        <w:pStyle w:val="SourceText"/>
      </w:pPr>
      <w:r>
        <w:t xml:space="preserve">Sumber: </w:t>
      </w:r>
      <w:hyperlink r:id="rId11">
        <w:r>
          <w:rPr>
            <w:color w:val="2E74B5"/>
            <w:u w:val="single"/>
          </w:rPr>
          <w:t>S01</w:t>
        </w:r>
      </w:hyperlink>
      <w:r>
        <w:t xml:space="preserve"> · </w:t>
      </w:r>
      <w:hyperlink r:id="rId12">
        <w:r>
          <w:rPr>
            <w:color w:val="2E74B5"/>
            <w:u w:val="single"/>
          </w:rPr>
          <w:t>S02</w:t>
        </w:r>
      </w:hyperlink>
      <w:r>
        <w:t xml:space="preserve"> · </w:t>
      </w:r>
      <w:hyperlink r:id="rId13">
        <w:r>
          <w:rPr>
            <w:color w:val="2E74B5"/>
            <w:u w:val="single"/>
          </w:rPr>
          <w:t>S09</w:t>
        </w:r>
      </w:hyperlink>
      <w:r>
        <w:t xml:space="preserve"> · </w:t>
      </w:r>
      <w:hyperlink r:id="rId14">
        <w:r>
          <w:rPr>
            <w:color w:val="2E74B5"/>
            <w:u w:val="single"/>
          </w:rPr>
          <w:t>S20</w:t>
        </w:r>
      </w:hyperlink>
    </w:p>
    <w:p>
      <w:pPr>
        <w:pStyle w:val="Heading1"/>
      </w:pPr>
      <w:r>
        <w:t>B2. Peta perubahan repository</w:t>
      </w:r>
    </w:p>
    <w:p>
      <w:pPr/>
      <w:r>
        <w:t>Kolom path upstream di bawah merujuk file yang ditemukan pada tree commit riset. Daftar ini bukan daftar path ilustratif dari dokumen arsitektur upstream. File pada kolom target adalah rancangan baru dan harus dibuat oleh implementasi.</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4680"/>
        <w:gridCol w:w="4680"/>
      </w:tblGrid>
      <w:tr>
        <w:trPr>
          <w:cantSplit/>
          <w:tblHeader/>
        </w:trPr>
        <w:tc>
          <w:tcPr>
            <w:tcW w:type="dxa" w:w="4680"/>
            <w:vAlign w:val="top"/>
            <w:shd w:fill="E8EEF5" w:val="clear"/>
          </w:tcPr>
          <w:p>
            <w:pPr>
              <w:pStyle w:val="TableText"/>
              <w:keepNext w:val="0"/>
              <w:keepLines/>
            </w:pPr>
            <w:r>
              <w:rPr>
                <w:b/>
              </w:rPr>
              <w:t>Path upstream / tindakan</w:t>
            </w:r>
          </w:p>
        </w:tc>
        <w:tc>
          <w:tcPr>
            <w:tcW w:type="dxa" w:w="4680"/>
            <w:vAlign w:val="top"/>
            <w:shd w:fill="E8EEF5" w:val="clear"/>
          </w:tcPr>
          <w:p>
            <w:pPr>
              <w:pStyle w:val="TableText"/>
              <w:keepNext w:val="0"/>
              <w:keepLines/>
            </w:pPr>
            <w:r>
              <w:rPr>
                <w:b/>
              </w:rPr>
              <w:t>Target perubahan dan verifikasi</w:t>
            </w:r>
          </w:p>
        </w:tc>
      </w:tr>
      <w:tr>
        <w:trPr>
          <w:cantSplit/>
        </w:trPr>
        <w:tc>
          <w:tcPr>
            <w:tcW w:type="dxa" w:w="4680"/>
            <w:vAlign w:val="top"/>
          </w:tcPr>
          <w:p>
            <w:pPr>
              <w:pStyle w:val="TableText"/>
              <w:keepNext w:val="0"/>
              <w:keepLines/>
            </w:pPr>
            <w:r>
              <w:rPr>
                <w:b w:val="0"/>
              </w:rPr>
              <w:t>src/feeds/polymarket/index.ts</w:t>
              <w:br/>
              <w:t>ADAPT</w:t>
            </w:r>
          </w:p>
        </w:tc>
        <w:tc>
          <w:tcPr>
            <w:tcW w:type="dxa" w:w="4680"/>
            <w:vAlign w:val="top"/>
          </w:tcPr>
          <w:p>
            <w:pPr>
              <w:pStyle w:val="TableText"/>
              <w:keepNext w:val="0"/>
              <w:keepLines/>
            </w:pPr>
            <w:r>
              <w:rPr>
                <w:b w:val="0"/>
              </w:rPr>
              <w:t>Bungkus menjadi market-data adapter: identitas kanonis, snapshot/reconnect, timestamps dan fee metadata. Contract test baca API aktual.</w:t>
            </w:r>
          </w:p>
        </w:tc>
      </w:tr>
      <w:tr>
        <w:trPr>
          <w:cantSplit/>
        </w:trPr>
        <w:tc>
          <w:tcPr>
            <w:tcW w:type="dxa" w:w="4680"/>
            <w:vAlign w:val="top"/>
          </w:tcPr>
          <w:p>
            <w:pPr>
              <w:pStyle w:val="TableText"/>
              <w:keepNext w:val="0"/>
              <w:keepLines/>
            </w:pPr>
            <w:r>
              <w:rPr>
                <w:b w:val="0"/>
              </w:rPr>
              <w:t>src/providers/index.ts</w:t>
              <w:br/>
              <w:t>REFACTOR</w:t>
            </w:r>
          </w:p>
        </w:tc>
        <w:tc>
          <w:tcPr>
            <w:tcW w:type="dxa" w:w="4680"/>
            <w:vAlign w:val="top"/>
          </w:tcPr>
          <w:p>
            <w:pPr>
              <w:pStyle w:val="TableText"/>
              <w:keepNext w:val="0"/>
              <w:keepLines/>
            </w:pPr>
            <w:r>
              <w:rPr>
                <w:b w:val="0"/>
              </w:rPr>
              <w:t>Provider adapter dengan schema output, tool capability dan usage metering; normalisasi base URL agar /v1 tidak ganda.</w:t>
            </w:r>
          </w:p>
        </w:tc>
      </w:tr>
      <w:tr>
        <w:trPr>
          <w:cantSplit/>
        </w:trPr>
        <w:tc>
          <w:tcPr>
            <w:tcW w:type="dxa" w:w="4680"/>
            <w:vAlign w:val="top"/>
          </w:tcPr>
          <w:p>
            <w:pPr>
              <w:pStyle w:val="TableText"/>
              <w:keepNext w:val="0"/>
              <w:keepLines/>
            </w:pPr>
            <w:r>
              <w:rPr>
                <w:b w:val="0"/>
              </w:rPr>
              <w:t>src/agents/tool-registry.ts; src/agents/index.ts</w:t>
              <w:br/>
              <w:t>RESTRICT</w:t>
            </w:r>
          </w:p>
        </w:tc>
        <w:tc>
          <w:tcPr>
            <w:tcW w:type="dxa" w:w="4680"/>
            <w:vAlign w:val="top"/>
          </w:tcPr>
          <w:p>
            <w:pPr>
              <w:pStyle w:val="TableText"/>
              <w:keepNext w:val="0"/>
              <w:keepLines/>
            </w:pPr>
            <w:r>
              <w:rPr>
                <w:b w:val="0"/>
              </w:rPr>
              <w:t>Allowlist read/research/propose-intent. Hapus otoritas signer, transfer, mode dan policy dari graph agent.</w:t>
            </w:r>
          </w:p>
        </w:tc>
      </w:tr>
      <w:tr>
        <w:trPr>
          <w:cantSplit/>
        </w:trPr>
        <w:tc>
          <w:tcPr>
            <w:tcW w:type="dxa" w:w="4680"/>
            <w:vAlign w:val="top"/>
          </w:tcPr>
          <w:p>
            <w:pPr>
              <w:pStyle w:val="TableText"/>
              <w:keepNext w:val="0"/>
              <w:keepLines/>
            </w:pPr>
            <w:r>
              <w:rPr>
                <w:b w:val="0"/>
              </w:rPr>
              <w:t>src/execution/index.ts</w:t>
              <w:br/>
              <w:t>REPLACE HOT PATH</w:t>
            </w:r>
          </w:p>
        </w:tc>
        <w:tc>
          <w:tcPr>
            <w:tcW w:type="dxa" w:w="4680"/>
            <w:vAlign w:val="top"/>
          </w:tcPr>
          <w:p>
            <w:pPr>
              <w:pStyle w:val="TableText"/>
              <w:keepNext w:val="0"/>
              <w:keepLines/>
            </w:pPr>
            <w:r>
              <w:rPr>
                <w:b w:val="0"/>
              </w:rPr>
              <w:t>Routing ke executor baru; hapus asumsi negRisk=fee; semua submit, cancel, replace wajib intent/lifecycle yang sama.</w:t>
            </w:r>
          </w:p>
        </w:tc>
      </w:tr>
      <w:tr>
        <w:trPr>
          <w:cantSplit/>
        </w:trPr>
        <w:tc>
          <w:tcPr>
            <w:tcW w:type="dxa" w:w="4680"/>
            <w:vAlign w:val="top"/>
          </w:tcPr>
          <w:p>
            <w:pPr>
              <w:pStyle w:val="TableText"/>
              <w:keepNext w:val="0"/>
              <w:keepLines/>
            </w:pPr>
            <w:r>
              <w:rPr>
                <w:b w:val="0"/>
              </w:rPr>
              <w:t>src/skills/bundled/trading-polymarket/index.ts</w:t>
              <w:br/>
              <w:t>REWIRE</w:t>
            </w:r>
          </w:p>
        </w:tc>
        <w:tc>
          <w:tcPr>
            <w:tcW w:type="dxa" w:w="4680"/>
            <w:vAlign w:val="top"/>
          </w:tcPr>
          <w:p>
            <w:pPr>
              <w:pStyle w:val="TableText"/>
              <w:keepNext w:val="0"/>
              <w:keepLines/>
            </w:pPr>
            <w:r>
              <w:rPr>
                <w:b w:val="0"/>
              </w:rPr>
              <w:t>DRY_RUN lama hanya kompatibilitas; unset mode menjadi PAPER. Chat/tool tidak dapat melewati policy gate.</w:t>
            </w:r>
          </w:p>
        </w:tc>
      </w:tr>
      <w:tr>
        <w:trPr>
          <w:cantSplit/>
        </w:trPr>
        <w:tc>
          <w:tcPr>
            <w:tcW w:type="dxa" w:w="4680"/>
            <w:vAlign w:val="top"/>
          </w:tcPr>
          <w:p>
            <w:pPr>
              <w:pStyle w:val="TableText"/>
              <w:keepNext w:val="0"/>
              <w:keepLines/>
            </w:pPr>
            <w:r>
              <w:rPr>
                <w:b w:val="0"/>
              </w:rPr>
              <w:t>src/strategies/hft-divergence/strategy.ts</w:t>
              <w:br/>
              <w:t>DISABLE v1</w:t>
            </w:r>
          </w:p>
        </w:tc>
        <w:tc>
          <w:tcPr>
            <w:tcW w:type="dxa" w:w="4680"/>
            <w:vAlign w:val="top"/>
          </w:tcPr>
          <w:p>
            <w:pPr>
              <w:pStyle w:val="TableText"/>
              <w:keepNext w:val="0"/>
              <w:keepLines/>
            </w:pPr>
            <w:r>
              <w:rPr>
                <w:b w:val="0"/>
              </w:rPr>
              <w:t>Celah cancel/fallback dan unconditional local close memerlukan perbaikan. Tidak diaktifkan hanya karena build berhasil.</w:t>
            </w:r>
          </w:p>
        </w:tc>
      </w:tr>
      <w:tr>
        <w:trPr>
          <w:cantSplit/>
        </w:trPr>
        <w:tc>
          <w:tcPr>
            <w:tcW w:type="dxa" w:w="4680"/>
            <w:vAlign w:val="top"/>
          </w:tcPr>
          <w:p>
            <w:pPr>
              <w:pStyle w:val="TableText"/>
              <w:keepNext w:val="0"/>
              <w:keepLines/>
            </w:pPr>
            <w:r>
              <w:rPr>
                <w:b w:val="0"/>
              </w:rPr>
              <w:t>src/execution/order-persistence.ts</w:t>
              <w:br/>
              <w:t>LIMIT REUSE</w:t>
            </w:r>
          </w:p>
        </w:tc>
        <w:tc>
          <w:tcPr>
            <w:tcW w:type="dxa" w:w="4680"/>
            <w:vAlign w:val="top"/>
          </w:tcPr>
          <w:p>
            <w:pPr>
              <w:pStyle w:val="TableText"/>
              <w:keepNext w:val="0"/>
              <w:keepLines/>
            </w:pPr>
            <w:r>
              <w:rPr>
                <w:b w:val="0"/>
              </w:rPr>
              <w:t>TWAP/bracket persistence bukan ledger umum; migrasi/adapter yang eksplisit bila data lama diperlukan.</w:t>
            </w:r>
          </w:p>
        </w:tc>
      </w:tr>
      <w:tr>
        <w:trPr>
          <w:cantSplit/>
        </w:trPr>
        <w:tc>
          <w:tcPr>
            <w:tcW w:type="dxa" w:w="4680"/>
            <w:vAlign w:val="top"/>
          </w:tcPr>
          <w:p>
            <w:pPr>
              <w:pStyle w:val="TableText"/>
              <w:keepNext w:val="0"/>
              <w:keepLines/>
            </w:pPr>
            <w:r>
              <w:rPr>
                <w:b w:val="0"/>
              </w:rPr>
              <w:t>src/utils/polymarket-order-signer.ts</w:t>
              <w:br/>
              <w:t>RETIRE DIRECT PATH</w:t>
            </w:r>
          </w:p>
        </w:tc>
        <w:tc>
          <w:tcPr>
            <w:tcW w:type="dxa" w:w="4680"/>
            <w:vAlign w:val="top"/>
          </w:tcPr>
          <w:p>
            <w:pPr>
              <w:pStyle w:val="TableText"/>
              <w:keepNext w:val="0"/>
              <w:keepLines/>
            </w:pPr>
            <w:r>
              <w:rPr>
                <w:b w:val="0"/>
              </w:rPr>
              <w:t>Manual signer tidak menjadi otoritas default; signature type yang tidak didukung harus fail sebelum submit. Uji adapter wallet aktual.</w:t>
            </w:r>
          </w:p>
        </w:tc>
      </w:tr>
      <w:tr>
        <w:trPr>
          <w:cantSplit/>
        </w:trPr>
        <w:tc>
          <w:tcPr>
            <w:tcW w:type="dxa" w:w="4680"/>
            <w:vAlign w:val="top"/>
          </w:tcPr>
          <w:p>
            <w:pPr>
              <w:pStyle w:val="TableText"/>
              <w:keepNext w:val="0"/>
              <w:keepLines/>
            </w:pPr>
            <w:r>
              <w:rPr>
                <w:b w:val="0"/>
              </w:rPr>
              <w:t>src/gateway/control-ui.ts; src/gateway/risk-routes.ts</w:t>
              <w:br/>
              <w:t>ADAPT</w:t>
            </w:r>
          </w:p>
        </w:tc>
        <w:tc>
          <w:tcPr>
            <w:tcW w:type="dxa" w:w="4680"/>
            <w:vAlign w:val="top"/>
          </w:tcPr>
          <w:p>
            <w:pPr>
              <w:pStyle w:val="TableText"/>
              <w:keepNext w:val="0"/>
              <w:keepLines/>
            </w:pPr>
            <w:r>
              <w:rPr>
                <w:b w:val="0"/>
              </w:rPr>
              <w:t>UI autentikasi pemilik, capability tindakan, CSRF, audit, data read models; perubahan policy melalui command khusus.</w:t>
            </w:r>
          </w:p>
        </w:tc>
      </w:tr>
      <w:tr>
        <w:trPr>
          <w:cantSplit/>
        </w:trPr>
        <w:tc>
          <w:tcPr>
            <w:tcW w:type="dxa" w:w="4680"/>
            <w:vAlign w:val="top"/>
          </w:tcPr>
          <w:p>
            <w:pPr>
              <w:pStyle w:val="TableText"/>
              <w:keepNext w:val="0"/>
              <w:keepLines/>
            </w:pPr>
            <w:r>
              <w:rPr>
                <w:b w:val="0"/>
              </w:rPr>
              <w:t>Dockerfile; docker-compose.yml</w:t>
              <w:br/>
              <w:t>HARDEN</w:t>
            </w:r>
          </w:p>
        </w:tc>
        <w:tc>
          <w:tcPr>
            <w:tcW w:type="dxa" w:w="4680"/>
            <w:vAlign w:val="top"/>
          </w:tcPr>
          <w:p>
            <w:pPr>
              <w:pStyle w:val="TableText"/>
              <w:keepNext w:val="0"/>
              <w:keepLines/>
            </w:pPr>
            <w:r>
              <w:rPr>
                <w:b w:val="0"/>
              </w:rPr>
              <w:t>Review install lifecycle/native modules; gateway di balik TLS, DB/executor privat, secret terpisah, image immutable dan backup di luar host.</w:t>
            </w:r>
          </w:p>
        </w:tc>
      </w:tr>
    </w:tbl>
    <w:p>
      <w:pPr>
        <w:spacing w:after="60" w:before="0" w:line="240" w:lineRule="auto"/>
      </w:pPr>
      <w:r>
        <w:rPr>
          <w:sz w:val="4"/>
        </w:rPr>
      </w:r>
    </w:p>
    <w:p>
      <w:pPr>
        <w:pStyle w:val="SourceText"/>
      </w:pPr>
      <w:r>
        <w:t xml:space="preserve">Sumber: </w:t>
      </w:r>
      <w:hyperlink r:id="rId15">
        <w:r>
          <w:rPr>
            <w:color w:val="2E74B5"/>
            <w:u w:val="single"/>
          </w:rPr>
          <w:t>S03</w:t>
        </w:r>
      </w:hyperlink>
      <w:r>
        <w:t xml:space="preserve"> · </w:t>
      </w:r>
      <w:hyperlink r:id="rId16">
        <w:r>
          <w:rPr>
            <w:color w:val="2E74B5"/>
            <w:u w:val="single"/>
          </w:rPr>
          <w:t>S04</w:t>
        </w:r>
      </w:hyperlink>
      <w:r>
        <w:t xml:space="preserve"> · </w:t>
      </w:r>
      <w:hyperlink r:id="rId17">
        <w:r>
          <w:rPr>
            <w:color w:val="2E74B5"/>
            <w:u w:val="single"/>
          </w:rPr>
          <w:t>S05</w:t>
        </w:r>
      </w:hyperlink>
      <w:r>
        <w:t xml:space="preserve"> · </w:t>
      </w:r>
      <w:hyperlink r:id="rId18">
        <w:r>
          <w:rPr>
            <w:color w:val="2E74B5"/>
            <w:u w:val="single"/>
          </w:rPr>
          <w:t>S06</w:t>
        </w:r>
      </w:hyperlink>
      <w:r>
        <w:t xml:space="preserve"> · </w:t>
      </w:r>
      <w:hyperlink r:id="rId19">
        <w:r>
          <w:rPr>
            <w:color w:val="2E74B5"/>
            <w:u w:val="single"/>
          </w:rPr>
          <w:t>S07</w:t>
        </w:r>
      </w:hyperlink>
      <w:r>
        <w:t xml:space="preserve"> · </w:t>
      </w:r>
      <w:hyperlink r:id="rId20">
        <w:r>
          <w:rPr>
            <w:color w:val="2E74B5"/>
            <w:u w:val="single"/>
          </w:rPr>
          <w:t>S08</w:t>
        </w:r>
      </w:hyperlink>
    </w:p>
    <w:p>
      <w:pPr/>
      <w:r>
        <w:t>Path baru yang diusulkan: src/pm/domain/, src/pm/data/, src/pm/intelligence/, src/pm/strategy/, src/pm/risk/, src/pm/executor/, src/pm/venue/, src/pm/ledger/, src/pm/control/, src/pm/observability/, migrations/pm/, dan tests/pm/. Entry process di src/pm/runtime/gateway.ts serta executor.ts. Jangan membuat folder baru lalu membiarkan jalur order lama tetap aktif.</w:t>
      </w:r>
    </w:p>
    <w:p>
      <w:pPr>
        <w:pStyle w:val="Heading1"/>
      </w:pPr>
      <w:r>
        <w:t>B3. Komponen dan aliran data</w:t>
      </w:r>
    </w:p>
    <w:p>
      <w:pPr>
        <w:keepNext/>
      </w:pPr>
      <w:r>
        <w:drawing>
          <wp:inline xmlns:a="http://schemas.openxmlformats.org/drawingml/2006/main" xmlns:pic="http://schemas.openxmlformats.org/drawingml/2006/picture">
            <wp:extent cx="5943600" cy="3174916"/>
            <wp:docPr id="1" name="Picture 1"/>
            <wp:cNvGraphicFramePr>
              <a:graphicFrameLocks noChangeAspect="1"/>
            </wp:cNvGraphicFramePr>
            <a:graphic>
              <a:graphicData uri="http://schemas.openxmlformats.org/drawingml/2006/picture">
                <pic:pic>
                  <pic:nvPicPr>
                    <pic:cNvPr id="0" name="architecture.png"/>
                    <pic:cNvPicPr/>
                  </pic:nvPicPr>
                  <pic:blipFill>
                    <a:blip r:embed="rId21"/>
                    <a:stretch>
                      <a:fillRect/>
                    </a:stretch>
                  </pic:blipFill>
                  <pic:spPr>
                    <a:xfrm>
                      <a:off x="0" y="0"/>
                      <a:ext cx="5943600" cy="3174916"/>
                    </a:xfrm>
                    <a:prstGeom prst="rect"/>
                  </pic:spPr>
                </pic:pic>
              </a:graphicData>
            </a:graphic>
          </wp:inline>
        </w:drawing>
      </w:r>
    </w:p>
    <w:p>
      <w:pPr>
        <w:pStyle w:val="Caption"/>
      </w:pPr>
      <w:r>
        <w:t>Gambar 1. Batas proses dan otoritas yang diusulkan. Hanya executor berhubungan dengan kredensial trading dan submit order.</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4680"/>
        <w:gridCol w:w="4680"/>
      </w:tblGrid>
      <w:tr>
        <w:trPr>
          <w:cantSplit/>
          <w:tblHeader/>
        </w:trPr>
        <w:tc>
          <w:tcPr>
            <w:tcW w:type="dxa" w:w="4680"/>
            <w:vAlign w:val="top"/>
            <w:shd w:fill="E8EEF5" w:val="clear"/>
          </w:tcPr>
          <w:p>
            <w:pPr>
              <w:pStyle w:val="TableText"/>
              <w:keepNext w:val="0"/>
              <w:keepLines/>
            </w:pPr>
            <w:r>
              <w:rPr>
                <w:b/>
              </w:rPr>
              <w:t>Komponen</w:t>
            </w:r>
          </w:p>
        </w:tc>
        <w:tc>
          <w:tcPr>
            <w:tcW w:type="dxa" w:w="4680"/>
            <w:vAlign w:val="top"/>
            <w:shd w:fill="E8EEF5" w:val="clear"/>
          </w:tcPr>
          <w:p>
            <w:pPr>
              <w:pStyle w:val="TableText"/>
              <w:keepNext w:val="0"/>
              <w:keepLines/>
            </w:pPr>
            <w:r>
              <w:rPr>
                <w:b/>
              </w:rPr>
              <w:t>Masukan → keluaran / otoritas</w:t>
            </w:r>
          </w:p>
        </w:tc>
      </w:tr>
      <w:tr>
        <w:trPr>
          <w:cantSplit/>
        </w:trPr>
        <w:tc>
          <w:tcPr>
            <w:tcW w:type="dxa" w:w="4680"/>
            <w:vAlign w:val="top"/>
          </w:tcPr>
          <w:p>
            <w:pPr>
              <w:pStyle w:val="TableText"/>
              <w:keepNext w:val="0"/>
              <w:keepLines/>
            </w:pPr>
            <w:r>
              <w:rPr>
                <w:b w:val="0"/>
              </w:rPr>
              <w:t>Control + gateway</w:t>
            </w:r>
          </w:p>
        </w:tc>
        <w:tc>
          <w:tcPr>
            <w:tcW w:type="dxa" w:w="4680"/>
            <w:vAlign w:val="top"/>
          </w:tcPr>
          <w:p>
            <w:pPr>
              <w:pStyle w:val="TableText"/>
              <w:keepNext w:val="0"/>
              <w:keepLines/>
            </w:pPr>
            <w:r>
              <w:rPr>
                <w:b w:val="0"/>
              </w:rPr>
              <w:t>Session pemilik → command bertanda identitas, versioned mandate dan read model. Tidak memegang key atau hak tulis tabel ledger.</w:t>
            </w:r>
          </w:p>
        </w:tc>
      </w:tr>
      <w:tr>
        <w:trPr>
          <w:cantSplit/>
        </w:trPr>
        <w:tc>
          <w:tcPr>
            <w:tcW w:type="dxa" w:w="4680"/>
            <w:vAlign w:val="top"/>
          </w:tcPr>
          <w:p>
            <w:pPr>
              <w:pStyle w:val="TableText"/>
              <w:keepNext w:val="0"/>
              <w:keepLines/>
            </w:pPr>
            <w:r>
              <w:rPr>
                <w:b w:val="0"/>
              </w:rPr>
              <w:t>Data service</w:t>
            </w:r>
          </w:p>
        </w:tc>
        <w:tc>
          <w:tcPr>
            <w:tcW w:type="dxa" w:w="4680"/>
            <w:vAlign w:val="top"/>
          </w:tcPr>
          <w:p>
            <w:pPr>
              <w:pStyle w:val="TableText"/>
              <w:keepNext w:val="0"/>
              <w:keepLines/>
            </w:pPr>
            <w:r>
              <w:rPr>
                <w:b w:val="0"/>
              </w:rPr>
              <w:t>Public metadata/book + evidence → MarketSnapshot, EvidenceItem, status freshness. Hak tulis research schema saja.</w:t>
            </w:r>
          </w:p>
        </w:tc>
      </w:tr>
      <w:tr>
        <w:trPr>
          <w:cantSplit/>
        </w:trPr>
        <w:tc>
          <w:tcPr>
            <w:tcW w:type="dxa" w:w="4680"/>
            <w:vAlign w:val="top"/>
          </w:tcPr>
          <w:p>
            <w:pPr>
              <w:pStyle w:val="TableText"/>
              <w:keepNext w:val="0"/>
              <w:keepLines/>
            </w:pPr>
            <w:r>
              <w:rPr>
                <w:b w:val="0"/>
              </w:rPr>
              <w:t>Intelligence</w:t>
            </w:r>
          </w:p>
        </w:tc>
        <w:tc>
          <w:tcPr>
            <w:tcW w:type="dxa" w:w="4680"/>
            <w:vAlign w:val="top"/>
          </w:tcPr>
          <w:p>
            <w:pPr>
              <w:pStyle w:val="TableText"/>
              <w:keepNext w:val="0"/>
              <w:keepLines/>
            </w:pPr>
            <w:r>
              <w:rPr>
                <w:b w:val="0"/>
              </w:rPr>
              <w:t>Pertanyaan pasar + bukti → Forecast tervalidasi. Tool jaringan read-only yang dibatasi domain/biaya, tanpa shell/signer.</w:t>
            </w:r>
          </w:p>
        </w:tc>
      </w:tr>
      <w:tr>
        <w:trPr>
          <w:cantSplit/>
        </w:trPr>
        <w:tc>
          <w:tcPr>
            <w:tcW w:type="dxa" w:w="4680"/>
            <w:vAlign w:val="top"/>
          </w:tcPr>
          <w:p>
            <w:pPr>
              <w:pStyle w:val="TableText"/>
              <w:keepNext w:val="0"/>
              <w:keepLines/>
            </w:pPr>
            <w:r>
              <w:rPr>
                <w:b w:val="0"/>
              </w:rPr>
              <w:t>Strategy</w:t>
            </w:r>
          </w:p>
        </w:tc>
        <w:tc>
          <w:tcPr>
            <w:tcW w:type="dxa" w:w="4680"/>
            <w:vAlign w:val="top"/>
          </w:tcPr>
          <w:p>
            <w:pPr>
              <w:pStyle w:val="TableText"/>
              <w:keepNext w:val="0"/>
              <w:keepLines/>
            </w:pPr>
            <w:r>
              <w:rPr>
                <w:b w:val="0"/>
              </w:rPr>
              <w:t>Forecast + executable quote → TradeIntent atau NO_TRADE. Tidak menganggap sinyal sebagai fill atau profit.</w:t>
            </w:r>
          </w:p>
        </w:tc>
      </w:tr>
      <w:tr>
        <w:trPr>
          <w:cantSplit/>
        </w:trPr>
        <w:tc>
          <w:tcPr>
            <w:tcW w:type="dxa" w:w="4680"/>
            <w:vAlign w:val="top"/>
          </w:tcPr>
          <w:p>
            <w:pPr>
              <w:pStyle w:val="TableText"/>
              <w:keepNext w:val="0"/>
              <w:keepLines/>
            </w:pPr>
            <w:r>
              <w:rPr>
                <w:b w:val="0"/>
              </w:rPr>
              <w:t>Risk + executor</w:t>
            </w:r>
          </w:p>
        </w:tc>
        <w:tc>
          <w:tcPr>
            <w:tcW w:type="dxa" w:w="4680"/>
            <w:vAlign w:val="top"/>
          </w:tcPr>
          <w:p>
            <w:pPr>
              <w:pStyle w:val="TableText"/>
              <w:keepNext w:val="0"/>
              <w:keepLines/>
            </w:pPr>
            <w:r>
              <w:rPr>
                <w:b w:val="0"/>
              </w:rPr>
              <w:t>Intent + mandate + inventory → reservation, signed order, venue events. Financial writer tunggal yang melakukan sign/submit.</w:t>
            </w:r>
          </w:p>
        </w:tc>
      </w:tr>
      <w:tr>
        <w:trPr>
          <w:cantSplit/>
        </w:trPr>
        <w:tc>
          <w:tcPr>
            <w:tcW w:type="dxa" w:w="4680"/>
            <w:vAlign w:val="top"/>
          </w:tcPr>
          <w:p>
            <w:pPr>
              <w:pStyle w:val="TableText"/>
              <w:keepNext w:val="0"/>
              <w:keepLines/>
            </w:pPr>
            <w:r>
              <w:rPr>
                <w:b w:val="0"/>
              </w:rPr>
              <w:t>Reconciler</w:t>
            </w:r>
          </w:p>
        </w:tc>
        <w:tc>
          <w:tcPr>
            <w:tcW w:type="dxa" w:w="4680"/>
            <w:vAlign w:val="top"/>
          </w:tcPr>
          <w:p>
            <w:pPr>
              <w:pStyle w:val="TableText"/>
              <w:keepNext w:val="0"/>
              <w:keepLines/>
            </w:pPr>
            <w:r>
              <w:rPr>
                <w:b w:val="0"/>
              </w:rPr>
              <w:t>Venue orders/trades/balance + chain receipts → discrepancy, compensating events dan readiness. Berjalan walau AI berhenti.</w:t>
            </w:r>
          </w:p>
        </w:tc>
      </w:tr>
      <w:tr>
        <w:trPr>
          <w:cantSplit/>
        </w:trPr>
        <w:tc>
          <w:tcPr>
            <w:tcW w:type="dxa" w:w="4680"/>
            <w:vAlign w:val="top"/>
          </w:tcPr>
          <w:p>
            <w:pPr>
              <w:pStyle w:val="TableText"/>
              <w:keepNext w:val="0"/>
              <w:keepLines/>
            </w:pPr>
            <w:r>
              <w:rPr>
                <w:b w:val="0"/>
              </w:rPr>
              <w:t>Ledger + outbox</w:t>
            </w:r>
          </w:p>
        </w:tc>
        <w:tc>
          <w:tcPr>
            <w:tcW w:type="dxa" w:w="4680"/>
            <w:vAlign w:val="top"/>
          </w:tcPr>
          <w:p>
            <w:pPr>
              <w:pStyle w:val="TableText"/>
              <w:keepNext w:val="0"/>
              <w:keepLines/>
            </w:pPr>
            <w:r>
              <w:rPr>
                <w:b w:val="0"/>
              </w:rPr>
              <w:t>Event append-only → projections, jobs dan audit. Database privat; role dipisah untuk research, financial, read model dan migrasi.</w:t>
            </w:r>
          </w:p>
        </w:tc>
      </w:tr>
    </w:tbl>
    <w:p>
      <w:pPr>
        <w:spacing w:after="60" w:before="0" w:line="240" w:lineRule="auto"/>
      </w:pPr>
      <w:r>
        <w:rPr>
          <w:sz w:val="4"/>
        </w:rPr>
      </w:r>
    </w:p>
    <w:p>
      <w:pPr/>
      <w:r>
        <w:t>Data pipeline: discover market → validasi rules dan identitas → book snapshot/stream → ambil bukti → deduplikasi → forecast → quote → intent. Scan directional awal setiap 120 detik, disertai invalidasi event-driven. Interval ini parameter usulan; tidak dipasarkan sebagai HFT. Stream stale lebih dari 2 detik menahan submit meskipun scheduler sehat.</w:t>
      </w:r>
    </w:p>
    <w:p>
      <w:pPr/>
      <w:r>
        <w:t>Setiap snapshot menyimpan source_at dan received_at. Reconnect menandai book UNSYNCED, mengambil snapshot baru, lalu menerapkan update hanya dengan jaminan ordering yang benar-benar diberikan adapter. Jika feed tidak memberi sequence yang dapat diverifikasi, jangan menciptakan sequence palsu; gunakan freshness, snapshot berkala dan full resync saat ambigu.</w:t>
      </w:r>
    </w:p>
    <w:p>
      <w:pPr/>
      <w:r>
        <w:t>Metadata menyimpan rules_hash, resolution_source, close time UTC, token/outcome mapping, feeSchedule, tick, min_size, status, secondsDelay dan negRisk. Perubahan material menginvalidasi forecast/intent belum terkirim. Pasar tak lengkap, ambigu, disputed, atau mode perdagangan belum didukung menjadi ineligible.</w:t>
      </w:r>
    </w:p>
    <w:p>
      <w:pPr>
        <w:pStyle w:val="SourceText"/>
      </w:pPr>
      <w:r>
        <w:t xml:space="preserve">Sumber: </w:t>
      </w:r>
      <w:hyperlink r:id="rId22">
        <w:r>
          <w:rPr>
            <w:color w:val="2E74B5"/>
            <w:u w:val="single"/>
          </w:rPr>
          <w:t>S13</w:t>
        </w:r>
      </w:hyperlink>
      <w:r>
        <w:t xml:space="preserve"> · </w:t>
      </w:r>
      <w:hyperlink r:id="rId23">
        <w:r>
          <w:rPr>
            <w:color w:val="2E74B5"/>
            <w:u w:val="single"/>
          </w:rPr>
          <w:t>S17</w:t>
        </w:r>
      </w:hyperlink>
    </w:p>
    <w:p>
      <w:pPr>
        <w:pStyle w:val="Heading1"/>
      </w:pPr>
      <w:r>
        <w:t>B4. Kontrak intelligence dan strategi</w:t>
      </w:r>
    </w:p>
    <w:p>
      <w:pPr/>
      <w:r>
        <w:t>Semua objek mempunyai schema_version, ID immutable, created_at UTC, correlation_id dan provenance. Decimal finansial dikirim sebagai string, bukan JSON number. ID token/condition disimpan sebagai string opak. Model output tidak boleh menambahkan properti yang memperluas kapabilitas.</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4680"/>
        <w:gridCol w:w="4680"/>
      </w:tblGrid>
      <w:tr>
        <w:trPr>
          <w:cantSplit/>
          <w:tblHeader/>
        </w:trPr>
        <w:tc>
          <w:tcPr>
            <w:tcW w:type="dxa" w:w="4680"/>
            <w:vAlign w:val="top"/>
            <w:shd w:fill="E8EEF5" w:val="clear"/>
          </w:tcPr>
          <w:p>
            <w:pPr>
              <w:pStyle w:val="TableText"/>
              <w:keepNext w:val="0"/>
              <w:keepLines/>
            </w:pPr>
            <w:r>
              <w:rPr>
                <w:b/>
              </w:rPr>
              <w:t>Objek / field wajib</w:t>
            </w:r>
          </w:p>
        </w:tc>
        <w:tc>
          <w:tcPr>
            <w:tcW w:type="dxa" w:w="4680"/>
            <w:vAlign w:val="top"/>
            <w:shd w:fill="E8EEF5" w:val="clear"/>
          </w:tcPr>
          <w:p>
            <w:pPr>
              <w:pStyle w:val="TableText"/>
              <w:keepNext w:val="0"/>
              <w:keepLines/>
            </w:pPr>
            <w:r>
              <w:rPr>
                <w:b/>
              </w:rPr>
              <w:t>Semantik dan validasi</w:t>
            </w:r>
          </w:p>
        </w:tc>
      </w:tr>
      <w:tr>
        <w:trPr>
          <w:cantSplit/>
        </w:trPr>
        <w:tc>
          <w:tcPr>
            <w:tcW w:type="dxa" w:w="4680"/>
            <w:vAlign w:val="top"/>
          </w:tcPr>
          <w:p>
            <w:pPr>
              <w:pStyle w:val="TableText"/>
              <w:keepNext w:val="0"/>
              <w:keepLines/>
            </w:pPr>
            <w:r>
              <w:rPr>
                <w:b w:val="0"/>
              </w:rPr>
              <w:t>EvidenceItem</w:t>
              <w:br/>
              <w:t>id, url, publisher, published_at?, fetched_at, content_hash, excerpt, claim, source_family_id, relevance, access_policy</w:t>
            </w:r>
          </w:p>
        </w:tc>
        <w:tc>
          <w:tcPr>
            <w:tcW w:type="dxa" w:w="4680"/>
            <w:vAlign w:val="top"/>
          </w:tcPr>
          <w:p>
            <w:pPr>
              <w:pStyle w:val="TableText"/>
              <w:keepNext w:val="0"/>
              <w:keepLines/>
            </w:pPr>
            <w:r>
              <w:rPr>
                <w:b w:val="0"/>
              </w:rPr>
              <w:t>published_at boleh unknown; fetched_at wajib. Teks adalah data tak tepercaya. Simpan kutipan secukupnya sesuai hak data; hash/provenance tidak melegalkan penyalinan penuh.</w:t>
            </w:r>
          </w:p>
        </w:tc>
      </w:tr>
      <w:tr>
        <w:trPr>
          <w:cantSplit/>
        </w:trPr>
        <w:tc>
          <w:tcPr>
            <w:tcW w:type="dxa" w:w="4680"/>
            <w:vAlign w:val="top"/>
          </w:tcPr>
          <w:p>
            <w:pPr>
              <w:pStyle w:val="TableText"/>
              <w:keepNext w:val="0"/>
              <w:keepLines/>
            </w:pPr>
            <w:r>
              <w:rPr>
                <w:b w:val="0"/>
              </w:rPr>
              <w:t>MarketSnapshot</w:t>
              <w:br/>
              <w:t>market_id, event_id, condition_id, token_ids, outcome_index, chain_id, collateral_asset_id, rules_hash, quote_id, timestamps</w:t>
            </w:r>
          </w:p>
        </w:tc>
        <w:tc>
          <w:tcPr>
            <w:tcW w:type="dxa" w:w="4680"/>
            <w:vAlign w:val="top"/>
          </w:tcPr>
          <w:p>
            <w:pPr>
              <w:pStyle w:val="TableText"/>
              <w:keepNext w:val="0"/>
              <w:keepLines/>
            </w:pPr>
            <w:r>
              <w:rPr>
                <w:b w:val="0"/>
              </w:rPr>
              <w:t>Identitas berasal dari metadata resmi. Nama/judul bukan key. Market satu event tidak otomatis independen terhadap event lain.</w:t>
            </w:r>
          </w:p>
        </w:tc>
      </w:tr>
      <w:tr>
        <w:trPr>
          <w:cantSplit/>
        </w:trPr>
        <w:tc>
          <w:tcPr>
            <w:tcW w:type="dxa" w:w="4680"/>
            <w:vAlign w:val="top"/>
          </w:tcPr>
          <w:p>
            <w:pPr>
              <w:pStyle w:val="TableText"/>
              <w:keepNext w:val="0"/>
              <w:keepLines/>
            </w:pPr>
            <w:r>
              <w:rPr>
                <w:b w:val="0"/>
              </w:rPr>
              <w:t>Forecast</w:t>
              <w:br/>
              <w:t>forecast_id, market_id, rules_hash, p_yes_raw, p_yes_calibrated?, p_yes_conservative?, evidence_ids[], counterevidence[], assumptions[], invalidators[], valid_until, abstain_reason?</w:t>
            </w:r>
          </w:p>
        </w:tc>
        <w:tc>
          <w:tcPr>
            <w:tcW w:type="dxa" w:w="4680"/>
            <w:vAlign w:val="top"/>
          </w:tcPr>
          <w:p>
            <w:pPr>
              <w:pStyle w:val="TableText"/>
              <w:keepNext w:val="0"/>
              <w:keepLines/>
            </w:pPr>
            <w:r>
              <w:rPr>
                <w:b w:val="0"/>
              </w:rPr>
              <w:t>Probability pada [0,1]. Evidence ID harus ada; invalid/expired → abstain. Konservatif harus terkait metode evaluasi, bukan sekadar perintah “lebih yakin”.</w:t>
            </w:r>
          </w:p>
        </w:tc>
      </w:tr>
      <w:tr>
        <w:trPr>
          <w:cantSplit/>
        </w:trPr>
        <w:tc>
          <w:tcPr>
            <w:tcW w:type="dxa" w:w="4680"/>
            <w:vAlign w:val="top"/>
          </w:tcPr>
          <w:p>
            <w:pPr>
              <w:pStyle w:val="TableText"/>
              <w:keepNext w:val="0"/>
              <w:keepLines/>
            </w:pPr>
            <w:r>
              <w:rPr>
                <w:b w:val="0"/>
              </w:rPr>
              <w:t>Forecast lineage</w:t>
              <w:br/>
              <w:t>model_id, provider, prompt_version, model_config_hash, calibrator_id?, experiment_id, source_cutoff, token_usage, cost_record_id</w:t>
            </w:r>
          </w:p>
        </w:tc>
        <w:tc>
          <w:tcPr>
            <w:tcW w:type="dxa" w:w="4680"/>
            <w:vAlign w:val="top"/>
          </w:tcPr>
          <w:p>
            <w:pPr>
              <w:pStyle w:val="TableText"/>
              <w:keepNext w:val="0"/>
              <w:keepLines/>
            </w:pPr>
            <w:r>
              <w:rPr>
                <w:b w:val="0"/>
              </w:rPr>
              <w:t>Fallback model menghasilkan lineage baru; calibrator dari model/segmen lain tidak boleh dipakai otomatis. Waktu finalitas label dicatat terpisah.</w:t>
            </w:r>
          </w:p>
        </w:tc>
      </w:tr>
      <w:tr>
        <w:trPr>
          <w:cantSplit/>
        </w:trPr>
        <w:tc>
          <w:tcPr>
            <w:tcW w:type="dxa" w:w="4680"/>
            <w:vAlign w:val="top"/>
          </w:tcPr>
          <w:p>
            <w:pPr>
              <w:pStyle w:val="TableText"/>
              <w:keepNext w:val="0"/>
              <w:keepLines/>
            </w:pPr>
            <w:r>
              <w:rPr>
                <w:b w:val="0"/>
              </w:rPr>
              <w:t>TradeIntent</w:t>
              <w:br/>
              <w:t>intent_id, dedupe_key, strategy_version, forecast_id, market_id, token_id, side, purpose, desired_qty, max_cash_debit, limit_price, quote_id, rules_hash, policy_version, expires_at</w:t>
            </w:r>
          </w:p>
        </w:tc>
        <w:tc>
          <w:tcPr>
            <w:tcW w:type="dxa" w:w="4680"/>
            <w:vAlign w:val="top"/>
          </w:tcPr>
          <w:p>
            <w:pPr>
              <w:pStyle w:val="TableText"/>
              <w:keepNext w:val="0"/>
              <w:keepLines/>
            </w:pPr>
            <w:r>
              <w:rPr>
                <w:b w:val="0"/>
              </w:rPr>
              <w:t>side BUY/SELL; purpose ENTRY/REDUCE. Tidak mengandung raw credential, custom contract destination atau arbitrary signed payload.</w:t>
            </w:r>
          </w:p>
        </w:tc>
      </w:tr>
    </w:tbl>
    <w:p>
      <w:pPr>
        <w:spacing w:after="60" w:before="0" w:line="240" w:lineRule="auto"/>
      </w:pPr>
      <w:r>
        <w:rPr>
          <w:sz w:val="4"/>
        </w:rPr>
      </w:r>
    </w:p>
    <w:p>
      <w:pPr/>
      <w:r>
        <w:t>ProviderAdapter harus mendukung capability probe untuk JSON schema/structured output, tool call jika dipakai, timeout, abort, usage, error taxonomy, model ID dan base URL. Interface provider upstream belum membuktikan seluruh kontrak ini. Endpoint kompatibel OpenAI diuji untuk normalisasi /v1, response/tool format dan angka usage; ketidakcocokan menghasilkan provider unavailable, bukan parsing longgar.</w:t>
      </w:r>
    </w:p>
    <w:p>
      <w:pPr>
        <w:pStyle w:val="SourceText"/>
      </w:pPr>
      <w:r>
        <w:t xml:space="preserve">Sumber: </w:t>
      </w:r>
      <w:hyperlink r:id="rId18">
        <w:r>
          <w:rPr>
            <w:color w:val="2E74B5"/>
            <w:u w:val="single"/>
          </w:rPr>
          <w:t>S06</w:t>
        </w:r>
      </w:hyperlink>
    </w:p>
    <w:p>
      <w:pPr>
        <w:pStyle w:val="Heading2"/>
      </w:pPr>
      <w:r>
        <w:t>evidence_directional_v1</w:t>
      </w:r>
    </w:p>
    <w:p>
      <w:pPr/>
      <w:r>
        <w:t>Universe awal adalah pasar biner biasa dengan payout yang dapat dimodelkan dan aturan jelas. Dua sumber independen yang relevan menjadi default evidence gate; satu sumber resolusi primer yang otoritatif dapat menjadi pengecualian terstruktur. Banyak situs yang mensindikasi berita sama tetap satu source family. Bukti bertentangan atau sumber tidak tersedia menghasilkan abstain kecuali metode penyelesaiannya ditentukan sebelum eksperimen.</w:t>
      </w:r>
    </w:p>
    <w:p>
      <w:pPr/>
      <w:r>
        <w:t>Pipeline forecast memisahkan extraction fakta, penilaian kontra-bukti, estimasi probabilitas dan calibrator. Tidak meminta atau menyimpan chain-of-thought tersembunyi; pengguna melihat bukti, asumsi, invalidator dan penjelasan ringkas. Pada cold start, probabilitas mentah hanya boleh dipakai untuk PAPER/SHADOW atau eksperimen micro-LIVE yang dinyatakan belum tervalidasi.</w:t>
      </w:r>
    </w:p>
    <w:p>
      <w:pPr/>
      <w:r>
        <w:t>Conservative probability untuk BUY adalah estimasi yang menurunkan expected payout terhadap ketidakpastian model/calibration sesuai metode yang dipraregistrasikan. Jika metode/segmen belum layak, forecast tidak eligible untuk otonomi rutin. BUY NO memakai 1 − p_yes hanya pada kontrak biner komplementer biasa; void/refund atau payout khusus memerlukan payout vector yang sesuai aturan.</w:t>
      </w:r>
    </w:p>
    <w:p>
      <w:pPr/>
      <w:r>
        <w:t>Strategi tidak selalu membuka posisi. Reason code standar: RULES_CHANGED, DATA_STALE, FEE_UNKNOWN, NO_EDGE, MIN_SIZE_EXCEEDS_CAP, BUDGET_EXHAUSTED, POLICY_EXPIRED, MODEL_UNCALIBRATED, ACCESS_BLOCKED, RECONCILIATION_REQUIRED. Exit dihasilkan saat forecast baru membuat edge negatif, mandat meminta reduction, atau expiry horizon tercapai; SELL tetap dibatasi shares bebas dan limit harga.</w:t>
      </w:r>
    </w:p>
    <w:p>
      <w:pPr>
        <w:pStyle w:val="Heading1"/>
      </w:pPr>
      <w:r>
        <w:t>B5. Quote, expected value, dan risk engine</w:t>
      </w:r>
    </w:p>
    <w:p>
      <w:pPr>
        <w:pStyle w:val="CodeText"/>
        <w:keepLines/>
      </w:pPr>
      <w:r>
        <w:t>EV = q_net × E[payout per share] − cash_debit − allocated_costs</w:t>
        <w:br/>
        <w:t>edge_per_net_share = EV / q_net</w:t>
        <w:br/>
        <w:t>standard binary: EV ≈ q × (p_conservative − ask_VWAP) − fees − other_costs</w:t>
      </w:r>
    </w:p>
    <w:p>
      <w:pPr/>
      <w:r>
        <w:t>q_net adalah shares bersih yang benar-benar diterima, setelah fee jika fee dibebankan dalam shares. cash_debit meliputi pengeluaran kas terkait fill. Harga VWAP sudah memasukkan depth; jangan menghitung slippage dua kali. allocated_costs meliputi biaya LLM/data/infrastruktur menurut aturan alokasi eksperimen yang konsisten. Ketika fee belum pasti, gunakan batas biaya yang tervalidasi atau tolak entry.</w:t>
      </w:r>
    </w:p>
    <w:p>
      <w:pPr/>
      <w:r>
        <w:t>Contoh sintetis, bukan hasil trading: 100 shares dengan payout 1, p konservatif 0,60, ask VWAP 0,54, fee tunai 0,80, dan biaya operasi 0,20 memberi EV = 60 − 54 − 0,80 − 0,20 = 5,00; edge 0,05/share. Asumsi q_net=100 berlaku hanya jika fee benar-benar tunai. Sinyal masih dapat ditolak limit modal, likuiditas atau mandat.</w:t>
      </w:r>
    </w:p>
    <w:p>
      <w:pPr/>
      <w:r>
        <w:t>Dokumentasi fee memberi bentuk C × feeRate × price × (1−price) untuk konfigurasi yang dicontohkan; metadata juga memiliki feeSchedule termasuk exponent dan takerOnly. Implementasi mengikuti konfigurasi pasar/SDK yang dipin, menguji pembulatan serta mata uang fee, dan tidak memakai negRisk sebagai tarif. Market BUY amount dapat merupakan notional sebelum biaya; maxSpend dan maxPrice dipakai sesuai kontrak aktual untuk batas all-in.</w:t>
      </w:r>
    </w:p>
    <w:p>
      <w:pPr>
        <w:pStyle w:val="SourceText"/>
      </w:pPr>
      <w:r>
        <w:t xml:space="preserve">Sumber: </w:t>
      </w:r>
      <w:hyperlink r:id="rId24">
        <w:r>
          <w:rPr>
            <w:color w:val="2E74B5"/>
            <w:u w:val="single"/>
          </w:rPr>
          <w:t>S12</w:t>
        </w:r>
      </w:hyperlink>
      <w:r>
        <w:t xml:space="preserve"> · </w:t>
      </w:r>
      <w:hyperlink r:id="rId22">
        <w:r>
          <w:rPr>
            <w:color w:val="2E74B5"/>
            <w:u w:val="single"/>
          </w:rPr>
          <w:t>S13</w:t>
        </w:r>
      </w:hyperlink>
      <w:r>
        <w:t xml:space="preserve"> · </w:t>
      </w:r>
      <w:hyperlink r:id="rId25">
        <w:r>
          <w:rPr>
            <w:color w:val="2E74B5"/>
            <w:u w:val="single"/>
          </w:rPr>
          <w:t>S14</w:t>
        </w:r>
      </w:hyperlink>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4680"/>
        <w:gridCol w:w="4680"/>
      </w:tblGrid>
      <w:tr>
        <w:trPr>
          <w:cantSplit/>
          <w:tblHeader/>
        </w:trPr>
        <w:tc>
          <w:tcPr>
            <w:tcW w:type="dxa" w:w="4680"/>
            <w:vAlign w:val="top"/>
            <w:shd w:fill="E8EEF5" w:val="clear"/>
          </w:tcPr>
          <w:p>
            <w:pPr>
              <w:pStyle w:val="TableText"/>
              <w:keepNext w:val="0"/>
              <w:keepLines/>
            </w:pPr>
            <w:r>
              <w:rPr>
                <w:b/>
              </w:rPr>
              <w:t>Urutan pemeriksaan</w:t>
            </w:r>
          </w:p>
        </w:tc>
        <w:tc>
          <w:tcPr>
            <w:tcW w:type="dxa" w:w="4680"/>
            <w:vAlign w:val="top"/>
            <w:shd w:fill="E8EEF5" w:val="clear"/>
          </w:tcPr>
          <w:p>
            <w:pPr>
              <w:pStyle w:val="TableText"/>
              <w:keepNext w:val="0"/>
              <w:keepLines/>
            </w:pPr>
            <w:r>
              <w:rPr>
                <w:b/>
              </w:rPr>
              <w:t>Invariant</w:t>
            </w:r>
          </w:p>
        </w:tc>
      </w:tr>
      <w:tr>
        <w:trPr>
          <w:cantSplit/>
        </w:trPr>
        <w:tc>
          <w:tcPr>
            <w:tcW w:type="dxa" w:w="4680"/>
            <w:vAlign w:val="top"/>
          </w:tcPr>
          <w:p>
            <w:pPr>
              <w:pStyle w:val="TableText"/>
              <w:keepNext w:val="0"/>
              <w:keepLines/>
            </w:pPr>
            <w:r>
              <w:rPr>
                <w:b w:val="0"/>
              </w:rPr>
              <w:t>1 • Mode dan authority</w:t>
            </w:r>
          </w:p>
        </w:tc>
        <w:tc>
          <w:tcPr>
            <w:tcW w:type="dxa" w:w="4680"/>
            <w:vAlign w:val="top"/>
          </w:tcPr>
          <w:p>
            <w:pPr>
              <w:pStyle w:val="TableText"/>
              <w:keepNext w:val="0"/>
              <w:keepLines/>
            </w:pPr>
            <w:r>
              <w:rPr>
                <w:b w:val="0"/>
              </w:rPr>
              <w:t>LIVE + mandat aktif + strategi/market eligible + account eligible + readiness. Policy hash dan lease epoch sama dengan state durable.</w:t>
            </w:r>
          </w:p>
        </w:tc>
      </w:tr>
      <w:tr>
        <w:trPr>
          <w:cantSplit/>
        </w:trPr>
        <w:tc>
          <w:tcPr>
            <w:tcW w:type="dxa" w:w="4680"/>
            <w:vAlign w:val="top"/>
          </w:tcPr>
          <w:p>
            <w:pPr>
              <w:pStyle w:val="TableText"/>
              <w:keepNext w:val="0"/>
              <w:keepLines/>
            </w:pPr>
            <w:r>
              <w:rPr>
                <w:b w:val="0"/>
              </w:rPr>
              <w:t>2 • Data dan price</w:t>
            </w:r>
          </w:p>
        </w:tc>
        <w:tc>
          <w:tcPr>
            <w:tcW w:type="dxa" w:w="4680"/>
            <w:vAlign w:val="top"/>
          </w:tcPr>
          <w:p>
            <w:pPr>
              <w:pStyle w:val="TableText"/>
              <w:keepNext w:val="0"/>
              <w:keepLines/>
            </w:pPr>
            <w:r>
              <w:rPr>
                <w:b w:val="0"/>
              </w:rPr>
              <w:t>rules_hash cocok, quote/metadata/forecast belum expired, tick/min_size/depth valid, asset/chain benar, fee known dan clocks sehat.</w:t>
            </w:r>
          </w:p>
        </w:tc>
      </w:tr>
      <w:tr>
        <w:trPr>
          <w:cantSplit/>
        </w:trPr>
        <w:tc>
          <w:tcPr>
            <w:tcW w:type="dxa" w:w="4680"/>
            <w:vAlign w:val="top"/>
          </w:tcPr>
          <w:p>
            <w:pPr>
              <w:pStyle w:val="TableText"/>
              <w:keepNext w:val="0"/>
              <w:keepLines/>
            </w:pPr>
            <w:r>
              <w:rPr>
                <w:b w:val="0"/>
              </w:rPr>
              <w:t>3 • Economics dan sizing</w:t>
            </w:r>
          </w:p>
        </w:tc>
        <w:tc>
          <w:tcPr>
            <w:tcW w:type="dxa" w:w="4680"/>
            <w:vAlign w:val="top"/>
          </w:tcPr>
          <w:p>
            <w:pPr>
              <w:pStyle w:val="TableText"/>
              <w:keepNext w:val="0"/>
              <w:keepLines/>
            </w:pPr>
            <w:r>
              <w:rPr>
                <w:b w:val="0"/>
              </w:rPr>
              <w:t>EV memenuhi buffer; bulatkan qty ke bawah; all-in cost di bawah order cap dan saldo bebas. SELL hanya shares settled yang belum direservasi.</w:t>
            </w:r>
          </w:p>
        </w:tc>
      </w:tr>
      <w:tr>
        <w:trPr>
          <w:cantSplit/>
        </w:trPr>
        <w:tc>
          <w:tcPr>
            <w:tcW w:type="dxa" w:w="4680"/>
            <w:vAlign w:val="top"/>
          </w:tcPr>
          <w:p>
            <w:pPr>
              <w:pStyle w:val="TableText"/>
              <w:keepNext w:val="0"/>
              <w:keepLines/>
            </w:pPr>
            <w:r>
              <w:rPr>
                <w:b w:val="0"/>
              </w:rPr>
              <w:t>4 • Portfolio dan loss</w:t>
            </w:r>
          </w:p>
        </w:tc>
        <w:tc>
          <w:tcPr>
            <w:tcW w:type="dxa" w:w="4680"/>
            <w:vAlign w:val="top"/>
          </w:tcPr>
          <w:p>
            <w:pPr>
              <w:pStyle w:val="TableText"/>
              <w:keepNext w:val="0"/>
              <w:keepLines/>
            </w:pPr>
            <w:r>
              <w:rPr>
                <w:b w:val="0"/>
              </w:rPr>
              <w:t>Posisi + open orders + reservasi + pending/unknown dihitung sekali tanpa celah kapasitas; cap market/event/portfolio dan loss latch lulus.</w:t>
            </w:r>
          </w:p>
        </w:tc>
      </w:tr>
      <w:tr>
        <w:trPr>
          <w:cantSplit/>
        </w:trPr>
        <w:tc>
          <w:tcPr>
            <w:tcW w:type="dxa" w:w="4680"/>
            <w:vAlign w:val="top"/>
          </w:tcPr>
          <w:p>
            <w:pPr>
              <w:pStyle w:val="TableText"/>
              <w:keepNext w:val="0"/>
              <w:keepLines/>
            </w:pPr>
            <w:r>
              <w:rPr>
                <w:b w:val="0"/>
              </w:rPr>
              <w:t>5 • Transaksi DB</w:t>
            </w:r>
          </w:p>
        </w:tc>
        <w:tc>
          <w:tcPr>
            <w:tcW w:type="dxa" w:w="4680"/>
            <w:vAlign w:val="top"/>
          </w:tcPr>
          <w:p>
            <w:pPr>
              <w:pStyle w:val="TableText"/>
              <w:keepNext w:val="0"/>
              <w:keepLines/>
            </w:pPr>
            <w:r>
              <w:rPr>
                <w:b w:val="0"/>
              </w:rPr>
              <w:t>Kunci baris wallet/policy; validasi ulang proyeksi, tulis reservation, risk_decision dan outbox atomik. Conflict di-retry hanya pada bagian DB.</w:t>
            </w:r>
          </w:p>
        </w:tc>
      </w:tr>
      <w:tr>
        <w:trPr>
          <w:cantSplit/>
        </w:trPr>
        <w:tc>
          <w:tcPr>
            <w:tcW w:type="dxa" w:w="4680"/>
            <w:vAlign w:val="top"/>
          </w:tcPr>
          <w:p>
            <w:pPr>
              <w:pStyle w:val="TableText"/>
              <w:keepNext w:val="0"/>
              <w:keepLines/>
            </w:pPr>
            <w:r>
              <w:rPr>
                <w:b w:val="0"/>
              </w:rPr>
              <w:t>6 • Sebelum submit</w:t>
            </w:r>
          </w:p>
        </w:tc>
        <w:tc>
          <w:tcPr>
            <w:tcW w:type="dxa" w:w="4680"/>
            <w:vAlign w:val="top"/>
          </w:tcPr>
          <w:p>
            <w:pPr>
              <w:pStyle w:val="TableText"/>
              <w:keepNext w:val="0"/>
              <w:keepLines/>
            </w:pPr>
            <w:r>
              <w:rPr>
                <w:b w:val="0"/>
              </w:rPr>
              <w:t>Risk permit TTL 1 detik dan intent TTL 30 detik, quote/policy/lease dicek lagi. Expired permit perlu evaluasi ulang; signed/unknown order tidak dianggap belum dikirim.</w:t>
            </w:r>
          </w:p>
        </w:tc>
      </w:tr>
    </w:tbl>
    <w:p>
      <w:pPr>
        <w:spacing w:after="60" w:before="0" w:line="240" w:lineRule="auto"/>
      </w:pPr>
      <w:r>
        <w:rPr>
          <w:sz w:val="4"/>
        </w:rPr>
      </w:r>
    </w:p>
    <w:p>
      <w:pPr/>
      <w:r>
        <w:t>RiskDecision berisi decision_id, intent_id, policy_hash, ledger_version, quote_id, lease_epoch, max_qty, max_cash_debit, reserved_asset_units, reasons[], issued_at dan expires_at. Executor menerima identifier keputusan durable; nilai max_cash dari request gateway tidak dipercaya. Reservation per intent diubah menjadi locked order lalu pending fill/settled position, bukan dijumlahkan ganda sepanjang transisi.</w:t>
      </w:r>
    </w:p>
    <w:p>
      <w:pPr/>
      <w:r>
        <w:t>Kebijakan lengkap adalah tabel P6 PRD. Nilai utama yang harus sama: order 0,5%, market 2%, event 5%, portfolio 10% dari cap yang disetujui; stop harian 2%, drawdown 5%; maksimum 10 order termasuk unknown; min edge 0,03/share, slippage absolut 0,01. capital cap dan daily AI budget wajib terisi. Threshold belum dibuktikan optimal.</w:t>
      </w:r>
    </w:p>
    <w:p>
      <w:pPr>
        <w:pStyle w:val="SourceText"/>
      </w:pPr>
      <w:r>
        <w:t xml:space="preserve">Sumber: </w:t>
      </w:r>
      <w:hyperlink r:id="rId14">
        <w:r>
          <w:rPr>
            <w:color w:val="2E74B5"/>
            <w:u w:val="single"/>
          </w:rPr>
          <w:t>S20</w:t>
        </w:r>
      </w:hyperlink>
    </w:p>
    <w:p>
      <w:pPr>
        <w:pStyle w:val="Heading1"/>
      </w:pPr>
      <w:r>
        <w:t>B6. Kontrak adapter dan state eksekusi</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4680"/>
        <w:gridCol w:w="4680"/>
      </w:tblGrid>
      <w:tr>
        <w:trPr>
          <w:cantSplit/>
          <w:tblHeader/>
        </w:trPr>
        <w:tc>
          <w:tcPr>
            <w:tcW w:type="dxa" w:w="4680"/>
            <w:vAlign w:val="top"/>
            <w:shd w:fill="E8EEF5" w:val="clear"/>
          </w:tcPr>
          <w:p>
            <w:pPr>
              <w:pStyle w:val="TableText"/>
              <w:keepNext w:val="0"/>
              <w:keepLines/>
            </w:pPr>
            <w:r>
              <w:rPr>
                <w:b/>
              </w:rPr>
              <w:t>VenueAdapter (nama metode usulan)</w:t>
            </w:r>
          </w:p>
        </w:tc>
        <w:tc>
          <w:tcPr>
            <w:tcW w:type="dxa" w:w="4680"/>
            <w:vAlign w:val="top"/>
            <w:shd w:fill="E8EEF5" w:val="clear"/>
          </w:tcPr>
          <w:p>
            <w:pPr>
              <w:pStyle w:val="TableText"/>
              <w:keepNext w:val="0"/>
              <w:keepLines/>
            </w:pPr>
            <w:r>
              <w:rPr>
                <w:b/>
              </w:rPr>
              <w:t>Kontrak minimal</w:t>
            </w:r>
          </w:p>
        </w:tc>
      </w:tr>
      <w:tr>
        <w:trPr>
          <w:cantSplit/>
        </w:trPr>
        <w:tc>
          <w:tcPr>
            <w:tcW w:type="dxa" w:w="4680"/>
            <w:vAlign w:val="top"/>
          </w:tcPr>
          <w:p>
            <w:pPr>
              <w:pStyle w:val="TableText"/>
              <w:keepNext w:val="0"/>
              <w:keepLines/>
            </w:pPr>
            <w:r>
              <w:rPr>
                <w:b w:val="0"/>
              </w:rPr>
              <w:t>capabilities / getMarket / getBook</w:t>
            </w:r>
          </w:p>
        </w:tc>
        <w:tc>
          <w:tcPr>
            <w:tcW w:type="dxa" w:w="4680"/>
            <w:vAlign w:val="top"/>
          </w:tcPr>
          <w:p>
            <w:pPr>
              <w:pStyle w:val="TableText"/>
              <w:keepNext w:val="0"/>
              <w:keepLines/>
            </w:pPr>
            <w:r>
              <w:rPr>
                <w:b w:val="0"/>
              </w:rPr>
              <w:t>Mengembalikan order types, collateral, signature/wallet support, tick/min_size/fee/status dan snapshot terverifikasi; unsupported → reject.</w:t>
            </w:r>
          </w:p>
        </w:tc>
      </w:tr>
      <w:tr>
        <w:trPr>
          <w:cantSplit/>
        </w:trPr>
        <w:tc>
          <w:tcPr>
            <w:tcW w:type="dxa" w:w="4680"/>
            <w:vAlign w:val="top"/>
          </w:tcPr>
          <w:p>
            <w:pPr>
              <w:pStyle w:val="TableText"/>
              <w:keepNext w:val="0"/>
              <w:keepLines/>
            </w:pPr>
            <w:r>
              <w:rPr>
                <w:b w:val="0"/>
              </w:rPr>
              <w:t>buildAndSignOrder</w:t>
            </w:r>
          </w:p>
        </w:tc>
        <w:tc>
          <w:tcPr>
            <w:tcW w:type="dxa" w:w="4680"/>
            <w:vAlign w:val="top"/>
          </w:tcPr>
          <w:p>
            <w:pPr>
              <w:pStyle w:val="TableText"/>
              <w:keepNext w:val="0"/>
              <w:keepLines/>
            </w:pPr>
            <w:r>
              <w:rPr>
                <w:b w:val="0"/>
              </w:rPr>
              <w:t>Hanya executor; payload canonical, chain/contract allowlist, unit eksak. Simpan payload hash + signed order hash sebelum submit; jangan log payload sensitif.</w:t>
            </w:r>
          </w:p>
        </w:tc>
      </w:tr>
      <w:tr>
        <w:trPr>
          <w:cantSplit/>
        </w:trPr>
        <w:tc>
          <w:tcPr>
            <w:tcW w:type="dxa" w:w="4680"/>
            <w:vAlign w:val="top"/>
          </w:tcPr>
          <w:p>
            <w:pPr>
              <w:pStyle w:val="TableText"/>
              <w:keepNext w:val="0"/>
              <w:keepLines/>
            </w:pPr>
            <w:r>
              <w:rPr>
                <w:b w:val="0"/>
              </w:rPr>
              <w:t>submitOrder</w:t>
            </w:r>
          </w:p>
        </w:tc>
        <w:tc>
          <w:tcPr>
            <w:tcW w:type="dxa" w:w="4680"/>
            <w:vAlign w:val="top"/>
          </w:tcPr>
          <w:p>
            <w:pPr>
              <w:pStyle w:val="TableText"/>
              <w:keepNext w:val="0"/>
              <w:keepLines/>
            </w:pPr>
            <w:r>
              <w:rPr>
                <w:b w:val="0"/>
              </w:rPr>
              <w:t>Hasil ACK / DEFINITIVE_REJECT / UNKNOWN. ACK bukan bukti fill. Respons error yang ambigu tetap UNKNOWN.</w:t>
            </w:r>
          </w:p>
        </w:tc>
      </w:tr>
      <w:tr>
        <w:trPr>
          <w:cantSplit/>
        </w:trPr>
        <w:tc>
          <w:tcPr>
            <w:tcW w:type="dxa" w:w="4680"/>
            <w:vAlign w:val="top"/>
          </w:tcPr>
          <w:p>
            <w:pPr>
              <w:pStyle w:val="TableText"/>
              <w:keepNext w:val="0"/>
              <w:keepLines/>
            </w:pPr>
            <w:r>
              <w:rPr>
                <w:b w:val="0"/>
              </w:rPr>
              <w:t>getOrder / listOpenOrders / listTrades</w:t>
            </w:r>
          </w:p>
        </w:tc>
        <w:tc>
          <w:tcPr>
            <w:tcW w:type="dxa" w:w="4680"/>
            <w:vAlign w:val="top"/>
          </w:tcPr>
          <w:p>
            <w:pPr>
              <w:pStyle w:val="TableText"/>
              <w:keepNext w:val="0"/>
              <w:keepLines/>
            </w:pPr>
            <w:r>
              <w:rPr>
                <w:b w:val="0"/>
              </w:rPr>
              <w:t>Lookback dengan overlap dan pagination; identifikasi external orders dan raw venue status. Tidak mengasumsikan history replay WS.</w:t>
            </w:r>
          </w:p>
        </w:tc>
      </w:tr>
      <w:tr>
        <w:trPr>
          <w:cantSplit/>
        </w:trPr>
        <w:tc>
          <w:tcPr>
            <w:tcW w:type="dxa" w:w="4680"/>
            <w:vAlign w:val="top"/>
          </w:tcPr>
          <w:p>
            <w:pPr>
              <w:pStyle w:val="TableText"/>
              <w:keepNext w:val="0"/>
              <w:keepLines/>
            </w:pPr>
            <w:r>
              <w:rPr>
                <w:b w:val="0"/>
              </w:rPr>
              <w:t>cancelOrder / cancelAll</w:t>
            </w:r>
          </w:p>
        </w:tc>
        <w:tc>
          <w:tcPr>
            <w:tcW w:type="dxa" w:w="4680"/>
            <w:vAlign w:val="top"/>
          </w:tcPr>
          <w:p>
            <w:pPr>
              <w:pStyle w:val="TableText"/>
              <w:keepNext w:val="0"/>
              <w:keepLines/>
            </w:pPr>
            <w:r>
              <w:rPr>
                <w:b w:val="0"/>
              </w:rPr>
              <w:t>Hasil per order; verifikasi canceled dan not_canceled serta late fill. Cancel tidak membalik matched trade.</w:t>
            </w:r>
          </w:p>
        </w:tc>
      </w:tr>
      <w:tr>
        <w:trPr>
          <w:cantSplit/>
        </w:trPr>
        <w:tc>
          <w:tcPr>
            <w:tcW w:type="dxa" w:w="4680"/>
            <w:vAlign w:val="top"/>
          </w:tcPr>
          <w:p>
            <w:pPr>
              <w:pStyle w:val="TableText"/>
              <w:keepNext w:val="0"/>
              <w:keepLines/>
            </w:pPr>
            <w:r>
              <w:rPr>
                <w:b w:val="0"/>
              </w:rPr>
              <w:t>subscribeUser / heartbeat / balances</w:t>
            </w:r>
          </w:p>
        </w:tc>
        <w:tc>
          <w:tcPr>
            <w:tcW w:type="dxa" w:w="4680"/>
            <w:vAlign w:val="top"/>
          </w:tcPr>
          <w:p>
            <w:pPr>
              <w:pStyle w:val="TableText"/>
              <w:keepNext w:val="0"/>
              <w:keepLines/>
            </w:pPr>
            <w:r>
              <w:rPr>
                <w:b w:val="0"/>
              </w:rPr>
              <w:t>WS update, protection heartbeat, snapshot balance dan trade state. Health masing-masing dipisah.</w:t>
            </w:r>
          </w:p>
        </w:tc>
      </w:tr>
      <w:tr>
        <w:trPr>
          <w:cantSplit/>
        </w:trPr>
        <w:tc>
          <w:tcPr>
            <w:tcW w:type="dxa" w:w="4680"/>
            <w:vAlign w:val="top"/>
          </w:tcPr>
          <w:p>
            <w:pPr>
              <w:pStyle w:val="TableText"/>
              <w:keepNext w:val="0"/>
              <w:keepLines/>
            </w:pPr>
            <w:r>
              <w:rPr>
                <w:b w:val="0"/>
              </w:rPr>
              <w:t>redeemResolved</w:t>
            </w:r>
          </w:p>
        </w:tc>
        <w:tc>
          <w:tcPr>
            <w:tcW w:type="dxa" w:w="4680"/>
            <w:vAlign w:val="top"/>
          </w:tcPr>
          <w:p>
            <w:pPr>
              <w:pStyle w:val="TableText"/>
              <w:keepNext w:val="0"/>
              <w:keepLines/>
            </w:pPr>
            <w:r>
              <w:rPr>
                <w:b w:val="0"/>
              </w:rPr>
              <w:t>Kapabilitas opsional, hanya jika mandat secara eksplisit mencakup redeem dan finalitas terverifikasi; transfer/bridge tetap di luar kontrak.</w:t>
            </w:r>
          </w:p>
        </w:tc>
      </w:tr>
    </w:tbl>
    <w:p>
      <w:pPr>
        <w:spacing w:after="60" w:before="0" w:line="240" w:lineRule="auto"/>
      </w:pPr>
      <w:r>
        <w:rPr>
          <w:sz w:val="4"/>
        </w:rPr>
      </w:r>
    </w:p>
    <w:p>
      <w:pPr/>
      <w:r>
        <w:t>Integrasi menggunakan public/secure client SDK resmi dan wallet adapter yang cocok. Upstream ethers v6 tidak boleh diasumsikan kompatibel dengan adapter Ethers v5 tanpa pengujian. Secret L1 wallet signing dan L2 request credentials mempunyai fungsi berbeda; validasi chain 137 dan contract address terhadap registry yang dibekukan. Tipe wallet/signature yang belum didukung fail sebelum membuat order.</w:t>
      </w:r>
    </w:p>
    <w:p>
      <w:pPr>
        <w:pStyle w:val="SourceText"/>
      </w:pPr>
      <w:r>
        <w:t xml:space="preserve">Sumber: </w:t>
      </w:r>
      <w:hyperlink r:id="rId13">
        <w:r>
          <w:rPr>
            <w:color w:val="2E74B5"/>
            <w:u w:val="single"/>
          </w:rPr>
          <w:t>S09</w:t>
        </w:r>
      </w:hyperlink>
      <w:r>
        <w:t xml:space="preserve"> · </w:t>
      </w:r>
      <w:hyperlink r:id="rId26">
        <w:r>
          <w:rPr>
            <w:color w:val="2E74B5"/>
            <w:u w:val="single"/>
          </w:rPr>
          <w:t>S11</w:t>
        </w:r>
      </w:hyperlink>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4680"/>
        <w:gridCol w:w="4680"/>
      </w:tblGrid>
      <w:tr>
        <w:trPr>
          <w:cantSplit/>
          <w:tblHeader/>
        </w:trPr>
        <w:tc>
          <w:tcPr>
            <w:tcW w:type="dxa" w:w="4680"/>
            <w:vAlign w:val="top"/>
            <w:shd w:fill="E8EEF5" w:val="clear"/>
          </w:tcPr>
          <w:p>
            <w:pPr>
              <w:pStyle w:val="TableText"/>
              <w:keepNext w:val="0"/>
              <w:keepLines/>
            </w:pPr>
            <w:r>
              <w:rPr>
                <w:b/>
              </w:rPr>
              <w:t>Lapisan / state internal</w:t>
            </w:r>
          </w:p>
        </w:tc>
        <w:tc>
          <w:tcPr>
            <w:tcW w:type="dxa" w:w="4680"/>
            <w:vAlign w:val="top"/>
            <w:shd w:fill="E8EEF5" w:val="clear"/>
          </w:tcPr>
          <w:p>
            <w:pPr>
              <w:pStyle w:val="TableText"/>
              <w:keepNext w:val="0"/>
              <w:keepLines/>
            </w:pPr>
            <w:r>
              <w:rPr>
                <w:b/>
              </w:rPr>
              <w:t>Transisi dan efek</w:t>
            </w:r>
          </w:p>
        </w:tc>
      </w:tr>
      <w:tr>
        <w:trPr>
          <w:cantSplit/>
        </w:trPr>
        <w:tc>
          <w:tcPr>
            <w:tcW w:type="dxa" w:w="4680"/>
            <w:vAlign w:val="top"/>
          </w:tcPr>
          <w:p>
            <w:pPr>
              <w:pStyle w:val="TableText"/>
              <w:keepNext w:val="0"/>
              <w:keepLines/>
            </w:pPr>
            <w:r>
              <w:rPr>
                <w:b w:val="0"/>
              </w:rPr>
              <w:t>Intent: CREATED → VALIDATED → RESERVED</w:t>
            </w:r>
          </w:p>
        </w:tc>
        <w:tc>
          <w:tcPr>
            <w:tcW w:type="dxa" w:w="4680"/>
            <w:vAlign w:val="top"/>
          </w:tcPr>
          <w:p>
            <w:pPr>
              <w:pStyle w:val="TableText"/>
              <w:keepNext w:val="0"/>
              <w:keepLines/>
            </w:pPr>
            <w:r>
              <w:rPr>
                <w:b w:val="0"/>
              </w:rPr>
              <w:t>Belum ada order venue. Schema/risk gagal → REJECTED; waktu habis → EXPIRED dan release hanya jika belum ada submit.</w:t>
            </w:r>
          </w:p>
        </w:tc>
      </w:tr>
      <w:tr>
        <w:trPr>
          <w:cantSplit/>
        </w:trPr>
        <w:tc>
          <w:tcPr>
            <w:tcW w:type="dxa" w:w="4680"/>
            <w:vAlign w:val="top"/>
          </w:tcPr>
          <w:p>
            <w:pPr>
              <w:pStyle w:val="TableText"/>
              <w:keepNext w:val="0"/>
              <w:keepLines/>
            </w:pPr>
            <w:r>
              <w:rPr>
                <w:b w:val="0"/>
              </w:rPr>
              <w:t>Submit: SUBMITTING → ACKNOWLEDGED / SUBMISSION_UNKNOWN</w:t>
            </w:r>
          </w:p>
        </w:tc>
        <w:tc>
          <w:tcPr>
            <w:tcW w:type="dxa" w:w="4680"/>
            <w:vAlign w:val="top"/>
          </w:tcPr>
          <w:p>
            <w:pPr>
              <w:pStyle w:val="TableText"/>
              <w:keepNext w:val="0"/>
              <w:keepLines/>
            </w:pPr>
            <w:r>
              <w:rPr>
                <w:b w:val="0"/>
              </w:rPr>
              <w:t>Payload dan hash durable lebih dulu. UNKNOWN mengunci reservation dan memicu lookup; timeout bukan definitive reject.</w:t>
            </w:r>
          </w:p>
        </w:tc>
      </w:tr>
      <w:tr>
        <w:trPr>
          <w:cantSplit/>
        </w:trPr>
        <w:tc>
          <w:tcPr>
            <w:tcW w:type="dxa" w:w="4680"/>
            <w:vAlign w:val="top"/>
          </w:tcPr>
          <w:p>
            <w:pPr>
              <w:pStyle w:val="TableText"/>
              <w:keepNext w:val="0"/>
              <w:keepLines/>
            </w:pPr>
            <w:r>
              <w:rPr>
                <w:b w:val="0"/>
              </w:rPr>
              <w:t>Order: LIVE / PARTIAL / MATCHED</w:t>
            </w:r>
          </w:p>
        </w:tc>
        <w:tc>
          <w:tcPr>
            <w:tcW w:type="dxa" w:w="4680"/>
            <w:vAlign w:val="top"/>
          </w:tcPr>
          <w:p>
            <w:pPr>
              <w:pStyle w:val="TableText"/>
              <w:keepNext w:val="0"/>
              <w:keepLines/>
            </w:pPr>
            <w:r>
              <w:rPr>
                <w:b w:val="0"/>
              </w:rPr>
              <w:t>Order ACK dapat memuat status raw live/matched/delayed/unmatched. Simpan raw status; mapping internal mempertimbangkan filled dan remaining quantity.</w:t>
            </w:r>
          </w:p>
        </w:tc>
      </w:tr>
      <w:tr>
        <w:trPr>
          <w:cantSplit/>
        </w:trPr>
        <w:tc>
          <w:tcPr>
            <w:tcW w:type="dxa" w:w="4680"/>
            <w:vAlign w:val="top"/>
          </w:tcPr>
          <w:p>
            <w:pPr>
              <w:pStyle w:val="TableText"/>
              <w:keepNext w:val="0"/>
              <w:keepLines/>
            </w:pPr>
            <w:r>
              <w:rPr>
                <w:b w:val="0"/>
              </w:rPr>
              <w:t>Cancel: CANCEL_REQUESTED → CANCELED / CANCEL_UNKNOWN</w:t>
            </w:r>
          </w:p>
        </w:tc>
        <w:tc>
          <w:tcPr>
            <w:tcW w:type="dxa" w:w="4680"/>
            <w:vAlign w:val="top"/>
          </w:tcPr>
          <w:p>
            <w:pPr>
              <w:pStyle w:val="TableText"/>
              <w:keepNext w:val="0"/>
              <w:keepLines/>
            </w:pPr>
            <w:r>
              <w:rPr>
                <w:b w:val="0"/>
              </w:rPr>
              <w:t>Release hanya remaining qty yang pembatalannya terverifikasi. Trade yang sudah matched tetap masuk lifecycle settlement.</w:t>
            </w:r>
          </w:p>
        </w:tc>
      </w:tr>
      <w:tr>
        <w:trPr>
          <w:cantSplit/>
        </w:trPr>
        <w:tc>
          <w:tcPr>
            <w:tcW w:type="dxa" w:w="4680"/>
            <w:vAlign w:val="top"/>
          </w:tcPr>
          <w:p>
            <w:pPr>
              <w:pStyle w:val="TableText"/>
              <w:keepNext w:val="0"/>
              <w:keepLines/>
            </w:pPr>
            <w:r>
              <w:rPr>
                <w:b w:val="0"/>
              </w:rPr>
              <w:t>Trade: MATCHED → MINED / RETRYING → CONFIRMED / FAILED</w:t>
            </w:r>
          </w:p>
        </w:tc>
        <w:tc>
          <w:tcPr>
            <w:tcW w:type="dxa" w:w="4680"/>
            <w:vAlign w:val="top"/>
          </w:tcPr>
          <w:p>
            <w:pPr>
              <w:pStyle w:val="TableText"/>
              <w:keepNext w:val="0"/>
              <w:keepLines/>
            </w:pPr>
            <w:r>
              <w:rPr>
                <w:b w:val="0"/>
              </w:rPr>
              <w:t>Gunakan transisi sesuai event venue aktual, bukan memaksa jalur linear. CONFIRMED dan FAILED terminal bagi status trade terkait.</w:t>
            </w:r>
          </w:p>
        </w:tc>
      </w:tr>
      <w:tr>
        <w:trPr>
          <w:cantSplit/>
        </w:trPr>
        <w:tc>
          <w:tcPr>
            <w:tcW w:type="dxa" w:w="4680"/>
            <w:vAlign w:val="top"/>
          </w:tcPr>
          <w:p>
            <w:pPr>
              <w:pStyle w:val="TableText"/>
              <w:keepNext w:val="0"/>
              <w:keepLines/>
            </w:pPr>
            <w:r>
              <w:rPr>
                <w:b w:val="0"/>
              </w:rPr>
              <w:t>Position: pending / settled / redeemable / redeemed</w:t>
            </w:r>
          </w:p>
        </w:tc>
        <w:tc>
          <w:tcPr>
            <w:tcW w:type="dxa" w:w="4680"/>
            <w:vAlign w:val="top"/>
          </w:tcPr>
          <w:p>
            <w:pPr>
              <w:pStyle w:val="TableText"/>
              <w:keepNext w:val="0"/>
              <w:keepLines/>
            </w:pPr>
            <w:r>
              <w:rPr>
                <w:b w:val="0"/>
              </w:rPr>
              <w:t>Pending matched memakai kapasitas risk, tetapi belum menjadi shares bebas untuk dijual. Settlement confirmed memindahkan bucket; FAILED membuat compensating event.</w:t>
            </w:r>
          </w:p>
        </w:tc>
      </w:tr>
    </w:tbl>
    <w:p>
      <w:pPr>
        <w:spacing w:after="60" w:before="0" w:line="240" w:lineRule="auto"/>
      </w:pPr>
      <w:r>
        <w:rPr>
          <w:sz w:val="4"/>
        </w:rPr>
      </w:r>
    </w:p>
    <w:p>
      <w:pPr/>
      <w:r>
        <w:t>Status tabel adalah vocabulary domain internal. Jangan mengirim nama internal ke API yang mengharapkan raw enum berbeda. Event arrival bisa terlambat atau terduplikasi; update status tidak boleh menurunkan state final dengan event lama. Koreksi venue/chain atau reorg harus mempunyai event koreksi yang menautkan versi lama, tanpa menghapus audit.</w:t>
      </w:r>
    </w:p>
    <w:p>
      <w:pPr>
        <w:pStyle w:val="SourceText"/>
      </w:pPr>
      <w:r>
        <w:t xml:space="preserve">Sumber: </w:t>
      </w:r>
      <w:hyperlink r:id="rId27">
        <w:r>
          <w:rPr>
            <w:color w:val="2E74B5"/>
            <w:u w:val="single"/>
          </w:rPr>
          <w:t>S15</w:t>
        </w:r>
      </w:hyperlink>
    </w:p>
    <w:p>
      <w:pPr>
        <w:pStyle w:val="Heading1"/>
      </w:pPr>
      <w:r>
        <w:t>B7. Timeout, cancel race, heartbeat dan recovery</w:t>
      </w:r>
    </w:p>
    <w:p>
      <w:pPr>
        <w:pStyle w:val="Heading2"/>
      </w:pPr>
      <w:r>
        <w:t>Protokol submit tanpa retry buta</w:t>
      </w:r>
    </w:p>
    <w:p>
      <w:pPr>
        <w:spacing w:after="80"/>
        <w:numPr>
          <w:ilvl w:val="0"/>
          <w:numId w:val="10"/>
        </w:numPr>
      </w:pPr>
      <w:r>
        <w:t>Terima dedupe_key unik pada scope wallet + strategy + logical decision. Request identik mengembalikan intent lama; key sama dengan payload berbeda ditolak CONFLICT.</w:t>
      </w:r>
    </w:p>
    <w:p>
      <w:pPr>
        <w:spacing w:after="80"/>
        <w:numPr>
          <w:ilvl w:val="0"/>
          <w:numId w:val="10"/>
        </w:numPr>
      </w:pPr>
      <w:r>
        <w:t>Dalam transaksi, tulis intent/reservation/outbox. Worker memegang lease yang sah, membangun order dan menyimpan hash sebelum request jaringan.</w:t>
      </w:r>
    </w:p>
    <w:p>
      <w:pPr>
        <w:spacing w:after="80"/>
        <w:numPr>
          <w:ilvl w:val="0"/>
          <w:numId w:val="10"/>
        </w:numPr>
      </w:pPr>
      <w:r>
        <w:t>Jika respons hilang setelah request mungkin diterima, status menjadi SUBMISSION_UNKNOWN. Cari order/trade menggunakan hash/ID yang tersedia, akun, rentang waktu dan pagination.</w:t>
      </w:r>
    </w:p>
    <w:p>
      <w:pPr>
        <w:spacing w:after="80"/>
        <w:numPr>
          <w:ilvl w:val="0"/>
          <w:numId w:val="10"/>
        </w:numPr>
      </w:pPr>
      <w:r>
        <w:t>Jika API tidak menyediakan lookup yang cukup untuk memastikan tidak adanya order, pertahankan UNKNOWN dan eskalasi. Jangan membuat order pengganti hanya karena lookup awal kosong.</w:t>
      </w:r>
    </w:p>
    <w:p>
      <w:pPr>
        <w:spacing w:after="80"/>
        <w:numPr>
          <w:ilvl w:val="0"/>
          <w:numId w:val="10"/>
        </w:numPr>
      </w:pPr>
      <w:r>
        <w:t>Retry transport hanya dilakukan bila adapter dapat membuktikan idempotensi atau order belum diterima. Jaminan exactly-once end-to-end tidak diasumsikan dari API; ledger dan dedupe hanya mengendalikan sisi lokal.</w:t>
      </w:r>
    </w:p>
    <w:p>
      <w:pPr>
        <w:pStyle w:val="Heading2"/>
      </w:pPr>
      <w:r>
        <w:t>Cancel dan replace</w:t>
      </w:r>
    </w:p>
    <w:p>
      <w:pPr/>
      <w:r>
        <w:t>Catat CANCEL_REQUESTED; inspeksi hasil canceled/not_canceled, kemudian refresh order/trade. Contoh: BUY 100, 35 shares telah filled dan 5 lagi matched saat cancel; replacement maksimal berasal dari kebutuhan sisa 60, setelah saldo/limit/forecast dievaluasi ulang. Jika cancel unknown, replacement ditahan. Posisi SELL yang ditolak tidak ditutup lokal; partial SELL hanya mengurangi bagian terverifikasi. Resting entry wajib memiliki expiry venue yang tidak melampaui forecast/mandat; tanpa kapabilitas ini, resting LIVE dinonaktifkan. Invalidasi aturan/bukti memicu cancel, sementara late fill tetap direkonsiliasi.</w:t>
      </w:r>
    </w:p>
    <w:p>
      <w:pPr>
        <w:pStyle w:val="Heading2"/>
      </w:pPr>
      <w:r>
        <w:t>Heartbeat order dan stream</w:t>
      </w:r>
    </w:p>
    <w:p>
      <w:pPr/>
      <w:r>
        <w:t>Sesuai dokumentasi saat riset, perlindungan order dimulai setelah POST /v1/heartbeats pertama diterima. Kirim setiap 5 detik, heartbeat_id awal kosong lalu pakai ID terbaru dari respons. Lewat 10 detik tanpa heartbeat valid memicu pembatalan resting orders pada scope kredensial; pemeriksaan setiap 5 detik dapat menambah keterlambatan. Ini bukan jaminan flatten inventory. WS PING setiap 10 detik memiliki tujuan terpisah: menjaga koneksi stream.</w:t>
      </w:r>
    </w:p>
    <w:p>
      <w:pPr>
        <w:pStyle w:val="SourceText"/>
      </w:pPr>
      <w:r>
        <w:t xml:space="preserve">Sumber: </w:t>
      </w:r>
      <w:hyperlink r:id="rId28">
        <w:r>
          <w:rPr>
            <w:color w:val="2E74B5"/>
            <w:u w:val="single"/>
          </w:rPr>
          <w:t>S16</w:t>
        </w:r>
      </w:hyperlink>
      <w:r>
        <w:t xml:space="preserve"> · </w:t>
      </w:r>
      <w:hyperlink r:id="rId23">
        <w:r>
          <w:rPr>
            <w:color w:val="2E74B5"/>
            <w:u w:val="single"/>
          </w:rPr>
          <w:t>S17</w:t>
        </w:r>
      </w:hyperlink>
    </w:p>
    <w:p>
      <w:pPr/>
      <w:r>
        <w:t>V1 mensyaratkan heartbeat aktif dan tervalidasi sebelum resting order LIVE. Bila endpoint/kontrak tidak cocok dengan SDK yang dipin, block fitur tersebut sampai contract test lulus. Putus LLM tidak menghentikan heartbeat/reconciler. Putus user stream menahan entry, memicu snapshot dan trade lookback. Cancel yang gagal atau delayed order yang belum dapat dibatalkan tetap terlihat sebagai kewajiban risiko.</w:t>
      </w:r>
    </w:p>
    <w:p>
      <w:pPr>
        <w:pStyle w:val="Heading2"/>
      </w:pPr>
      <w:r>
        <w:t>Startup dan fencing</w:t>
      </w:r>
    </w:p>
    <w:p>
      <w:pPr/>
      <w:r>
        <w:t>Startup: load manifest → acquire wallet lease/epoch → RECOVERING → validasi clock/mandate → fetch orders/trades/balances → rebuild projections → reconcile pending/unknown → arm heartbeat → READY bila tidak ada blocker. Intent expired dibuang hanya bila dipastikan belum dikirim. Order lama tetap dikelola sesuai state sebenarnya.</w:t>
      </w:r>
    </w:p>
    <w:p>
      <w:pPr/>
      <w:r>
        <w:t>Lease DB tidak menghentikan request jaringan proses lama. Cek epoch sebelum sign/submit, gunakan permit pendek, dan tahan transfer ownership selama request lama in-flight/unknown. Failover wajib memastikan worker lama berhenti atau kehilangan capability sebelum executor baru submit. Tidak ada dua replica aktif per wallet.</w:t>
      </w:r>
    </w:p>
    <w:p>
      <w:pPr>
        <w:pStyle w:val="Heading1"/>
      </w:pPr>
      <w:r>
        <w:t>B8. Model data, akuntansi dan settlement</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4680"/>
        <w:gridCol w:w="4680"/>
      </w:tblGrid>
      <w:tr>
        <w:trPr>
          <w:cantSplit/>
          <w:tblHeader/>
        </w:trPr>
        <w:tc>
          <w:tcPr>
            <w:tcW w:type="dxa" w:w="4680"/>
            <w:vAlign w:val="top"/>
            <w:shd w:fill="E8EEF5" w:val="clear"/>
          </w:tcPr>
          <w:p>
            <w:pPr>
              <w:pStyle w:val="TableText"/>
              <w:keepNext w:val="0"/>
              <w:keepLines/>
            </w:pPr>
            <w:r>
              <w:rPr>
                <w:b/>
              </w:rPr>
              <w:t>Tabel / constraint utama</w:t>
            </w:r>
          </w:p>
        </w:tc>
        <w:tc>
          <w:tcPr>
            <w:tcW w:type="dxa" w:w="4680"/>
            <w:vAlign w:val="top"/>
            <w:shd w:fill="E8EEF5" w:val="clear"/>
          </w:tcPr>
          <w:p>
            <w:pPr>
              <w:pStyle w:val="TableText"/>
              <w:keepNext w:val="0"/>
              <w:keepLines/>
            </w:pPr>
            <w:r>
              <w:rPr>
                <w:b/>
              </w:rPr>
              <w:t>Isi dan hubungan</w:t>
            </w:r>
          </w:p>
        </w:tc>
      </w:tr>
      <w:tr>
        <w:trPr>
          <w:cantSplit/>
        </w:trPr>
        <w:tc>
          <w:tcPr>
            <w:tcW w:type="dxa" w:w="4680"/>
            <w:vAlign w:val="top"/>
          </w:tcPr>
          <w:p>
            <w:pPr>
              <w:pStyle w:val="TableText"/>
              <w:keepNext w:val="0"/>
              <w:keepLines/>
            </w:pPr>
            <w:r>
              <w:rPr>
                <w:b w:val="0"/>
              </w:rPr>
              <w:t>wallets, asset_registry</w:t>
            </w:r>
          </w:p>
        </w:tc>
        <w:tc>
          <w:tcPr>
            <w:tcW w:type="dxa" w:w="4680"/>
            <w:vAlign w:val="top"/>
          </w:tcPr>
          <w:p>
            <w:pPr>
              <w:pStyle w:val="TableText"/>
              <w:keepNext w:val="0"/>
              <w:keepLines/>
            </w:pPr>
            <w:r>
              <w:rPr>
                <w:b w:val="0"/>
              </w:rPr>
              <w:t>wallet_id; chain_id + contract_address unik; decimals terverifikasi; display currency terpisah dari asset identity. Tidak menggabungkan pUSD, USDC dan USDC.e.</w:t>
            </w:r>
          </w:p>
        </w:tc>
      </w:tr>
      <w:tr>
        <w:trPr>
          <w:cantSplit/>
        </w:trPr>
        <w:tc>
          <w:tcPr>
            <w:tcW w:type="dxa" w:w="4680"/>
            <w:vAlign w:val="top"/>
          </w:tcPr>
          <w:p>
            <w:pPr>
              <w:pStyle w:val="TableText"/>
              <w:keepNext w:val="0"/>
              <w:keepLines/>
            </w:pPr>
            <w:r>
              <w:rPr>
                <w:b w:val="0"/>
              </w:rPr>
              <w:t>mandates, policy_versions</w:t>
            </w:r>
          </w:p>
        </w:tc>
        <w:tc>
          <w:tcPr>
            <w:tcW w:type="dxa" w:w="4680"/>
            <w:vAlign w:val="top"/>
          </w:tcPr>
          <w:p>
            <w:pPr>
              <w:pStyle w:val="TableText"/>
              <w:keepNext w:val="0"/>
              <w:keepLines/>
            </w:pPr>
            <w:r>
              <w:rPr>
                <w:b w:val="0"/>
              </w:rPr>
              <w:t>Version immutable, policy hash, cap, allowlist, expiry, owner authorization dan allowed_actions. Update membuat versi baru.</w:t>
            </w:r>
          </w:p>
        </w:tc>
      </w:tr>
      <w:tr>
        <w:trPr>
          <w:cantSplit/>
        </w:trPr>
        <w:tc>
          <w:tcPr>
            <w:tcW w:type="dxa" w:w="4680"/>
            <w:vAlign w:val="top"/>
          </w:tcPr>
          <w:p>
            <w:pPr>
              <w:pStyle w:val="TableText"/>
              <w:keepNext w:val="0"/>
              <w:keepLines/>
            </w:pPr>
            <w:r>
              <w:rPr>
                <w:b w:val="0"/>
              </w:rPr>
              <w:t>markets, market_versions, book_snapshots</w:t>
            </w:r>
          </w:p>
        </w:tc>
        <w:tc>
          <w:tcPr>
            <w:tcW w:type="dxa" w:w="4680"/>
            <w:vAlign w:val="top"/>
          </w:tcPr>
          <w:p>
            <w:pPr>
              <w:pStyle w:val="TableText"/>
              <w:keepNext w:val="0"/>
              <w:keepLines/>
            </w:pPr>
            <w:r>
              <w:rPr>
                <w:b w:val="0"/>
              </w:rPr>
              <w:t>ID resmi; rules/fee hash dan validity interval. Snapshot yang dipakai keputusan disimpan atau diarsipkan dengan content hash.</w:t>
            </w:r>
          </w:p>
        </w:tc>
      </w:tr>
      <w:tr>
        <w:trPr>
          <w:cantSplit/>
        </w:trPr>
        <w:tc>
          <w:tcPr>
            <w:tcW w:type="dxa" w:w="4680"/>
            <w:vAlign w:val="top"/>
          </w:tcPr>
          <w:p>
            <w:pPr>
              <w:pStyle w:val="TableText"/>
              <w:keepNext w:val="0"/>
              <w:keepLines/>
            </w:pPr>
            <w:r>
              <w:rPr>
                <w:b w:val="0"/>
              </w:rPr>
              <w:t>evidence, forecasts, experiments</w:t>
            </w:r>
          </w:p>
        </w:tc>
        <w:tc>
          <w:tcPr>
            <w:tcW w:type="dxa" w:w="4680"/>
            <w:vAlign w:val="top"/>
          </w:tcPr>
          <w:p>
            <w:pPr>
              <w:pStyle w:val="TableText"/>
              <w:keepNext w:val="0"/>
              <w:keepLines/>
            </w:pPr>
            <w:r>
              <w:rPr>
                <w:b w:val="0"/>
              </w:rPr>
              <w:t>Cutoff, source family, model/prompt/calibrator version; label value dan label_available_at setelah finalitas.</w:t>
            </w:r>
          </w:p>
        </w:tc>
      </w:tr>
      <w:tr>
        <w:trPr>
          <w:cantSplit/>
        </w:trPr>
        <w:tc>
          <w:tcPr>
            <w:tcW w:type="dxa" w:w="4680"/>
            <w:vAlign w:val="top"/>
          </w:tcPr>
          <w:p>
            <w:pPr>
              <w:pStyle w:val="TableText"/>
              <w:keepNext w:val="0"/>
              <w:keepLines/>
            </w:pPr>
            <w:r>
              <w:rPr>
                <w:b w:val="0"/>
              </w:rPr>
              <w:t>intents, risk_decisions, reservations</w:t>
            </w:r>
          </w:p>
        </w:tc>
        <w:tc>
          <w:tcPr>
            <w:tcW w:type="dxa" w:w="4680"/>
            <w:vAlign w:val="top"/>
          </w:tcPr>
          <w:p>
            <w:pPr>
              <w:pStyle w:val="TableText"/>
              <w:keepNext w:val="0"/>
              <w:keepLines/>
            </w:pPr>
            <w:r>
              <w:rPr>
                <w:b w:val="0"/>
              </w:rPr>
              <w:t>UNIQUE(wallet_id,dedupe_key); payload hash; amount asset units; reservation status; policy/ledger/quote versions.</w:t>
            </w:r>
          </w:p>
        </w:tc>
      </w:tr>
      <w:tr>
        <w:trPr>
          <w:cantSplit/>
        </w:trPr>
        <w:tc>
          <w:tcPr>
            <w:tcW w:type="dxa" w:w="4680"/>
            <w:vAlign w:val="top"/>
          </w:tcPr>
          <w:p>
            <w:pPr>
              <w:pStyle w:val="TableText"/>
              <w:keepNext w:val="0"/>
              <w:keepLines/>
            </w:pPr>
            <w:r>
              <w:rPr>
                <w:b w:val="0"/>
              </w:rPr>
              <w:t>orders, venue_trades, settlements</w:t>
            </w:r>
          </w:p>
        </w:tc>
        <w:tc>
          <w:tcPr>
            <w:tcW w:type="dxa" w:w="4680"/>
            <w:vAlign w:val="top"/>
          </w:tcPr>
          <w:p>
            <w:pPr>
              <w:pStyle w:val="TableText"/>
              <w:keepNext w:val="0"/>
              <w:keepLines/>
            </w:pPr>
            <w:r>
              <w:rPr>
                <w:b w:val="0"/>
              </w:rPr>
              <w:t>UNIQUE(venue,account_id,venue_order_id/trade_id) pada tabel masing-masing; raw status, remaining, timestamps, receipt/tx refs.</w:t>
            </w:r>
          </w:p>
        </w:tc>
      </w:tr>
      <w:tr>
        <w:trPr>
          <w:cantSplit/>
        </w:trPr>
        <w:tc>
          <w:tcPr>
            <w:tcW w:type="dxa" w:w="4680"/>
            <w:vAlign w:val="top"/>
          </w:tcPr>
          <w:p>
            <w:pPr>
              <w:pStyle w:val="TableText"/>
              <w:keepNext w:val="0"/>
              <w:keepLines/>
            </w:pPr>
            <w:r>
              <w:rPr>
                <w:b w:val="0"/>
              </w:rPr>
              <w:t>ledger_events, postings</w:t>
            </w:r>
          </w:p>
        </w:tc>
        <w:tc>
          <w:tcPr>
            <w:tcW w:type="dxa" w:w="4680"/>
            <w:vAlign w:val="top"/>
          </w:tcPr>
          <w:p>
            <w:pPr>
              <w:pStyle w:val="TableText"/>
              <w:keepNext w:val="0"/>
              <w:keepLines/>
            </w:pPr>
            <w:r>
              <w:rPr>
                <w:b w:val="0"/>
              </w:rPr>
              <w:t>Append-only event dengan version dan dedupe key; posting aset/akun yang balance per aset; correction_of_event_id untuk koreksi.</w:t>
            </w:r>
          </w:p>
        </w:tc>
      </w:tr>
      <w:tr>
        <w:trPr>
          <w:cantSplit/>
        </w:trPr>
        <w:tc>
          <w:tcPr>
            <w:tcW w:type="dxa" w:w="4680"/>
            <w:vAlign w:val="top"/>
          </w:tcPr>
          <w:p>
            <w:pPr>
              <w:pStyle w:val="TableText"/>
              <w:keepNext w:val="0"/>
              <w:keepLines/>
            </w:pPr>
            <w:r>
              <w:rPr>
                <w:b w:val="0"/>
              </w:rPr>
              <w:t>wallet_projections, position_lots</w:t>
            </w:r>
          </w:p>
        </w:tc>
        <w:tc>
          <w:tcPr>
            <w:tcW w:type="dxa" w:w="4680"/>
            <w:vAlign w:val="top"/>
          </w:tcPr>
          <w:p>
            <w:pPr>
              <w:pStyle w:val="TableText"/>
              <w:keepNext w:val="0"/>
              <w:keepLines/>
            </w:pPr>
            <w:r>
              <w:rPr>
                <w:b w:val="0"/>
              </w:rPr>
              <w:t>Read models dengan projected_event_seq; inventory pending/settled/reserved; cost basis lot dan realised values.</w:t>
            </w:r>
          </w:p>
        </w:tc>
      </w:tr>
      <w:tr>
        <w:trPr>
          <w:cantSplit/>
        </w:trPr>
        <w:tc>
          <w:tcPr>
            <w:tcW w:type="dxa" w:w="4680"/>
            <w:vAlign w:val="top"/>
          </w:tcPr>
          <w:p>
            <w:pPr>
              <w:pStyle w:val="TableText"/>
              <w:keepNext w:val="0"/>
              <w:keepLines/>
            </w:pPr>
            <w:r>
              <w:rPr>
                <w:b w:val="0"/>
              </w:rPr>
              <w:t>outbox_jobs, inbox_events, leases</w:t>
            </w:r>
          </w:p>
        </w:tc>
        <w:tc>
          <w:tcPr>
            <w:tcW w:type="dxa" w:w="4680"/>
            <w:vAlign w:val="top"/>
          </w:tcPr>
          <w:p>
            <w:pPr>
              <w:pStyle w:val="TableText"/>
              <w:keepNext w:val="0"/>
              <w:keepLines/>
            </w:pPr>
            <w:r>
              <w:rPr>
                <w:b w:val="0"/>
              </w:rPr>
              <w:t>Transactional outbox, dedupe inbox status-version, retry classification, lease epoch/expiry; no arbitrary financial HTTP in DB retry.</w:t>
            </w:r>
          </w:p>
        </w:tc>
      </w:tr>
      <w:tr>
        <w:trPr>
          <w:cantSplit/>
        </w:trPr>
        <w:tc>
          <w:tcPr>
            <w:tcW w:type="dxa" w:w="4680"/>
            <w:vAlign w:val="top"/>
          </w:tcPr>
          <w:p>
            <w:pPr>
              <w:pStyle w:val="TableText"/>
              <w:keepNext w:val="0"/>
              <w:keepLines/>
            </w:pPr>
            <w:r>
              <w:rPr>
                <w:b w:val="0"/>
              </w:rPr>
              <w:t>audit_log, cost_records, gate_reports</w:t>
            </w:r>
          </w:p>
        </w:tc>
        <w:tc>
          <w:tcPr>
            <w:tcW w:type="dxa" w:w="4680"/>
            <w:vAlign w:val="top"/>
          </w:tcPr>
          <w:p>
            <w:pPr>
              <w:pStyle w:val="TableText"/>
              <w:keepNext w:val="0"/>
              <w:keepLines/>
            </w:pPr>
            <w:r>
              <w:rPr>
                <w:b w:val="0"/>
              </w:rPr>
              <w:t>Actor/session, before/after hash, model/data/infra costs, release/test report references; data sensitif teredaksi.</w:t>
            </w:r>
          </w:p>
        </w:tc>
      </w:tr>
    </w:tbl>
    <w:p>
      <w:pPr>
        <w:spacing w:after="60" w:before="0" w:line="240" w:lineRule="auto"/>
      </w:pPr>
      <w:r>
        <w:rPr>
          <w:sz w:val="4"/>
        </w:rPr>
      </w:r>
    </w:p>
    <w:p>
      <w:pPr/>
      <w:r>
        <w:t>Ledger memakai integer base units untuk transfer aset dan decimal eksak untuk harga/probabilitas/perhitungan. Pilihan implementasi: numeric(38,18) untuk nilai turunan dengan batas domain yang diuji dan library decimal untuk aplikasi; gunakan numeric integer yang cukup besar untuk unit token on-chain. Jangan memasukkan uint256 token ID ke float atau menganggap semua aset 6 decimals.</w:t>
      </w:r>
    </w:p>
    <w:p>
      <w:pPr/>
      <w:r>
        <w:t>Satu trade dapat mengirim beberapa status. Unique trade_id mencegah duplikasi economic fill, tetapi tidak boleh menelan perubahan MATCHED → CONFIRMED. Inbox menyimpan event/status version atau fingerprint yang berbeda; projector mencatat economic effect sekali dan perpindahan pending→settled sekali. Event FAILED membalik pending impact yang relevan, lalu rekonsiliasi saldo resmi.</w:t>
      </w:r>
    </w:p>
    <w:p>
      <w:pPr>
        <w:pStyle w:val="Heading2"/>
      </w:pPr>
      <w:r>
        <w:t>Aturan akuntansi</w:t>
      </w:r>
    </w:p>
    <w:p>
      <w:pPr/>
      <w:r>
        <w:t>Kas bebas = saldo settled terverifikasi − kas yang dicadangkan untuk order/intent, tanpa menghitung reservation yang sudah berubah menjadi fill dua kali. Shares bebas = settled inventory − sell reservations. Pending matched tetap memperbesar exposure dan mengurangi kapasitas, meskipun belum dapat dijual. Open-order ACK tidak menghasilkan PnL.</w:t>
      </w:r>
    </w:p>
    <w:p>
      <w:pPr/>
      <w:r>
        <w:t>Biaya akuisisi dialokasikan konsisten dengan lot FIFO atau weighted average yang dipilih di G0; v1 memilih weighted average per token. Realized PnL berasal dari proceeds net penjualan/redeem dikurangi cost basis unit yang dilepas. Unrealized memakai bid VWAP untuk likuidasi ukuran aktual, dengan timestamp; book stale membuat valuasi indicative/unknown dan entry berhenti. Deposit/withdrawal adalah cash flow, bukan profit.</w:t>
      </w:r>
    </w:p>
    <w:p>
      <w:pPr/>
      <w:r>
        <w:t>Posting kas dan shares harus balance per aset melalui akun counterparty/clearing; jangan menyeimbangkan 1 share dengan 1 pUSD seolah unit yang sama. Fee dalam cash menambah cash debit/expense; fee dalam shares mengurangi net quantity dan mengubah cost per net share. Net economic PnL = trading PnL − biaya operasi yang dialokasikan; rate card dan alokasi disimpan per periode.</w:t>
      </w:r>
    </w:p>
    <w:p>
      <w:pPr>
        <w:pStyle w:val="Heading2"/>
      </w:pPr>
      <w:r>
        <w:t>Resolusi dan rekonsiliasi</w:t>
      </w:r>
    </w:p>
    <w:p>
      <w:pPr/>
      <w:r>
        <w:t>Pasar resolved/disputed/redeemable/redeemed berbeda dari settlement trade. Label evaluasi y tersedia hanya ketika resolusi final sesuai aturan. Payout vector, termasuk void/refund bila berlaku, berasal dari kontrak/rules; jangan selalu memberi payout 0,5. Redemption opsional memerlukan izin mandat, transaksi/receipt dan konfirmasi saldo; kegagalan tidak menambah cash lokal.</w:t>
      </w:r>
    </w:p>
    <w:p>
      <w:pPr/>
      <w:r>
        <w:t>Reconcile sehat ditargetkan setiap 15 detik serta segera pada startup/reconnect/unknown. Bandingkan open orders, trade history ber-overlap, settled positions, pending settlement dan balance venue/chain. Toleransi cash 0,01 USD-equivalent dan shares 1 base unit hanya untuk klasifikasi rounding yang dijelaskan; unknown fill tidak dapat dimaafkan dengan toleransi. Trade manual ditandai EXTERNAL dan masuk risk, bukan dihapus.</w:t>
      </w:r>
    </w:p>
    <w:p>
      <w:pPr>
        <w:pStyle w:val="SourceText"/>
      </w:pPr>
      <w:r>
        <w:t xml:space="preserve">Sumber: </w:t>
      </w:r>
      <w:hyperlink r:id="rId29">
        <w:r>
          <w:rPr>
            <w:color w:val="2E74B5"/>
            <w:u w:val="single"/>
          </w:rPr>
          <w:t>S10</w:t>
        </w:r>
      </w:hyperlink>
      <w:r>
        <w:t xml:space="preserve"> · </w:t>
      </w:r>
      <w:hyperlink r:id="rId27">
        <w:r>
          <w:rPr>
            <w:color w:val="2E74B5"/>
            <w:u w:val="single"/>
          </w:rPr>
          <w:t>S15</w:t>
        </w:r>
      </w:hyperlink>
    </w:p>
    <w:p>
      <w:pPr>
        <w:pStyle w:val="Heading1"/>
      </w:pPr>
      <w:r>
        <w:t>B9. Keamanan, otorisasi dan API produk</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3120"/>
        <w:gridCol w:w="3120"/>
        <w:gridCol w:w="3120"/>
      </w:tblGrid>
      <w:tr>
        <w:trPr>
          <w:cantSplit/>
          <w:tblHeader/>
        </w:trPr>
        <w:tc>
          <w:tcPr>
            <w:tcW w:type="dxa" w:w="3120"/>
            <w:vAlign w:val="top"/>
            <w:shd w:fill="E8EEF5" w:val="clear"/>
          </w:tcPr>
          <w:p>
            <w:pPr>
              <w:pStyle w:val="TableText"/>
              <w:keepNext w:val="0"/>
              <w:keepLines/>
            </w:pPr>
            <w:r>
              <w:rPr>
                <w:b/>
              </w:rPr>
              <w:t>Actor / capability</w:t>
            </w:r>
          </w:p>
        </w:tc>
        <w:tc>
          <w:tcPr>
            <w:tcW w:type="dxa" w:w="3120"/>
            <w:vAlign w:val="top"/>
            <w:shd w:fill="E8EEF5" w:val="clear"/>
          </w:tcPr>
          <w:p>
            <w:pPr>
              <w:pStyle w:val="TableText"/>
              <w:keepNext w:val="0"/>
              <w:keepLines/>
            </w:pPr>
            <w:r>
              <w:rPr>
                <w:b/>
              </w:rPr>
              <w:t>Diizinkan</w:t>
            </w:r>
          </w:p>
        </w:tc>
        <w:tc>
          <w:tcPr>
            <w:tcW w:type="dxa" w:w="3120"/>
            <w:vAlign w:val="top"/>
            <w:shd w:fill="E8EEF5" w:val="clear"/>
          </w:tcPr>
          <w:p>
            <w:pPr>
              <w:pStyle w:val="TableText"/>
              <w:keepNext w:val="0"/>
              <w:keepLines/>
            </w:pPr>
            <w:r>
              <w:rPr>
                <w:b/>
              </w:rPr>
              <w:t>Dilarang</w:t>
            </w:r>
          </w:p>
        </w:tc>
      </w:tr>
      <w:tr>
        <w:trPr>
          <w:cantSplit/>
        </w:trPr>
        <w:tc>
          <w:tcPr>
            <w:tcW w:type="dxa" w:w="3120"/>
            <w:vAlign w:val="top"/>
          </w:tcPr>
          <w:p>
            <w:pPr>
              <w:pStyle w:val="TableText"/>
              <w:keepNext w:val="0"/>
              <w:keepLines/>
            </w:pPr>
            <w:r>
              <w:rPr>
                <w:b w:val="0"/>
              </w:rPr>
              <w:t>Pemilik terautentikasi</w:t>
            </w:r>
          </w:p>
        </w:tc>
        <w:tc>
          <w:tcPr>
            <w:tcW w:type="dxa" w:w="3120"/>
            <w:vAlign w:val="top"/>
          </w:tcPr>
          <w:p>
            <w:pPr>
              <w:pStyle w:val="TableText"/>
              <w:keepNext w:val="0"/>
              <w:keepLines/>
            </w:pPr>
            <w:r>
              <w:rPr>
                <w:b w:val="0"/>
              </w:rPr>
              <w:t>Buat mandat, pause/cancel, request flatten terbatas, mulai eksperimen, lihat/ekspor audit.</w:t>
            </w:r>
          </w:p>
        </w:tc>
        <w:tc>
          <w:tcPr>
            <w:tcW w:type="dxa" w:w="3120"/>
            <w:vAlign w:val="top"/>
          </w:tcPr>
          <w:p>
            <w:pPr>
              <w:pStyle w:val="TableText"/>
              <w:keepNext w:val="0"/>
              <w:keepLines/>
            </w:pPr>
            <w:r>
              <w:rPr>
                <w:b w:val="0"/>
              </w:rPr>
              <w:t>Mengubah event historis; bypass validasi platform atau saldo.</w:t>
            </w:r>
          </w:p>
        </w:tc>
      </w:tr>
      <w:tr>
        <w:trPr>
          <w:cantSplit/>
        </w:trPr>
        <w:tc>
          <w:tcPr>
            <w:tcW w:type="dxa" w:w="3120"/>
            <w:vAlign w:val="top"/>
          </w:tcPr>
          <w:p>
            <w:pPr>
              <w:pStyle w:val="TableText"/>
              <w:keepNext w:val="0"/>
              <w:keepLines/>
            </w:pPr>
            <w:r>
              <w:rPr>
                <w:b w:val="0"/>
              </w:rPr>
              <w:t>Gateway service</w:t>
            </w:r>
          </w:p>
        </w:tc>
        <w:tc>
          <w:tcPr>
            <w:tcW w:type="dxa" w:w="3120"/>
            <w:vAlign w:val="top"/>
          </w:tcPr>
          <w:p>
            <w:pPr>
              <w:pStyle w:val="TableText"/>
              <w:keepNext w:val="0"/>
              <w:keepLines/>
            </w:pPr>
            <w:r>
              <w:rPr>
                <w:b w:val="0"/>
              </w:rPr>
              <w:t>Tulis research/command inbox terbatas; baca proyeksi teredaksi.</w:t>
            </w:r>
          </w:p>
        </w:tc>
        <w:tc>
          <w:tcPr>
            <w:tcW w:type="dxa" w:w="3120"/>
            <w:vAlign w:val="top"/>
          </w:tcPr>
          <w:p>
            <w:pPr>
              <w:pStyle w:val="TableText"/>
              <w:keepNext w:val="0"/>
              <w:keepLines/>
            </w:pPr>
            <w:r>
              <w:rPr>
                <w:b w:val="0"/>
              </w:rPr>
              <w:t>Key trading, sign, tulis ledger/lease atau menaikkan cap tanpa owner action.</w:t>
            </w:r>
          </w:p>
        </w:tc>
      </w:tr>
      <w:tr>
        <w:trPr>
          <w:cantSplit/>
        </w:trPr>
        <w:tc>
          <w:tcPr>
            <w:tcW w:type="dxa" w:w="3120"/>
            <w:vAlign w:val="top"/>
          </w:tcPr>
          <w:p>
            <w:pPr>
              <w:pStyle w:val="TableText"/>
              <w:keepNext w:val="0"/>
              <w:keepLines/>
            </w:pPr>
            <w:r>
              <w:rPr>
                <w:b w:val="0"/>
              </w:rPr>
              <w:t>LLM / strategy plugin</w:t>
            </w:r>
          </w:p>
        </w:tc>
        <w:tc>
          <w:tcPr>
            <w:tcW w:type="dxa" w:w="3120"/>
            <w:vAlign w:val="top"/>
          </w:tcPr>
          <w:p>
            <w:pPr>
              <w:pStyle w:val="TableText"/>
              <w:keepNext w:val="0"/>
              <w:keepLines/>
            </w:pPr>
            <w:r>
              <w:rPr>
                <w:b w:val="0"/>
              </w:rPr>
              <w:t>Read evidence yang dibatasi; propose forecast/intent dan alasan.</w:t>
            </w:r>
          </w:p>
        </w:tc>
        <w:tc>
          <w:tcPr>
            <w:tcW w:type="dxa" w:w="3120"/>
            <w:vAlign w:val="top"/>
          </w:tcPr>
          <w:p>
            <w:pPr>
              <w:pStyle w:val="TableText"/>
              <w:keepNext w:val="0"/>
              <w:keepLines/>
            </w:pPr>
            <w:r>
              <w:rPr>
                <w:b w:val="0"/>
              </w:rPr>
              <w:t>Shell, secret, raw SQL, signing, withdraw/bridge, mengaktifkan LIVE atau mengubah policy.</w:t>
            </w:r>
          </w:p>
        </w:tc>
      </w:tr>
      <w:tr>
        <w:trPr>
          <w:cantSplit/>
        </w:trPr>
        <w:tc>
          <w:tcPr>
            <w:tcW w:type="dxa" w:w="3120"/>
            <w:vAlign w:val="top"/>
          </w:tcPr>
          <w:p>
            <w:pPr>
              <w:pStyle w:val="TableText"/>
              <w:keepNext w:val="0"/>
              <w:keepLines/>
            </w:pPr>
            <w:r>
              <w:rPr>
                <w:b w:val="0"/>
              </w:rPr>
              <w:t>Executor service</w:t>
            </w:r>
          </w:p>
        </w:tc>
        <w:tc>
          <w:tcPr>
            <w:tcW w:type="dxa" w:w="3120"/>
            <w:vAlign w:val="top"/>
          </w:tcPr>
          <w:p>
            <w:pPr>
              <w:pStyle w:val="TableText"/>
              <w:keepNext w:val="0"/>
              <w:keepLines/>
            </w:pPr>
            <w:r>
              <w:rPr>
                <w:b w:val="0"/>
              </w:rPr>
              <w:t>Validasi command, reserve/sign/submit/cancel/reconcile sesuai mandat.</w:t>
            </w:r>
          </w:p>
        </w:tc>
        <w:tc>
          <w:tcPr>
            <w:tcW w:type="dxa" w:w="3120"/>
            <w:vAlign w:val="top"/>
          </w:tcPr>
          <w:p>
            <w:pPr>
              <w:pStyle w:val="TableText"/>
              <w:keepNext w:val="0"/>
              <w:keepLines/>
            </w:pPr>
            <w:r>
              <w:rPr>
                <w:b w:val="0"/>
              </w:rPr>
              <w:t>Transfer ke tujuan arbitrer; tool browsing umum; menerima payload kontrak arbitrary.</w:t>
            </w:r>
          </w:p>
        </w:tc>
      </w:tr>
      <w:tr>
        <w:trPr>
          <w:cantSplit/>
        </w:trPr>
        <w:tc>
          <w:tcPr>
            <w:tcW w:type="dxa" w:w="3120"/>
            <w:vAlign w:val="top"/>
          </w:tcPr>
          <w:p>
            <w:pPr>
              <w:pStyle w:val="TableText"/>
              <w:keepNext w:val="0"/>
              <w:keepLines/>
            </w:pPr>
            <w:r>
              <w:rPr>
                <w:b w:val="0"/>
              </w:rPr>
              <w:t>Migration / CI role</w:t>
            </w:r>
          </w:p>
        </w:tc>
        <w:tc>
          <w:tcPr>
            <w:tcW w:type="dxa" w:w="3120"/>
            <w:vAlign w:val="top"/>
          </w:tcPr>
          <w:p>
            <w:pPr>
              <w:pStyle w:val="TableText"/>
              <w:keepNext w:val="0"/>
              <w:keepLines/>
            </w:pPr>
            <w:r>
              <w:rPr>
                <w:b w:val="0"/>
              </w:rPr>
              <w:t>Migrasi saat maintenance gate, build dan tes fixture tanpa live key.</w:t>
            </w:r>
          </w:p>
        </w:tc>
        <w:tc>
          <w:tcPr>
            <w:tcW w:type="dxa" w:w="3120"/>
            <w:vAlign w:val="top"/>
          </w:tcPr>
          <w:p>
            <w:pPr>
              <w:pStyle w:val="TableText"/>
              <w:keepNext w:val="0"/>
              <w:keepLines/>
            </w:pPr>
            <w:r>
              <w:rPr>
                <w:b w:val="0"/>
              </w:rPr>
              <w:t>Menjalankan deployment finansial dari prompt atau membagikan secret ke artefak.</w:t>
            </w:r>
          </w:p>
        </w:tc>
      </w:tr>
    </w:tbl>
    <w:p>
      <w:pPr>
        <w:spacing w:after="60" w:before="0" w:line="240" w:lineRule="auto"/>
      </w:pPr>
      <w:r>
        <w:rPr>
          <w:sz w:val="4"/>
        </w:rPr>
      </w:r>
    </w:p>
    <w:p>
      <w:pPr/>
      <w:r>
        <w:t>Dashboard memakai TLS, session HttpOnly/Secure/SameSite, proteksi CSRF untuk mutation, pembatasan percobaan login, dan autentikasi kuat pemilik. Aktivasi LIVE, pergantian wallet dan kenaikan cap memerlukan reauthentication. Akses Android/tablet tidak berarti public unauthenticated gateway. Service internal memakai jaringan privat dan autentikasi service; DB tidak dipublikasikan.</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4680"/>
        <w:gridCol w:w="4680"/>
      </w:tblGrid>
      <w:tr>
        <w:trPr>
          <w:cantSplit/>
          <w:tblHeader/>
        </w:trPr>
        <w:tc>
          <w:tcPr>
            <w:tcW w:type="dxa" w:w="4680"/>
            <w:vAlign w:val="top"/>
            <w:shd w:fill="E8EEF5" w:val="clear"/>
          </w:tcPr>
          <w:p>
            <w:pPr>
              <w:pStyle w:val="TableText"/>
              <w:keepNext w:val="0"/>
              <w:keepLines/>
            </w:pPr>
            <w:r>
              <w:rPr>
                <w:b/>
              </w:rPr>
              <w:t>Route internal usulan</w:t>
            </w:r>
          </w:p>
        </w:tc>
        <w:tc>
          <w:tcPr>
            <w:tcW w:type="dxa" w:w="4680"/>
            <w:vAlign w:val="top"/>
            <w:shd w:fill="E8EEF5" w:val="clear"/>
          </w:tcPr>
          <w:p>
            <w:pPr>
              <w:pStyle w:val="TableText"/>
              <w:keepNext w:val="0"/>
              <w:keepLines/>
            </w:pPr>
            <w:r>
              <w:rPr>
                <w:b/>
              </w:rPr>
              <w:t>Perilaku / kontrol</w:t>
            </w:r>
          </w:p>
        </w:tc>
      </w:tr>
      <w:tr>
        <w:trPr>
          <w:cantSplit/>
        </w:trPr>
        <w:tc>
          <w:tcPr>
            <w:tcW w:type="dxa" w:w="4680"/>
            <w:vAlign w:val="top"/>
          </w:tcPr>
          <w:p>
            <w:pPr>
              <w:pStyle w:val="TableText"/>
              <w:keepNext w:val="0"/>
              <w:keepLines/>
            </w:pPr>
            <w:r>
              <w:rPr>
                <w:b w:val="0"/>
              </w:rPr>
              <w:t>GET /api/v1/status, /portfolio, /orders, /decisions</w:t>
            </w:r>
          </w:p>
        </w:tc>
        <w:tc>
          <w:tcPr>
            <w:tcW w:type="dxa" w:w="4680"/>
            <w:vAlign w:val="top"/>
          </w:tcPr>
          <w:p>
            <w:pPr>
              <w:pStyle w:val="TableText"/>
              <w:keepNext w:val="0"/>
              <w:keepLines/>
            </w:pPr>
            <w:r>
              <w:rPr>
                <w:b w:val="0"/>
              </w:rPr>
              <w:t>Session pemilik; read models; freshness dan projected_event_seq selalu disertakan.</w:t>
            </w:r>
          </w:p>
        </w:tc>
      </w:tr>
      <w:tr>
        <w:trPr>
          <w:cantSplit/>
        </w:trPr>
        <w:tc>
          <w:tcPr>
            <w:tcW w:type="dxa" w:w="4680"/>
            <w:vAlign w:val="top"/>
          </w:tcPr>
          <w:p>
            <w:pPr>
              <w:pStyle w:val="TableText"/>
              <w:keepNext w:val="0"/>
              <w:keepLines/>
            </w:pPr>
            <w:r>
              <w:rPr>
                <w:b w:val="0"/>
              </w:rPr>
              <w:t>POST /api/v1/experiments</w:t>
            </w:r>
          </w:p>
        </w:tc>
        <w:tc>
          <w:tcPr>
            <w:tcW w:type="dxa" w:w="4680"/>
            <w:vAlign w:val="top"/>
          </w:tcPr>
          <w:p>
            <w:pPr>
              <w:pStyle w:val="TableText"/>
              <w:keepNext w:val="0"/>
              <w:keepLines/>
            </w:pPr>
            <w:r>
              <w:rPr>
                <w:b w:val="0"/>
              </w:rPr>
              <w:t>Konfigurasi immutable, budget dan universe; default PAPER; tidak membuat mandate secara implisit.</w:t>
            </w:r>
          </w:p>
        </w:tc>
      </w:tr>
      <w:tr>
        <w:trPr>
          <w:cantSplit/>
        </w:trPr>
        <w:tc>
          <w:tcPr>
            <w:tcW w:type="dxa" w:w="4680"/>
            <w:vAlign w:val="top"/>
          </w:tcPr>
          <w:p>
            <w:pPr>
              <w:pStyle w:val="TableText"/>
              <w:keepNext w:val="0"/>
              <w:keepLines/>
            </w:pPr>
            <w:r>
              <w:rPr>
                <w:b w:val="0"/>
              </w:rPr>
              <w:t>POST /api/v1/mandates</w:t>
            </w:r>
          </w:p>
        </w:tc>
        <w:tc>
          <w:tcPr>
            <w:tcW w:type="dxa" w:w="4680"/>
            <w:vAlign w:val="top"/>
          </w:tcPr>
          <w:p>
            <w:pPr>
              <w:pStyle w:val="TableText"/>
              <w:keepNext w:val="0"/>
              <w:keepLines/>
            </w:pPr>
            <w:r>
              <w:rPr>
                <w:b w:val="0"/>
              </w:rPr>
              <w:t>Owner + reauth + schema + audit; server menyusun hash policy. Request dari LLM ditolak.</w:t>
            </w:r>
          </w:p>
        </w:tc>
      </w:tr>
      <w:tr>
        <w:trPr>
          <w:cantSplit/>
        </w:trPr>
        <w:tc>
          <w:tcPr>
            <w:tcW w:type="dxa" w:w="4680"/>
            <w:vAlign w:val="top"/>
          </w:tcPr>
          <w:p>
            <w:pPr>
              <w:pStyle w:val="TableText"/>
              <w:keepNext w:val="0"/>
              <w:keepLines/>
            </w:pPr>
            <w:r>
              <w:rPr>
                <w:b w:val="0"/>
              </w:rPr>
              <w:t>POST /api/v1/control/pause-entries</w:t>
            </w:r>
          </w:p>
        </w:tc>
        <w:tc>
          <w:tcPr>
            <w:tcW w:type="dxa" w:w="4680"/>
            <w:vAlign w:val="top"/>
          </w:tcPr>
          <w:p>
            <w:pPr>
              <w:pStyle w:val="TableText"/>
              <w:keepNext w:val="0"/>
              <w:keepLines/>
            </w:pPr>
            <w:r>
              <w:rPr>
                <w:b w:val="0"/>
              </w:rPr>
              <w:t>Durable latch sebelum respons sukses; semua worker membaca version baru sebelum authorization berikutnya.</w:t>
            </w:r>
          </w:p>
        </w:tc>
      </w:tr>
      <w:tr>
        <w:trPr>
          <w:cantSplit/>
        </w:trPr>
        <w:tc>
          <w:tcPr>
            <w:tcW w:type="dxa" w:w="4680"/>
            <w:vAlign w:val="top"/>
          </w:tcPr>
          <w:p>
            <w:pPr>
              <w:pStyle w:val="TableText"/>
              <w:keepNext w:val="0"/>
              <w:keepLines/>
            </w:pPr>
            <w:r>
              <w:rPr>
                <w:b w:val="0"/>
              </w:rPr>
              <w:t>POST /api/v1/control/cancel-open</w:t>
            </w:r>
          </w:p>
        </w:tc>
        <w:tc>
          <w:tcPr>
            <w:tcW w:type="dxa" w:w="4680"/>
            <w:vAlign w:val="top"/>
          </w:tcPr>
          <w:p>
            <w:pPr>
              <w:pStyle w:val="TableText"/>
              <w:keepNext w:val="0"/>
              <w:keepLines/>
            </w:pPr>
            <w:r>
              <w:rPr>
                <w:b w:val="0"/>
              </w:rPr>
              <w:t>Command idempotent; respons asynchronous berisi command_id, lalu hasil per order; bukan klaim semua berhasil.</w:t>
            </w:r>
          </w:p>
        </w:tc>
      </w:tr>
      <w:tr>
        <w:trPr>
          <w:cantSplit/>
        </w:trPr>
        <w:tc>
          <w:tcPr>
            <w:tcW w:type="dxa" w:w="4680"/>
            <w:vAlign w:val="top"/>
          </w:tcPr>
          <w:p>
            <w:pPr>
              <w:pStyle w:val="TableText"/>
              <w:keepNext w:val="0"/>
              <w:keepLines/>
            </w:pPr>
            <w:r>
              <w:rPr>
                <w:b w:val="0"/>
              </w:rPr>
              <w:t>POST /api/v1/control/flatten</w:t>
            </w:r>
          </w:p>
        </w:tc>
        <w:tc>
          <w:tcPr>
            <w:tcW w:type="dxa" w:w="4680"/>
            <w:vAlign w:val="top"/>
          </w:tcPr>
          <w:p>
            <w:pPr>
              <w:pStyle w:val="TableText"/>
              <w:keepNext w:val="0"/>
              <w:keepLines/>
            </w:pPr>
            <w:r>
              <w:rPr>
                <w:b w:val="0"/>
              </w:rPr>
              <w:t>Aksi terpisah, max slippage/deadline, actual shares; harga/akses tidak memadai → partial/failed yang terlihat.</w:t>
            </w:r>
          </w:p>
        </w:tc>
      </w:tr>
      <w:tr>
        <w:trPr>
          <w:cantSplit/>
        </w:trPr>
        <w:tc>
          <w:tcPr>
            <w:tcW w:type="dxa" w:w="4680"/>
            <w:vAlign w:val="top"/>
          </w:tcPr>
          <w:p>
            <w:pPr>
              <w:pStyle w:val="TableText"/>
              <w:keepNext w:val="0"/>
              <w:keepLines/>
            </w:pPr>
            <w:r>
              <w:rPr>
                <w:b w:val="0"/>
              </w:rPr>
              <w:t>POST /internal/v1/intents</w:t>
            </w:r>
          </w:p>
        </w:tc>
        <w:tc>
          <w:tcPr>
            <w:tcW w:type="dxa" w:w="4680"/>
            <w:vAlign w:val="top"/>
          </w:tcPr>
          <w:p>
            <w:pPr>
              <w:pStyle w:val="TableText"/>
              <w:keepNext w:val="0"/>
              <w:keepLines/>
            </w:pPr>
            <w:r>
              <w:rPr>
                <w:b w:val="0"/>
              </w:rPr>
              <w:t>Private authenticated service only; dedupe key + payload hash; hanya propose, tidak otomatis memperoleh risk permit.</w:t>
            </w:r>
          </w:p>
        </w:tc>
      </w:tr>
    </w:tbl>
    <w:p>
      <w:pPr>
        <w:spacing w:after="60" w:before="0" w:line="240" w:lineRule="auto"/>
      </w:pPr>
      <w:r>
        <w:rPr>
          <w:sz w:val="4"/>
        </w:rPr>
      </w:r>
    </w:p>
    <w:p>
      <w:pPr/>
      <w:r>
        <w:t>Semua mutation menerima request_id dan menghasilkan audit actor/time/target/reason/hash. Error stabil: 400 schema, 401/403 identity/capability, 409 conflict/version, 422 policy/data, 503 dependency/not ready. Request timeout pada UI tidak memberi izin duplikasi command finansial; client melakukan status lookup dengan request_id.</w:t>
      </w:r>
    </w:p>
    <w:p>
      <w:pPr/>
      <w:r>
        <w:t>Prompt injection diperlakukan sebagai upaya dari data eksternal. Retrieval melewati batas URL, ukuran, content type, timeout dan budget; evidence tidak menjadi system instruction. Signer tidak mempunyai browser/shell tool. Validasi output dan allowlist capability adalah kontrol utama; detektor teks hanya lapisan tambahan. Secret canary diuji pada prompt/log/export, dan dependency baru diperiksa lifecycle script-nya.</w:t>
      </w:r>
    </w:p>
    <w:p>
      <w:pPr>
        <w:pStyle w:val="SourceText"/>
      </w:pPr>
      <w:r>
        <w:t xml:space="preserve">Sumber: </w:t>
      </w:r>
      <w:hyperlink r:id="rId30">
        <w:r>
          <w:rPr>
            <w:color w:val="2E74B5"/>
            <w:u w:val="single"/>
          </w:rPr>
          <w:t>S22</w:t>
        </w:r>
      </w:hyperlink>
    </w:p>
    <w:p>
      <w:pPr/>
      <w:r>
        <w:t>Sebelum LIVE, cek account eligibility serta GET geoblock dari host aktual; simpan hasil dan waktu pemeriksaan. Unknown/blocked menahan aktivasi. Pemeriksaan IP tidak membuktikan semua syarat pengguna terpenuhi. Perubahan akses saat operasi memicu BLOCKED, entry dihentikan, dan cancel/reduction hanya dicoba bila masih didukung; tidak ada mekanisme bypass pembatasan.</w:t>
      </w:r>
    </w:p>
    <w:p>
      <w:pPr>
        <w:pStyle w:val="SourceText"/>
      </w:pPr>
      <w:r>
        <w:t xml:space="preserve">Sumber: </w:t>
      </w:r>
      <w:hyperlink r:id="rId31">
        <w:r>
          <w:rPr>
            <w:color w:val="2E74B5"/>
            <w:u w:val="single"/>
          </w:rPr>
          <w:t>S18</w:t>
        </w:r>
      </w:hyperlink>
    </w:p>
    <w:p>
      <w:pPr>
        <w:pStyle w:val="Heading1"/>
      </w:pPr>
      <w:r>
        <w:t>B10. Deployment, runtime dan pemulihan</w:t>
      </w:r>
    </w:p>
    <w:p>
      <w:pPr/>
      <w:r>
        <w:t>Target awal adalah satu VPS Linux dengan alokasi percobaan 4 vCPU, 8 GiB RAM dan 40 GiB SSD bebas untuk layanan ini, ditambah backup di luar host. Angka ini budget capacity awal, bukan minimum yang terbukti cukup. Ukur konsumsi Node, native SQLite, PostgreSQL, raw book dan storage growth sebelum berbagi host dengan layanan lain. LLM remote tidak memerlukan GPU lokal.</w:t>
      </w:r>
    </w:p>
    <w:p>
      <w:pPr/>
      <w:r>
        <w:t>Runtime usulan: Node 24 LTS dan PostgreSQL 17 dengan patch/image digest yang dipin saat G0. Upstream menyatakan Node ≥22; kompatibilitas native dependency, build, migration dan SDK pada Node 24 harus diuji. Jangan gunakan @latest atau tag image floating untuk rilis. Gateway/executor memakai image yang sama dengan entrypoint/role berbeda dan secret mount terpisah.</w:t>
      </w:r>
    </w:p>
    <w:p>
      <w:pPr>
        <w:pStyle w:val="SourceText"/>
      </w:pPr>
      <w:r>
        <w:t xml:space="preserve">Sumber: </w:t>
      </w:r>
      <w:hyperlink r:id="rId12">
        <w:r>
          <w:rPr>
            <w:color w:val="2E74B5"/>
            <w:u w:val="single"/>
          </w:rPr>
          <w:t>S02</w:t>
        </w:r>
      </w:hyperlink>
      <w:r>
        <w:t xml:space="preserve"> · </w:t>
      </w:r>
      <w:hyperlink r:id="rId32">
        <w:r>
          <w:rPr>
            <w:color w:val="2E74B5"/>
            <w:u w:val="single"/>
          </w:rPr>
          <w:t>S19</w:t>
        </w:r>
      </w:hyperlink>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4680"/>
        <w:gridCol w:w="4680"/>
      </w:tblGrid>
      <w:tr>
        <w:trPr>
          <w:cantSplit/>
          <w:tblHeader/>
        </w:trPr>
        <w:tc>
          <w:tcPr>
            <w:tcW w:type="dxa" w:w="4680"/>
            <w:vAlign w:val="top"/>
            <w:shd w:fill="E8EEF5" w:val="clear"/>
          </w:tcPr>
          <w:p>
            <w:pPr>
              <w:pStyle w:val="TableText"/>
              <w:keepNext w:val="0"/>
              <w:keepLines/>
            </w:pPr>
            <w:r>
              <w:rPr>
                <w:b/>
              </w:rPr>
              <w:t>Unit deployment</w:t>
            </w:r>
          </w:p>
        </w:tc>
        <w:tc>
          <w:tcPr>
            <w:tcW w:type="dxa" w:w="4680"/>
            <w:vAlign w:val="top"/>
            <w:shd w:fill="E8EEF5" w:val="clear"/>
          </w:tcPr>
          <w:p>
            <w:pPr>
              <w:pStyle w:val="TableText"/>
              <w:keepNext w:val="0"/>
              <w:keepLines/>
            </w:pPr>
            <w:r>
              <w:rPr>
                <w:b/>
              </w:rPr>
              <w:t>Batas proses dan storage</w:t>
            </w:r>
          </w:p>
        </w:tc>
      </w:tr>
      <w:tr>
        <w:trPr>
          <w:cantSplit/>
        </w:trPr>
        <w:tc>
          <w:tcPr>
            <w:tcW w:type="dxa" w:w="4680"/>
            <w:vAlign w:val="top"/>
          </w:tcPr>
          <w:p>
            <w:pPr>
              <w:pStyle w:val="TableText"/>
              <w:keepNext w:val="0"/>
              <w:keepLines/>
            </w:pPr>
            <w:r>
              <w:rPr>
                <w:b w:val="0"/>
              </w:rPr>
              <w:t>Reverse proxy</w:t>
            </w:r>
          </w:p>
        </w:tc>
        <w:tc>
          <w:tcPr>
            <w:tcW w:type="dxa" w:w="4680"/>
            <w:vAlign w:val="top"/>
          </w:tcPr>
          <w:p>
            <w:pPr>
              <w:pStyle w:val="TableText"/>
              <w:keepNext w:val="0"/>
              <w:keepLines/>
            </w:pPr>
            <w:r>
              <w:rPr>
                <w:b w:val="0"/>
              </w:rPr>
              <w:t>Satu endpoint HTTPS dashboard; autentikasi, request limits dan secure headers; internal routes tidak diteruskan.</w:t>
            </w:r>
          </w:p>
        </w:tc>
      </w:tr>
      <w:tr>
        <w:trPr>
          <w:cantSplit/>
        </w:trPr>
        <w:tc>
          <w:tcPr>
            <w:tcW w:type="dxa" w:w="4680"/>
            <w:vAlign w:val="top"/>
          </w:tcPr>
          <w:p>
            <w:pPr>
              <w:pStyle w:val="TableText"/>
              <w:keepNext w:val="0"/>
              <w:keepLines/>
            </w:pPr>
            <w:r>
              <w:rPr>
                <w:b w:val="0"/>
              </w:rPr>
              <w:t>Gateway/intelligence</w:t>
            </w:r>
          </w:p>
        </w:tc>
        <w:tc>
          <w:tcPr>
            <w:tcW w:type="dxa" w:w="4680"/>
            <w:vAlign w:val="top"/>
          </w:tcPr>
          <w:p>
            <w:pPr>
              <w:pStyle w:val="TableText"/>
              <w:keepNext w:val="0"/>
              <w:keepLines/>
            </w:pPr>
            <w:r>
              <w:rPr>
                <w:b w:val="0"/>
              </w:rPr>
              <w:t>Non-root, filesystem read-only kecuali volume yang perlu; no Docker socket; CPU/memory limits agar riset tidak menghambat execution.</w:t>
            </w:r>
          </w:p>
        </w:tc>
      </w:tr>
      <w:tr>
        <w:trPr>
          <w:cantSplit/>
        </w:trPr>
        <w:tc>
          <w:tcPr>
            <w:tcW w:type="dxa" w:w="4680"/>
            <w:vAlign w:val="top"/>
          </w:tcPr>
          <w:p>
            <w:pPr>
              <w:pStyle w:val="TableText"/>
              <w:keepNext w:val="0"/>
              <w:keepLines/>
            </w:pPr>
            <w:r>
              <w:rPr>
                <w:b w:val="0"/>
              </w:rPr>
              <w:t>Executor</w:t>
            </w:r>
          </w:p>
        </w:tc>
        <w:tc>
          <w:tcPr>
            <w:tcW w:type="dxa" w:w="4680"/>
            <w:vAlign w:val="top"/>
          </w:tcPr>
          <w:p>
            <w:pPr>
              <w:pStyle w:val="TableText"/>
              <w:keepNext w:val="0"/>
              <w:keepLines/>
            </w:pPr>
            <w:r>
              <w:rPr>
                <w:b w:val="0"/>
              </w:rPr>
              <w:t>Replica satu per wallet, private network, trading secrets read-only dari secret store/file terproteksi, graceful drain, heartbeat dan reconcile terpisah dari job LLM.</w:t>
            </w:r>
          </w:p>
        </w:tc>
      </w:tr>
      <w:tr>
        <w:trPr>
          <w:cantSplit/>
        </w:trPr>
        <w:tc>
          <w:tcPr>
            <w:tcW w:type="dxa" w:w="4680"/>
            <w:vAlign w:val="top"/>
          </w:tcPr>
          <w:p>
            <w:pPr>
              <w:pStyle w:val="TableText"/>
              <w:keepNext w:val="0"/>
              <w:keepLines/>
            </w:pPr>
            <w:r>
              <w:rPr>
                <w:b w:val="0"/>
              </w:rPr>
              <w:t>PostgreSQL</w:t>
            </w:r>
          </w:p>
        </w:tc>
        <w:tc>
          <w:tcPr>
            <w:tcW w:type="dxa" w:w="4680"/>
            <w:vAlign w:val="top"/>
          </w:tcPr>
          <w:p>
            <w:pPr>
              <w:pStyle w:val="TableText"/>
              <w:keepNext w:val="0"/>
              <w:keepLines/>
            </w:pPr>
            <w:r>
              <w:rPr>
                <w:b w:val="0"/>
              </w:rPr>
              <w:t>Private bind, role least privilege, volume durable, connection pool kecil, statement timeout, monitoring disk/WAL; tidak membagikan superuser ke aplikasi.</w:t>
            </w:r>
          </w:p>
        </w:tc>
      </w:tr>
      <w:tr>
        <w:trPr>
          <w:cantSplit/>
        </w:trPr>
        <w:tc>
          <w:tcPr>
            <w:tcW w:type="dxa" w:w="4680"/>
            <w:vAlign w:val="top"/>
          </w:tcPr>
          <w:p>
            <w:pPr>
              <w:pStyle w:val="TableText"/>
              <w:keepNext w:val="0"/>
              <w:keepLines/>
            </w:pPr>
            <w:r>
              <w:rPr>
                <w:b w:val="0"/>
              </w:rPr>
              <w:t>Backup agent</w:t>
            </w:r>
          </w:p>
        </w:tc>
        <w:tc>
          <w:tcPr>
            <w:tcW w:type="dxa" w:w="4680"/>
            <w:vAlign w:val="top"/>
          </w:tcPr>
          <w:p>
            <w:pPr>
              <w:pStyle w:val="TableText"/>
              <w:keepNext w:val="0"/>
              <w:keepLines/>
            </w:pPr>
            <w:r>
              <w:rPr>
                <w:b w:val="0"/>
              </w:rPr>
              <w:t>Encrypted base backup + WAL archive off-host; credential backup terpisah; restore key tidak hanya disimpan pada VPS yang sama.</w:t>
            </w:r>
          </w:p>
        </w:tc>
      </w:tr>
    </w:tbl>
    <w:p>
      <w:pPr>
        <w:spacing w:after="60" w:before="0" w:line="240" w:lineRule="auto"/>
      </w:pPr>
      <w:r>
        <w:rPr>
          <w:sz w:val="4"/>
        </w:rPr>
      </w:r>
    </w:p>
    <w:p>
      <w:pPr/>
      <w:r>
        <w:t>Build pipeline: checkout commit/lockfile → review dependency/install scripts → reproducible install/build → unit/contract/security checks → SBOM dan secret scan → immutable image → migration compatibility check → PAPER canary → rollout. Audit awal dapat memakai install tanpa scripts untuk inspeksi, tetapi native/build hooks yang diperlukan harus diizinkan secara eksplisit setelah review; jangan menganggap menonaktifkan semua scripts menghasilkan build yang valid.</w:t>
      </w:r>
    </w:p>
    <w:p>
      <w:pPr/>
      <w:r>
        <w:t>Upgrade finansial: PAUSE_ENTRIES → inventaris open/pending/unknown → hentikan signing baru → drain proses lama → backup/cek schema → deploy → RECOVERING → rekonsiliasi → owner resume bila policy/gate mengizinkan. Cancel resting orders dilakukan sesuai runbook dan status, bukan diasumsikan otomatis selesai sebelum restart.</w:t>
      </w:r>
    </w:p>
    <w:p>
      <w:pPr/>
      <w:r>
        <w:t>Rollback memeriksa kompatibilitas schema; binary lama tidak boleh menulis schema yang tidak dipahaminya. Gunakan migrasi expand/contract dan fallback read-only jika perlu. Rollback aplikasi tidak membatalkan order yang telah terkirim. Simpan release_manifest berisi upstream/fork SHA, dependency hash, image digest, schema, provider/model, policy dan test report.</w:t>
      </w:r>
    </w:p>
    <w:p>
      <w:pPr>
        <w:pStyle w:val="Heading2"/>
      </w:pPr>
      <w:r>
        <w:t>Backup dan restore</w:t>
      </w:r>
    </w:p>
    <w:p>
      <w:pPr/>
      <w:r>
        <w:t>Target RPO 15 menit dan RTO 60 menit berlaku untuk bencana host; gunakan base backup dan arsip WAL serta uji PITR. Sesudah restore, trading tetap RECOVERING sampai order/trade/balance dan mandat selaras. Data fill dapat dipulihkan dari venue sejauh histori tersedia; provenance riset yang hilang tidak boleh direkonstruksi sebagai bukti asli. Label gap secara eksplisit.</w:t>
      </w:r>
    </w:p>
    <w:p>
      <w:pPr>
        <w:pStyle w:val="SourceText"/>
      </w:pPr>
      <w:r>
        <w:t xml:space="preserve">Sumber: </w:t>
      </w:r>
      <w:hyperlink r:id="rId33">
        <w:r>
          <w:rPr>
            <w:color w:val="2E74B5"/>
            <w:u w:val="single"/>
          </w:rPr>
          <w:t>S21</w:t>
        </w:r>
      </w:hyperlink>
    </w:p>
    <w:p>
      <w:pPr/>
      <w:r>
        <w:t>Retensi desain: event finansial, policy, source hash/ringkasan dan gate report minimal 365 hari; raw book rolling 30 hari dengan arsip snapshot keputusan lebih lama. Redaksi dan hak data dapat membatasi konten sumber yang disimpan. Pantau volume harian, uji restore pada host terpisah, catat waktu aktual dan kehilangan data; keberhasilan backup job bukan bukti restore berhasil.</w:t>
      </w:r>
    </w:p>
    <w:p>
      <w:pPr>
        <w:pStyle w:val="Heading1"/>
      </w:pPr>
      <w:r>
        <w:t>B11. Observabilitas dan runbook</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4680"/>
        <w:gridCol w:w="4680"/>
      </w:tblGrid>
      <w:tr>
        <w:trPr>
          <w:cantSplit/>
          <w:tblHeader/>
        </w:trPr>
        <w:tc>
          <w:tcPr>
            <w:tcW w:type="dxa" w:w="4680"/>
            <w:vAlign w:val="top"/>
            <w:shd w:fill="E8EEF5" w:val="clear"/>
          </w:tcPr>
          <w:p>
            <w:pPr>
              <w:pStyle w:val="TableText"/>
              <w:keepNext w:val="0"/>
              <w:keepLines/>
            </w:pPr>
            <w:r>
              <w:rPr>
                <w:b/>
              </w:rPr>
              <w:t>Sinyal</w:t>
            </w:r>
          </w:p>
        </w:tc>
        <w:tc>
          <w:tcPr>
            <w:tcW w:type="dxa" w:w="4680"/>
            <w:vAlign w:val="top"/>
            <w:shd w:fill="E8EEF5" w:val="clear"/>
          </w:tcPr>
          <w:p>
            <w:pPr>
              <w:pStyle w:val="TableText"/>
              <w:keepNext w:val="0"/>
              <w:keepLines/>
            </w:pPr>
            <w:r>
              <w:rPr>
                <w:b/>
              </w:rPr>
              <w:t>Tindakan otomatis / kriteria resume</w:t>
            </w:r>
          </w:p>
        </w:tc>
      </w:tr>
      <w:tr>
        <w:trPr>
          <w:cantSplit/>
        </w:trPr>
        <w:tc>
          <w:tcPr>
            <w:tcW w:type="dxa" w:w="4680"/>
            <w:vAlign w:val="top"/>
          </w:tcPr>
          <w:p>
            <w:pPr>
              <w:pStyle w:val="TableText"/>
              <w:keepNext w:val="0"/>
              <w:keepLines/>
            </w:pPr>
            <w:r>
              <w:rPr>
                <w:b w:val="0"/>
              </w:rPr>
              <w:t>book_age &gt;2s; metadata &gt;60s</w:t>
            </w:r>
          </w:p>
        </w:tc>
        <w:tc>
          <w:tcPr>
            <w:tcW w:type="dxa" w:w="4680"/>
            <w:vAlign w:val="top"/>
          </w:tcPr>
          <w:p>
            <w:pPr>
              <w:pStyle w:val="TableText"/>
              <w:keepNext w:val="0"/>
              <w:keepLines/>
            </w:pPr>
            <w:r>
              <w:rPr>
                <w:b w:val="0"/>
              </w:rPr>
              <w:t>PAUSE_ENTRIES; snapshot/refresh. Resume hanya setelah sinkronisasi, fee/rules dan readiness valid.</w:t>
            </w:r>
          </w:p>
        </w:tc>
      </w:tr>
      <w:tr>
        <w:trPr>
          <w:cantSplit/>
        </w:trPr>
        <w:tc>
          <w:tcPr>
            <w:tcW w:type="dxa" w:w="4680"/>
            <w:vAlign w:val="top"/>
          </w:tcPr>
          <w:p>
            <w:pPr>
              <w:pStyle w:val="TableText"/>
              <w:keepNext w:val="0"/>
              <w:keepLines/>
            </w:pPr>
            <w:r>
              <w:rPr>
                <w:b w:val="0"/>
              </w:rPr>
              <w:t>unknown submit/cancel; financial drift</w:t>
            </w:r>
          </w:p>
        </w:tc>
        <w:tc>
          <w:tcPr>
            <w:tcW w:type="dxa" w:w="4680"/>
            <w:vAlign w:val="top"/>
          </w:tcPr>
          <w:p>
            <w:pPr>
              <w:pStyle w:val="TableText"/>
              <w:keepNext w:val="0"/>
              <w:keepLines/>
            </w:pPr>
            <w:r>
              <w:rPr>
                <w:b w:val="0"/>
              </w:rPr>
              <w:t>Immediate reconcile, tahan reservation; alert berisi ID dan status tanpa key. Resume setelah seluruh kewajiban terjelaskan.</w:t>
            </w:r>
          </w:p>
        </w:tc>
      </w:tr>
      <w:tr>
        <w:trPr>
          <w:cantSplit/>
        </w:trPr>
        <w:tc>
          <w:tcPr>
            <w:tcW w:type="dxa" w:w="4680"/>
            <w:vAlign w:val="top"/>
          </w:tcPr>
          <w:p>
            <w:pPr>
              <w:pStyle w:val="TableText"/>
              <w:keepNext w:val="0"/>
              <w:keepLines/>
            </w:pPr>
            <w:r>
              <w:rPr>
                <w:b w:val="0"/>
              </w:rPr>
              <w:t>daily loss / drawdown breach</w:t>
            </w:r>
          </w:p>
        </w:tc>
        <w:tc>
          <w:tcPr>
            <w:tcW w:type="dxa" w:w="4680"/>
            <w:vAlign w:val="top"/>
          </w:tcPr>
          <w:p>
            <w:pPr>
              <w:pStyle w:val="TableText"/>
              <w:keepNext w:val="0"/>
              <w:keepLines/>
            </w:pPr>
            <w:r>
              <w:rPr>
                <w:b w:val="0"/>
              </w:rPr>
              <w:t>Persist loss latch; batalkan order entry yang belum filled bila memungkinkan. Resume membutuhkan owner review dan mandat/policy yang tercatat.</w:t>
            </w:r>
          </w:p>
        </w:tc>
      </w:tr>
      <w:tr>
        <w:trPr>
          <w:cantSplit/>
        </w:trPr>
        <w:tc>
          <w:tcPr>
            <w:tcW w:type="dxa" w:w="4680"/>
            <w:vAlign w:val="top"/>
          </w:tcPr>
          <w:p>
            <w:pPr>
              <w:pStyle w:val="TableText"/>
              <w:keepNext w:val="0"/>
              <w:keepLines/>
            </w:pPr>
            <w:r>
              <w:rPr>
                <w:b w:val="0"/>
              </w:rPr>
              <w:t>LLM quota/error/timeout</w:t>
            </w:r>
          </w:p>
        </w:tc>
        <w:tc>
          <w:tcPr>
            <w:tcW w:type="dxa" w:w="4680"/>
            <w:vAlign w:val="top"/>
          </w:tcPr>
          <w:p>
            <w:pPr>
              <w:pStyle w:val="TableText"/>
              <w:keepNext w:val="0"/>
              <w:keepLines/>
            </w:pPr>
            <w:r>
              <w:rPr>
                <w:b w:val="0"/>
              </w:rPr>
              <w:t>Abstain, backoff terbatas dan cost alert. Heartbeat, ledger dan monitoring posisi tetap berjalan.</w:t>
            </w:r>
          </w:p>
        </w:tc>
      </w:tr>
      <w:tr>
        <w:trPr>
          <w:cantSplit/>
        </w:trPr>
        <w:tc>
          <w:tcPr>
            <w:tcW w:type="dxa" w:w="4680"/>
            <w:vAlign w:val="top"/>
          </w:tcPr>
          <w:p>
            <w:pPr>
              <w:pStyle w:val="TableText"/>
              <w:keepNext w:val="0"/>
              <w:keepLines/>
            </w:pPr>
            <w:r>
              <w:rPr>
                <w:b w:val="0"/>
              </w:rPr>
              <w:t>DB unavailable / disk penuh</w:t>
            </w:r>
          </w:p>
        </w:tc>
        <w:tc>
          <w:tcPr>
            <w:tcW w:type="dxa" w:w="4680"/>
            <w:vAlign w:val="top"/>
          </w:tcPr>
          <w:p>
            <w:pPr>
              <w:pStyle w:val="TableText"/>
              <w:keepNext w:val="0"/>
              <w:keepLines/>
            </w:pPr>
            <w:r>
              <w:rPr>
                <w:b w:val="0"/>
              </w:rPr>
              <w:t>Tolak signing baru karena persistence tidak dapat dijamin. Heartbeat/cancel best-effort sesuai state; jangan mengeklaim cancel jika hasil tidak durable.</w:t>
            </w:r>
          </w:p>
        </w:tc>
      </w:tr>
      <w:tr>
        <w:trPr>
          <w:cantSplit/>
        </w:trPr>
        <w:tc>
          <w:tcPr>
            <w:tcW w:type="dxa" w:w="4680"/>
            <w:vAlign w:val="top"/>
          </w:tcPr>
          <w:p>
            <w:pPr>
              <w:pStyle w:val="TableText"/>
              <w:keepNext w:val="0"/>
              <w:keepLines/>
            </w:pPr>
            <w:r>
              <w:rPr>
                <w:b w:val="0"/>
              </w:rPr>
              <w:t>clock skew &gt;1s; lease lost</w:t>
            </w:r>
          </w:p>
        </w:tc>
        <w:tc>
          <w:tcPr>
            <w:tcW w:type="dxa" w:w="4680"/>
            <w:vAlign w:val="top"/>
          </w:tcPr>
          <w:p>
            <w:pPr>
              <w:pStyle w:val="TableText"/>
              <w:keepNext w:val="0"/>
              <w:keepLines/>
            </w:pPr>
            <w:r>
              <w:rPr>
                <w:b w:val="0"/>
              </w:rPr>
              <w:t>Block sign/submit. Clock/lease recovery wajib; jangan auto-failover saat request lama unknown.</w:t>
            </w:r>
          </w:p>
        </w:tc>
      </w:tr>
      <w:tr>
        <w:trPr>
          <w:cantSplit/>
        </w:trPr>
        <w:tc>
          <w:tcPr>
            <w:tcW w:type="dxa" w:w="4680"/>
            <w:vAlign w:val="top"/>
          </w:tcPr>
          <w:p>
            <w:pPr>
              <w:pStyle w:val="TableText"/>
              <w:keepNext w:val="0"/>
              <w:keepLines/>
            </w:pPr>
            <w:r>
              <w:rPr>
                <w:b w:val="0"/>
              </w:rPr>
              <w:t>geoblock / auth failure</w:t>
            </w:r>
          </w:p>
        </w:tc>
        <w:tc>
          <w:tcPr>
            <w:tcW w:type="dxa" w:w="4680"/>
            <w:vAlign w:val="top"/>
          </w:tcPr>
          <w:p>
            <w:pPr>
              <w:pStyle w:val="TableText"/>
              <w:keepNext w:val="0"/>
              <w:keepLines/>
            </w:pPr>
            <w:r>
              <w:rPr>
                <w:b w:val="0"/>
              </w:rPr>
              <w:t>BLOCKED; refresh credential/eligibility dengan owner. Tidak retry signing terus-menerus atau mengganti lokasi untuk melewati restriction.</w:t>
            </w:r>
          </w:p>
        </w:tc>
      </w:tr>
      <w:tr>
        <w:trPr>
          <w:cantSplit/>
        </w:trPr>
        <w:tc>
          <w:tcPr>
            <w:tcW w:type="dxa" w:w="4680"/>
            <w:vAlign w:val="top"/>
          </w:tcPr>
          <w:p>
            <w:pPr>
              <w:pStyle w:val="TableText"/>
              <w:keepNext w:val="0"/>
              <w:keepLines/>
            </w:pPr>
            <w:r>
              <w:rPr>
                <w:b w:val="0"/>
              </w:rPr>
              <w:t>secret compromise suspicion</w:t>
            </w:r>
          </w:p>
        </w:tc>
        <w:tc>
          <w:tcPr>
            <w:tcW w:type="dxa" w:w="4680"/>
            <w:vAlign w:val="top"/>
          </w:tcPr>
          <w:p>
            <w:pPr>
              <w:pStyle w:val="TableText"/>
              <w:keepNext w:val="0"/>
              <w:keepLines/>
            </w:pPr>
            <w:r>
              <w:rPr>
                <w:b w:val="0"/>
              </w:rPr>
              <w:t>Pause, hentikan signer, revoke/rotate credential sesuai platform, inventaris transaksi dan audit. Pemindahan dana membutuhkan aksi/otorisasi pemilik tersendiri.</w:t>
            </w:r>
          </w:p>
        </w:tc>
      </w:tr>
    </w:tbl>
    <w:p>
      <w:pPr>
        <w:spacing w:after="60" w:before="0" w:line="240" w:lineRule="auto"/>
      </w:pPr>
      <w:r>
        <w:rPr>
          <w:sz w:val="4"/>
        </w:rPr>
      </w:r>
    </w:p>
    <w:p>
      <w:pPr/>
      <w:r>
        <w:t>Metrics: quote_age_ms, metadata_age_s, forecast_age_s, user_stream_lag, heartbeat_age_s, risk_latency_ms, intent_queue_age, unknown_order_count, reconciliation_diff, cash_reserved, pending_settlement, loss_latch, llm_cost_usd, token_usage, clock_skew_ms, backup_age dan restore_test_age. Label dibatasi market group/strategy; jangan membuat cardinality tak terbatas dengan seluruh order ID.</w:t>
      </w:r>
    </w:p>
    <w:p>
      <w:pPr/>
      <w:r>
        <w:t>Structured log memakai correlation_id, intent_id, order_id, event_seq, policy_hash dan reason_code yang teredaksi. Critical alert untuk secret/lease/unknown/drift; warning untuk budget dan data source terdegradasi. Deduplicate berdasarkan incident key dan kirim recovery message. Kanal notifikasi dikonfigurasi pemilik; dokumen ini tidak mengirim pesan ke pihak lain.</w:t>
      </w:r>
    </w:p>
    <w:p>
      <w:pPr/>
      <w:r>
        <w:t>Target: pause authorization ≤1 detik, risk lokal p95 &lt;250 ms, dashboard p95 &lt;2 detik, readiness 99,5%/30 hari, RPO/RTO 15/60 menit. Beban benchmark harus memuat jumlah market/subscription/order dan resource limit; semua angka masih target desain. Laporan membedakan health proses, readiness transaksi dan uptime venue.</w:t>
      </w:r>
    </w:p>
    <w:p>
      <w:pPr>
        <w:pStyle w:val="Heading1"/>
      </w:pPr>
      <w:r>
        <w:t>B12. Paper engine dan penelitian strategi</w:t>
      </w:r>
    </w:p>
    <w:p>
      <w:pPr/>
      <w:r>
        <w:t>Paper engine memakai book yang tersedia pada decision time, spread bid/ask, depth, min_size, tick, fee, latency dan partial fill. Marketable order mengonsumsi depth sesuai model; resting limit memerlukan asumsi antrean konservatif dan traded volume, bukan fill ketika midpoint menyentuh limit. Bila data queue/trade tidak tersedia, tandai fill estimate sebagai tidak cukup, bukan mengarang fill pasti.</w:t>
      </w:r>
    </w:p>
    <w:p>
      <w:pPr/>
      <w:r>
        <w:t>SHADOW menyimpan forecast, intent hipotetis, quote dan waktu secara prospektif tanpa mengirim order. Paper dan shadow tidak memvalidasi signing, real fills, settlement atau kendala akun; micro-LIVE bertugas memeriksa komponen tersebut dalam mandat kecil. Prediksi “menang” pada resolusi tidak otomatis menjadi trade yang dapat dieksekusi sebelumnya.</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4680"/>
        <w:gridCol w:w="4680"/>
      </w:tblGrid>
      <w:tr>
        <w:trPr>
          <w:cantSplit/>
          <w:tblHeader/>
        </w:trPr>
        <w:tc>
          <w:tcPr>
            <w:tcW w:type="dxa" w:w="4680"/>
            <w:vAlign w:val="top"/>
            <w:shd w:fill="E8EEF5" w:val="clear"/>
          </w:tcPr>
          <w:p>
            <w:pPr>
              <w:pStyle w:val="TableText"/>
              <w:keepNext w:val="0"/>
              <w:keepLines/>
            </w:pPr>
            <w:r>
              <w:rPr>
                <w:b/>
              </w:rPr>
              <w:t>Tahap riset</w:t>
            </w:r>
          </w:p>
        </w:tc>
        <w:tc>
          <w:tcPr>
            <w:tcW w:type="dxa" w:w="4680"/>
            <w:vAlign w:val="top"/>
            <w:shd w:fill="E8EEF5" w:val="clear"/>
          </w:tcPr>
          <w:p>
            <w:pPr>
              <w:pStyle w:val="TableText"/>
              <w:keepNext w:val="0"/>
              <w:keepLines/>
            </w:pPr>
            <w:r>
              <w:rPr>
                <w:b/>
              </w:rPr>
              <w:t>Protokol wajib</w:t>
            </w:r>
          </w:p>
        </w:tc>
      </w:tr>
      <w:tr>
        <w:trPr>
          <w:cantSplit/>
        </w:trPr>
        <w:tc>
          <w:tcPr>
            <w:tcW w:type="dxa" w:w="4680"/>
            <w:vAlign w:val="top"/>
          </w:tcPr>
          <w:p>
            <w:pPr>
              <w:pStyle w:val="TableText"/>
              <w:keepNext w:val="0"/>
              <w:keepLines/>
            </w:pPr>
            <w:r>
              <w:rPr>
                <w:b w:val="0"/>
              </w:rPr>
              <w:t>Praregistrasi</w:t>
            </w:r>
          </w:p>
        </w:tc>
        <w:tc>
          <w:tcPr>
            <w:tcW w:type="dxa" w:w="4680"/>
            <w:vAlign w:val="top"/>
          </w:tcPr>
          <w:p>
            <w:pPr>
              <w:pStyle w:val="TableText"/>
              <w:keepNext w:val="0"/>
              <w:keepLines/>
            </w:pPr>
            <w:r>
              <w:rPr>
                <w:b w:val="0"/>
              </w:rPr>
              <w:t>Universe, rules eligibility, model/prompt, strategy params, cost allocation, benchmark, metric utama, CI method, stopping rule dan sensitivity scenarios.</w:t>
            </w:r>
          </w:p>
        </w:tc>
      </w:tr>
      <w:tr>
        <w:trPr>
          <w:cantSplit/>
        </w:trPr>
        <w:tc>
          <w:tcPr>
            <w:tcW w:type="dxa" w:w="4680"/>
            <w:vAlign w:val="top"/>
          </w:tcPr>
          <w:p>
            <w:pPr>
              <w:pStyle w:val="TableText"/>
              <w:keepNext w:val="0"/>
              <w:keepLines/>
            </w:pPr>
            <w:r>
              <w:rPr>
                <w:b w:val="0"/>
              </w:rPr>
              <w:t>Dataset</w:t>
            </w:r>
          </w:p>
        </w:tc>
        <w:tc>
          <w:tcPr>
            <w:tcW w:type="dxa" w:w="4680"/>
            <w:vAlign w:val="top"/>
          </w:tcPr>
          <w:p>
            <w:pPr>
              <w:pStyle w:val="TableText"/>
              <w:keepNext w:val="0"/>
              <w:keepLines/>
            </w:pPr>
            <w:r>
              <w:rPr>
                <w:b w:val="0"/>
              </w:rPr>
              <w:t>Time-stamped features + actual availability; training labels hanya yang final pada cutoff. Group split berdasarkan event/keluarga yang berkorelasi.</w:t>
            </w:r>
          </w:p>
        </w:tc>
      </w:tr>
      <w:tr>
        <w:trPr>
          <w:cantSplit/>
        </w:trPr>
        <w:tc>
          <w:tcPr>
            <w:tcW w:type="dxa" w:w="4680"/>
            <w:vAlign w:val="top"/>
          </w:tcPr>
          <w:p>
            <w:pPr>
              <w:pStyle w:val="TableText"/>
              <w:keepNext w:val="0"/>
              <w:keepLines/>
            </w:pPr>
            <w:r>
              <w:rPr>
                <w:b w:val="0"/>
              </w:rPr>
              <w:t>Train/calibrate</w:t>
            </w:r>
          </w:p>
        </w:tc>
        <w:tc>
          <w:tcPr>
            <w:tcW w:type="dxa" w:w="4680"/>
            <w:vAlign w:val="top"/>
          </w:tcPr>
          <w:p>
            <w:pPr>
              <w:pStyle w:val="TableText"/>
              <w:keepNext w:val="0"/>
              <w:keepLines/>
            </w:pPr>
            <w:r>
              <w:rPr>
                <w:b w:val="0"/>
              </w:rPr>
              <w:t>Rolling-origin train/validation; calibrator dilatih pada train saja; parameter tidak dipilih dari final holdout.</w:t>
            </w:r>
          </w:p>
        </w:tc>
      </w:tr>
      <w:tr>
        <w:trPr>
          <w:cantSplit/>
        </w:trPr>
        <w:tc>
          <w:tcPr>
            <w:tcW w:type="dxa" w:w="4680"/>
            <w:vAlign w:val="top"/>
          </w:tcPr>
          <w:p>
            <w:pPr>
              <w:pStyle w:val="TableText"/>
              <w:keepNext w:val="0"/>
              <w:keepLines/>
            </w:pPr>
            <w:r>
              <w:rPr>
                <w:b w:val="0"/>
              </w:rPr>
              <w:t>Holdout/prospektif</w:t>
            </w:r>
          </w:p>
        </w:tc>
        <w:tc>
          <w:tcPr>
            <w:tcW w:type="dxa" w:w="4680"/>
            <w:vAlign w:val="top"/>
          </w:tcPr>
          <w:p>
            <w:pPr>
              <w:pStyle w:val="TableText"/>
              <w:keepNext w:val="0"/>
              <w:keepLines/>
            </w:pPr>
            <w:r>
              <w:rPr>
                <w:b w:val="0"/>
              </w:rPr>
              <w:t>Freeze versi; perubahan membuat experiment_id baru. Prioritaskan SHADOW karena model bisa mengetahui outcome historis dari pretraining.</w:t>
            </w:r>
          </w:p>
        </w:tc>
      </w:tr>
      <w:tr>
        <w:trPr>
          <w:cantSplit/>
        </w:trPr>
        <w:tc>
          <w:tcPr>
            <w:tcW w:type="dxa" w:w="4680"/>
            <w:vAlign w:val="top"/>
          </w:tcPr>
          <w:p>
            <w:pPr>
              <w:pStyle w:val="TableText"/>
              <w:keepNext w:val="0"/>
              <w:keepLines/>
            </w:pPr>
            <w:r>
              <w:rPr>
                <w:b w:val="0"/>
              </w:rPr>
              <w:t>Skor forecast</w:t>
            </w:r>
          </w:p>
        </w:tc>
        <w:tc>
          <w:tcPr>
            <w:tcW w:type="dxa" w:w="4680"/>
            <w:vAlign w:val="top"/>
          </w:tcPr>
          <w:p>
            <w:pPr>
              <w:pStyle w:val="TableText"/>
              <w:keepNext w:val="0"/>
              <w:keepLines/>
            </w:pPr>
            <w:r>
              <w:rPr>
                <w:b w:val="0"/>
              </w:rPr>
              <w:t>Brier, log loss, calibration/reliability diagram, sharpness, abstention/coverage dan benchmark harga pasar pada timestamp setara.</w:t>
            </w:r>
          </w:p>
        </w:tc>
      </w:tr>
      <w:tr>
        <w:trPr>
          <w:cantSplit/>
        </w:trPr>
        <w:tc>
          <w:tcPr>
            <w:tcW w:type="dxa" w:w="4680"/>
            <w:vAlign w:val="top"/>
          </w:tcPr>
          <w:p>
            <w:pPr>
              <w:pStyle w:val="TableText"/>
              <w:keepNext w:val="0"/>
              <w:keepLines/>
            </w:pPr>
            <w:r>
              <w:rPr>
                <w:b w:val="0"/>
              </w:rPr>
              <w:t>Skor trading</w:t>
            </w:r>
          </w:p>
        </w:tc>
        <w:tc>
          <w:tcPr>
            <w:tcW w:type="dxa" w:w="4680"/>
            <w:vAlign w:val="top"/>
          </w:tcPr>
          <w:p>
            <w:pPr>
              <w:pStyle w:val="TableText"/>
              <w:keepNext w:val="0"/>
              <w:keepLines/>
            </w:pPr>
            <w:r>
              <w:rPr>
                <w:b w:val="0"/>
              </w:rPr>
              <w:t>Net PnL, drawdown, turnover, fill/cancel ratio, capacity/depth, fees/LLM cost, event count dan concentration; laporkan sensitivity biaya/latency.</w:t>
            </w:r>
          </w:p>
        </w:tc>
      </w:tr>
      <w:tr>
        <w:trPr>
          <w:cantSplit/>
        </w:trPr>
        <w:tc>
          <w:tcPr>
            <w:tcW w:type="dxa" w:w="4680"/>
            <w:vAlign w:val="top"/>
          </w:tcPr>
          <w:p>
            <w:pPr>
              <w:pStyle w:val="TableText"/>
              <w:keepNext w:val="0"/>
              <w:keepLines/>
            </w:pPr>
            <w:r>
              <w:rPr>
                <w:b w:val="0"/>
              </w:rPr>
              <w:t>Ketidakpastian</w:t>
            </w:r>
          </w:p>
        </w:tc>
        <w:tc>
          <w:tcPr>
            <w:tcW w:type="dxa" w:w="4680"/>
            <w:vAlign w:val="top"/>
          </w:tcPr>
          <w:p>
            <w:pPr>
              <w:pStyle w:val="TableText"/>
              <w:keepNext w:val="0"/>
              <w:keepLines/>
            </w:pPr>
            <w:r>
              <w:rPr>
                <w:b w:val="0"/>
              </w:rPr>
              <w:t>Cluster bootstrap per event atau metode setara yang dipraregistrasikan; asumsi dependensi dan jumlah cluster dilaporkan. Terlalu sedikit cluster → inconclusive.</w:t>
            </w:r>
          </w:p>
        </w:tc>
      </w:tr>
    </w:tbl>
    <w:p>
      <w:pPr>
        <w:spacing w:after="60" w:before="0" w:line="240" w:lineRule="auto"/>
      </w:pPr>
      <w:r>
        <w:rPr>
          <w:sz w:val="4"/>
        </w:rPr>
      </w:r>
    </w:p>
    <w:p>
      <w:pPr>
        <w:pStyle w:val="SourceText"/>
      </w:pPr>
      <w:r>
        <w:t xml:space="preserve">Sumber: </w:t>
      </w:r>
      <w:hyperlink r:id="rId34">
        <w:r>
          <w:rPr>
            <w:color w:val="2E74B5"/>
            <w:u w:val="single"/>
          </w:rPr>
          <w:t>S23</w:t>
        </w:r>
      </w:hyperlink>
      <w:r>
        <w:t xml:space="preserve"> · </w:t>
      </w:r>
      <w:hyperlink r:id="rId35">
        <w:r>
          <w:rPr>
            <w:color w:val="2E74B5"/>
            <w:u w:val="single"/>
          </w:rPr>
          <w:t>S24</w:t>
        </w:r>
      </w:hyperlink>
      <w:r>
        <w:t xml:space="preserve"> · </w:t>
      </w:r>
      <w:hyperlink r:id="rId36">
        <w:r>
          <w:rPr>
            <w:color w:val="2E74B5"/>
            <w:u w:val="single"/>
          </w:rPr>
          <w:t>S25</w:t>
        </w:r>
      </w:hyperlink>
      <w:r>
        <w:t xml:space="preserve"> · </w:t>
      </w:r>
      <w:hyperlink r:id="rId37">
        <w:r>
          <w:rPr>
            <w:color w:val="2E74B5"/>
            <w:u w:val="single"/>
          </w:rPr>
          <w:t>S26</w:t>
        </w:r>
      </w:hyperlink>
      <w:r>
        <w:t xml:space="preserve"> · </w:t>
      </w:r>
      <w:hyperlink r:id="rId38">
        <w:r>
          <w:rPr>
            <w:color w:val="2E74B5"/>
            <w:u w:val="single"/>
          </w:rPr>
          <w:t>S27</w:t>
        </w:r>
      </w:hyperlink>
    </w:p>
    <w:p>
      <w:pPr/>
      <w:r>
        <w:t>Benchmark utama forecast adalah probabilitas pasar saat forecast dibuat, dengan penjelasan metode harga jika spread lebar; benchmark strategi adalah no-trade dan baseline aturan sederhana yang dibekukan. Jangan menilai model memakai closing price masa depan sebagai input. Label void/multivalue dievaluasi dengan scoring rule yang sesuai atau dikeluarkan sesuai aturan awal, bukan dipaksa menjadi biner setelah melihat hasil.</w:t>
      </w:r>
    </w:p>
    <w:p>
      <w:pPr/>
      <w:r>
        <w:t>Gate observasi awal: ≥30 hari dan ≥100 event resolved independen. Angka ini minimum administrasi eksperimen, bukan jaminan statistical power. G5 memerlukan lower bound CI 95% net edge &gt;0 setelah biaya serta sensitivitas, dengan metode/aturan penghentian yang dibekukan; tidak melakukan repeated peeking lalu berhenti pada hasil pertama yang menguntungkan. Jika hasil tidak tegas, lanjutkan PAPER atau hentikan eksperimen.</w:t>
      </w:r>
    </w:p>
    <w:p>
      <w:pPr>
        <w:pStyle w:val="Heading1"/>
      </w:pPr>
      <w:r>
        <w:t>B13. Verifikasi, traceability dan release gate</w:t>
      </w:r>
    </w:p>
    <w:p>
      <w:pPr/>
      <w:r>
        <w:t>Katalog berikut memetakan seluruh 53 requirement ke modul/desain dan satu skenario acceptance utama. Skenario adalah spesifikasi tes yang belum dijalankan. G1 mencakup kontrak/properti, G2 fault/security/recovery, G3 evaluasi prospektif; G4/G5 menambahkan bukti LIVE dan mandat. Setiap kegagalan P0 relevan menahan promosi.</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4800"/>
        <w:gridCol w:w="2220"/>
        <w:gridCol w:w="2340"/>
      </w:tblGrid>
      <w:tr>
        <w:trPr>
          <w:cantSplit/>
          <w:tblHeader/>
        </w:trPr>
        <w:tc>
          <w:tcPr>
            <w:tcW w:type="dxa" w:w="4800"/>
            <w:vAlign w:val="top"/>
            <w:shd w:fill="E8EEF5" w:val="clear"/>
          </w:tcPr>
          <w:p>
            <w:pPr>
              <w:pStyle w:val="TableText"/>
              <w:keepNext w:val="0"/>
              <w:keepLines/>
            </w:pPr>
            <w:r>
              <w:rPr>
                <w:b/>
              </w:rPr>
              <w:t>Kelompok / owner</w:t>
            </w:r>
          </w:p>
        </w:tc>
        <w:tc>
          <w:tcPr>
            <w:tcW w:type="dxa" w:w="2220"/>
            <w:vAlign w:val="top"/>
            <w:shd w:fill="E8EEF5" w:val="clear"/>
          </w:tcPr>
          <w:p>
            <w:pPr>
              <w:pStyle w:val="TableText"/>
              <w:keepNext w:val="0"/>
              <w:keepLines/>
            </w:pPr>
            <w:r>
              <w:rPr>
                <w:b/>
              </w:rPr>
              <w:t>Desain</w:t>
            </w:r>
          </w:p>
        </w:tc>
        <w:tc>
          <w:tcPr>
            <w:tcW w:type="dxa" w:w="2340"/>
            <w:vAlign w:val="top"/>
            <w:shd w:fill="E8EEF5" w:val="clear"/>
          </w:tcPr>
          <w:p>
            <w:pPr>
              <w:pStyle w:val="TableText"/>
              <w:keepNext w:val="0"/>
              <w:keepLines/>
            </w:pPr>
            <w:r>
              <w:rPr>
                <w:b/>
              </w:rPr>
              <w:t>Gate utama</w:t>
            </w:r>
          </w:p>
        </w:tc>
      </w:tr>
      <w:tr>
        <w:trPr>
          <w:cantSplit/>
        </w:trPr>
        <w:tc>
          <w:tcPr>
            <w:tcW w:type="dxa" w:w="4800"/>
            <w:vAlign w:val="top"/>
          </w:tcPr>
          <w:p>
            <w:pPr>
              <w:pStyle w:val="TableText"/>
              <w:keepNext w:val="0"/>
              <w:keepLines/>
            </w:pPr>
            <w:r>
              <w:rPr>
                <w:b w:val="0"/>
              </w:rPr>
              <w:t>GOV • Kendali produk / Control</w:t>
            </w:r>
          </w:p>
        </w:tc>
        <w:tc>
          <w:tcPr>
            <w:tcW w:type="dxa" w:w="2220"/>
            <w:vAlign w:val="top"/>
          </w:tcPr>
          <w:p>
            <w:pPr>
              <w:pStyle w:val="TableText"/>
              <w:keepNext w:val="0"/>
              <w:keepLines/>
            </w:pPr>
            <w:r>
              <w:rPr>
                <w:b w:val="0"/>
              </w:rPr>
              <w:t>B2, B9</w:t>
            </w:r>
          </w:p>
        </w:tc>
        <w:tc>
          <w:tcPr>
            <w:tcW w:type="dxa" w:w="2340"/>
            <w:vAlign w:val="top"/>
          </w:tcPr>
          <w:p>
            <w:pPr>
              <w:pStyle w:val="TableText"/>
              <w:keepNext w:val="0"/>
              <w:keepLines/>
            </w:pPr>
            <w:r>
              <w:rPr>
                <w:b w:val="0"/>
              </w:rPr>
              <w:t>G0–G2</w:t>
            </w:r>
          </w:p>
        </w:tc>
      </w:tr>
      <w:tr>
        <w:trPr>
          <w:cantSplit/>
        </w:trPr>
        <w:tc>
          <w:tcPr>
            <w:tcW w:type="dxa" w:w="4800"/>
            <w:vAlign w:val="top"/>
          </w:tcPr>
          <w:p>
            <w:pPr>
              <w:pStyle w:val="TableText"/>
              <w:keepNext w:val="0"/>
              <w:keepLines/>
            </w:pPr>
            <w:r>
              <w:rPr>
                <w:b w:val="0"/>
              </w:rPr>
              <w:t>DATA • Data dan identitas pasar / Data</w:t>
            </w:r>
          </w:p>
        </w:tc>
        <w:tc>
          <w:tcPr>
            <w:tcW w:type="dxa" w:w="2220"/>
            <w:vAlign w:val="top"/>
          </w:tcPr>
          <w:p>
            <w:pPr>
              <w:pStyle w:val="TableText"/>
              <w:keepNext w:val="0"/>
              <w:keepLines/>
            </w:pPr>
            <w:r>
              <w:rPr>
                <w:b w:val="0"/>
              </w:rPr>
              <w:t>B3</w:t>
            </w:r>
          </w:p>
        </w:tc>
        <w:tc>
          <w:tcPr>
            <w:tcW w:type="dxa" w:w="2340"/>
            <w:vAlign w:val="top"/>
          </w:tcPr>
          <w:p>
            <w:pPr>
              <w:pStyle w:val="TableText"/>
              <w:keepNext w:val="0"/>
              <w:keepLines/>
            </w:pPr>
            <w:r>
              <w:rPr>
                <w:b w:val="0"/>
              </w:rPr>
              <w:t>G1–G3</w:t>
            </w:r>
          </w:p>
        </w:tc>
      </w:tr>
      <w:tr>
        <w:trPr>
          <w:cantSplit/>
        </w:trPr>
        <w:tc>
          <w:tcPr>
            <w:tcW w:type="dxa" w:w="4800"/>
            <w:vAlign w:val="top"/>
          </w:tcPr>
          <w:p>
            <w:pPr>
              <w:pStyle w:val="TableText"/>
              <w:keepNext w:val="0"/>
              <w:keepLines/>
            </w:pPr>
            <w:r>
              <w:rPr>
                <w:b w:val="0"/>
              </w:rPr>
              <w:t>AI • Riset dan probabilitas / Intelligence</w:t>
            </w:r>
          </w:p>
        </w:tc>
        <w:tc>
          <w:tcPr>
            <w:tcW w:type="dxa" w:w="2220"/>
            <w:vAlign w:val="top"/>
          </w:tcPr>
          <w:p>
            <w:pPr>
              <w:pStyle w:val="TableText"/>
              <w:keepNext w:val="0"/>
              <w:keepLines/>
            </w:pPr>
            <w:r>
              <w:rPr>
                <w:b w:val="0"/>
              </w:rPr>
              <w:t>B3, B4</w:t>
            </w:r>
          </w:p>
        </w:tc>
        <w:tc>
          <w:tcPr>
            <w:tcW w:type="dxa" w:w="2340"/>
            <w:vAlign w:val="top"/>
          </w:tcPr>
          <w:p>
            <w:pPr>
              <w:pStyle w:val="TableText"/>
              <w:keepNext w:val="0"/>
              <w:keepLines/>
            </w:pPr>
            <w:r>
              <w:rPr>
                <w:b w:val="0"/>
              </w:rPr>
              <w:t>G1–G3</w:t>
            </w:r>
          </w:p>
        </w:tc>
      </w:tr>
      <w:tr>
        <w:trPr>
          <w:cantSplit/>
        </w:trPr>
        <w:tc>
          <w:tcPr>
            <w:tcW w:type="dxa" w:w="4800"/>
            <w:vAlign w:val="top"/>
          </w:tcPr>
          <w:p>
            <w:pPr>
              <w:pStyle w:val="TableText"/>
              <w:keepNext w:val="0"/>
              <w:keepLines/>
            </w:pPr>
            <w:r>
              <w:rPr>
                <w:b w:val="0"/>
              </w:rPr>
              <w:t>STR • Strategi dan seleksi / Strategy</w:t>
            </w:r>
          </w:p>
        </w:tc>
        <w:tc>
          <w:tcPr>
            <w:tcW w:type="dxa" w:w="2220"/>
            <w:vAlign w:val="top"/>
          </w:tcPr>
          <w:p>
            <w:pPr>
              <w:pStyle w:val="TableText"/>
              <w:keepNext w:val="0"/>
              <w:keepLines/>
            </w:pPr>
            <w:r>
              <w:rPr>
                <w:b w:val="0"/>
              </w:rPr>
              <w:t>B4, B12</w:t>
            </w:r>
          </w:p>
        </w:tc>
        <w:tc>
          <w:tcPr>
            <w:tcW w:type="dxa" w:w="2340"/>
            <w:vAlign w:val="top"/>
          </w:tcPr>
          <w:p>
            <w:pPr>
              <w:pStyle w:val="TableText"/>
              <w:keepNext w:val="0"/>
              <w:keepLines/>
            </w:pPr>
            <w:r>
              <w:rPr>
                <w:b w:val="0"/>
              </w:rPr>
              <w:t>G1, G3–G5</w:t>
            </w:r>
          </w:p>
        </w:tc>
      </w:tr>
      <w:tr>
        <w:trPr>
          <w:cantSplit/>
        </w:trPr>
        <w:tc>
          <w:tcPr>
            <w:tcW w:type="dxa" w:w="4800"/>
            <w:vAlign w:val="top"/>
          </w:tcPr>
          <w:p>
            <w:pPr>
              <w:pStyle w:val="TableText"/>
              <w:keepNext w:val="0"/>
              <w:keepLines/>
            </w:pPr>
            <w:r>
              <w:rPr>
                <w:b w:val="0"/>
              </w:rPr>
              <w:t>RISK • Modal dan pengendalian risiko / Risk</w:t>
            </w:r>
          </w:p>
        </w:tc>
        <w:tc>
          <w:tcPr>
            <w:tcW w:type="dxa" w:w="2220"/>
            <w:vAlign w:val="top"/>
          </w:tcPr>
          <w:p>
            <w:pPr>
              <w:pStyle w:val="TableText"/>
              <w:keepNext w:val="0"/>
              <w:keepLines/>
            </w:pPr>
            <w:r>
              <w:rPr>
                <w:b w:val="0"/>
              </w:rPr>
              <w:t>B5</w:t>
            </w:r>
          </w:p>
        </w:tc>
        <w:tc>
          <w:tcPr>
            <w:tcW w:type="dxa" w:w="2340"/>
            <w:vAlign w:val="top"/>
          </w:tcPr>
          <w:p>
            <w:pPr>
              <w:pStyle w:val="TableText"/>
              <w:keepNext w:val="0"/>
              <w:keepLines/>
            </w:pPr>
            <w:r>
              <w:rPr>
                <w:b w:val="0"/>
              </w:rPr>
              <w:t>G1–G2</w:t>
            </w:r>
          </w:p>
        </w:tc>
      </w:tr>
      <w:tr>
        <w:trPr>
          <w:cantSplit/>
        </w:trPr>
        <w:tc>
          <w:tcPr>
            <w:tcW w:type="dxa" w:w="4800"/>
            <w:vAlign w:val="top"/>
          </w:tcPr>
          <w:p>
            <w:pPr>
              <w:pStyle w:val="TableText"/>
              <w:keepNext w:val="0"/>
              <w:keepLines/>
            </w:pPr>
            <w:r>
              <w:rPr>
                <w:b w:val="0"/>
              </w:rPr>
              <w:t>EXE • Eksekusi dan lifecycle / Execution</w:t>
            </w:r>
          </w:p>
        </w:tc>
        <w:tc>
          <w:tcPr>
            <w:tcW w:type="dxa" w:w="2220"/>
            <w:vAlign w:val="top"/>
          </w:tcPr>
          <w:p>
            <w:pPr>
              <w:pStyle w:val="TableText"/>
              <w:keepNext w:val="0"/>
              <w:keepLines/>
            </w:pPr>
            <w:r>
              <w:rPr>
                <w:b w:val="0"/>
              </w:rPr>
              <w:t>B6, B7</w:t>
            </w:r>
          </w:p>
        </w:tc>
        <w:tc>
          <w:tcPr>
            <w:tcW w:type="dxa" w:w="2340"/>
            <w:vAlign w:val="top"/>
          </w:tcPr>
          <w:p>
            <w:pPr>
              <w:pStyle w:val="TableText"/>
              <w:keepNext w:val="0"/>
              <w:keepLines/>
            </w:pPr>
            <w:r>
              <w:rPr>
                <w:b w:val="0"/>
              </w:rPr>
              <w:t>G1–G2, G4</w:t>
            </w:r>
          </w:p>
        </w:tc>
      </w:tr>
      <w:tr>
        <w:trPr>
          <w:cantSplit/>
        </w:trPr>
        <w:tc>
          <w:tcPr>
            <w:tcW w:type="dxa" w:w="4800"/>
            <w:vAlign w:val="top"/>
          </w:tcPr>
          <w:p>
            <w:pPr>
              <w:pStyle w:val="TableText"/>
              <w:keepNext w:val="0"/>
              <w:keepLines/>
            </w:pPr>
            <w:r>
              <w:rPr>
                <w:b w:val="0"/>
              </w:rPr>
              <w:t>LED • Ledger dan rekonsiliasi / Ledger</w:t>
            </w:r>
          </w:p>
        </w:tc>
        <w:tc>
          <w:tcPr>
            <w:tcW w:type="dxa" w:w="2220"/>
            <w:vAlign w:val="top"/>
          </w:tcPr>
          <w:p>
            <w:pPr>
              <w:pStyle w:val="TableText"/>
              <w:keepNext w:val="0"/>
              <w:keepLines/>
            </w:pPr>
            <w:r>
              <w:rPr>
                <w:b w:val="0"/>
              </w:rPr>
              <w:t>B8</w:t>
            </w:r>
          </w:p>
        </w:tc>
        <w:tc>
          <w:tcPr>
            <w:tcW w:type="dxa" w:w="2340"/>
            <w:vAlign w:val="top"/>
          </w:tcPr>
          <w:p>
            <w:pPr>
              <w:pStyle w:val="TableText"/>
              <w:keepNext w:val="0"/>
              <w:keepLines/>
            </w:pPr>
            <w:r>
              <w:rPr>
                <w:b w:val="0"/>
              </w:rPr>
              <w:t>G1–G2, G4</w:t>
            </w:r>
          </w:p>
        </w:tc>
      </w:tr>
      <w:tr>
        <w:trPr>
          <w:cantSplit/>
        </w:trPr>
        <w:tc>
          <w:tcPr>
            <w:tcW w:type="dxa" w:w="4800"/>
            <w:vAlign w:val="top"/>
          </w:tcPr>
          <w:p>
            <w:pPr>
              <w:pStyle w:val="TableText"/>
              <w:keepNext w:val="0"/>
              <w:keepLines/>
            </w:pPr>
            <w:r>
              <w:rPr>
                <w:b w:val="0"/>
              </w:rPr>
              <w:t>OPS • Produk, keamanan, dan operasi / Operations</w:t>
            </w:r>
          </w:p>
        </w:tc>
        <w:tc>
          <w:tcPr>
            <w:tcW w:type="dxa" w:w="2220"/>
            <w:vAlign w:val="top"/>
          </w:tcPr>
          <w:p>
            <w:pPr>
              <w:pStyle w:val="TableText"/>
              <w:keepNext w:val="0"/>
              <w:keepLines/>
            </w:pPr>
            <w:r>
              <w:rPr>
                <w:b w:val="0"/>
              </w:rPr>
              <w:t>B9, B10, B11</w:t>
            </w:r>
          </w:p>
        </w:tc>
        <w:tc>
          <w:tcPr>
            <w:tcW w:type="dxa" w:w="2340"/>
            <w:vAlign w:val="top"/>
          </w:tcPr>
          <w:p>
            <w:pPr>
              <w:pStyle w:val="TableText"/>
              <w:keepNext w:val="0"/>
              <w:keepLines/>
            </w:pPr>
            <w:r>
              <w:rPr>
                <w:b w:val="0"/>
              </w:rPr>
              <w:t>G0–G2</w:t>
            </w:r>
          </w:p>
        </w:tc>
      </w:tr>
      <w:tr>
        <w:trPr>
          <w:cantSplit/>
        </w:trPr>
        <w:tc>
          <w:tcPr>
            <w:tcW w:type="dxa" w:w="4800"/>
            <w:vAlign w:val="top"/>
          </w:tcPr>
          <w:p>
            <w:pPr>
              <w:pStyle w:val="TableText"/>
              <w:keepNext w:val="0"/>
              <w:keepLines/>
            </w:pPr>
            <w:r>
              <w:rPr>
                <w:b w:val="0"/>
              </w:rPr>
              <w:t>VAL • Verifikasi dan kelulusan / Validation</w:t>
            </w:r>
          </w:p>
        </w:tc>
        <w:tc>
          <w:tcPr>
            <w:tcW w:type="dxa" w:w="2220"/>
            <w:vAlign w:val="top"/>
          </w:tcPr>
          <w:p>
            <w:pPr>
              <w:pStyle w:val="TableText"/>
              <w:keepNext w:val="0"/>
              <w:keepLines/>
            </w:pPr>
            <w:r>
              <w:rPr>
                <w:b w:val="0"/>
              </w:rPr>
              <w:t>B12, B13</w:t>
            </w:r>
          </w:p>
        </w:tc>
        <w:tc>
          <w:tcPr>
            <w:tcW w:type="dxa" w:w="2340"/>
            <w:vAlign w:val="top"/>
          </w:tcPr>
          <w:p>
            <w:pPr>
              <w:pStyle w:val="TableText"/>
              <w:keepNext w:val="0"/>
              <w:keepLines/>
            </w:pPr>
            <w:r>
              <w:rPr>
                <w:b w:val="0"/>
              </w:rPr>
              <w:t>G1–G5</w:t>
            </w:r>
          </w:p>
        </w:tc>
      </w:tr>
    </w:tbl>
    <w:p>
      <w:pPr>
        <w:spacing w:after="60" w:before="0" w:line="240" w:lineRule="auto"/>
      </w:pPr>
      <w:r>
        <w:rPr>
          <w:sz w:val="4"/>
        </w:rPr>
      </w:r>
    </w:p>
    <w:p>
      <w:pPr>
        <w:pStyle w:val="Heading2"/>
      </w:pPr>
      <w:r>
        <w:t>Acceptance • Kendali produk</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2280"/>
        <w:gridCol w:w="7080"/>
      </w:tblGrid>
      <w:tr>
        <w:trPr>
          <w:cantSplit/>
          <w:tblHeader/>
        </w:trPr>
        <w:tc>
          <w:tcPr>
            <w:tcW w:type="dxa" w:w="2280"/>
            <w:vAlign w:val="top"/>
            <w:shd w:fill="E8EEF5" w:val="clear"/>
          </w:tcPr>
          <w:p>
            <w:pPr>
              <w:pStyle w:val="TableText"/>
              <w:keepNext w:val="0"/>
              <w:keepLines/>
            </w:pPr>
            <w:r>
              <w:rPr>
                <w:b/>
              </w:rPr>
              <w:t>Test / requirement</w:t>
            </w:r>
          </w:p>
        </w:tc>
        <w:tc>
          <w:tcPr>
            <w:tcW w:type="dxa" w:w="7080"/>
            <w:vAlign w:val="top"/>
            <w:shd w:fill="E8EEF5" w:val="clear"/>
          </w:tcPr>
          <w:p>
            <w:pPr>
              <w:pStyle w:val="TableText"/>
              <w:keepNext w:val="0"/>
              <w:keepLines/>
            </w:pPr>
            <w:r>
              <w:rPr>
                <w:b/>
              </w:rPr>
              <w:t>Skenario → hasil yang wajib</w:t>
            </w:r>
          </w:p>
        </w:tc>
      </w:tr>
      <w:tr>
        <w:trPr>
          <w:cantSplit/>
        </w:trPr>
        <w:tc>
          <w:tcPr>
            <w:tcW w:type="dxa" w:w="2280"/>
            <w:vAlign w:val="top"/>
          </w:tcPr>
          <w:p>
            <w:pPr>
              <w:pStyle w:val="TableText"/>
              <w:keepNext w:val="0"/>
              <w:keepLines/>
            </w:pPr>
            <w:r>
              <w:rPr>
                <w:b w:val="0"/>
              </w:rPr>
              <w:t>T-PM-GOV-01</w:t>
              <w:br/>
              <w:t>P0</w:t>
            </w:r>
          </w:p>
        </w:tc>
        <w:tc>
          <w:tcPr>
            <w:tcW w:type="dxa" w:w="7080"/>
            <w:vAlign w:val="top"/>
          </w:tcPr>
          <w:p>
            <w:pPr>
              <w:pStyle w:val="TableText"/>
              <w:keepNext w:val="0"/>
              <w:keepLines/>
            </w:pPr>
            <w:r>
              <w:rPr>
                <w:b w:val="0"/>
              </w:rPr>
              <w:t>Ubah hash dependency; build rilis ditolak sampai manifest diperbarui.</w:t>
            </w:r>
          </w:p>
        </w:tc>
      </w:tr>
      <w:tr>
        <w:trPr>
          <w:cantSplit/>
        </w:trPr>
        <w:tc>
          <w:tcPr>
            <w:tcW w:type="dxa" w:w="2280"/>
            <w:vAlign w:val="top"/>
          </w:tcPr>
          <w:p>
            <w:pPr>
              <w:pStyle w:val="TableText"/>
              <w:keepNext w:val="0"/>
              <w:keepLines/>
            </w:pPr>
            <w:r>
              <w:rPr>
                <w:b w:val="0"/>
              </w:rPr>
              <w:t>T-PM-GOV-02</w:t>
              <w:br/>
              <w:t>P0</w:t>
            </w:r>
          </w:p>
        </w:tc>
        <w:tc>
          <w:tcPr>
            <w:tcW w:type="dxa" w:w="7080"/>
            <w:vAlign w:val="top"/>
          </w:tcPr>
          <w:p>
            <w:pPr>
              <w:pStyle w:val="TableText"/>
              <w:keepNext w:val="0"/>
              <w:keepLines/>
            </w:pPr>
            <w:r>
              <w:rPr>
                <w:b w:val="0"/>
              </w:rPr>
              <w:t>Unset atau salah ketik mode: tidak ada request order; UI menunjukkan PAPER atau konfigurasi tidak valid.</w:t>
            </w:r>
          </w:p>
        </w:tc>
      </w:tr>
      <w:tr>
        <w:trPr>
          <w:cantSplit/>
        </w:trPr>
        <w:tc>
          <w:tcPr>
            <w:tcW w:type="dxa" w:w="2280"/>
            <w:vAlign w:val="top"/>
          </w:tcPr>
          <w:p>
            <w:pPr>
              <w:pStyle w:val="TableText"/>
              <w:keepNext w:val="0"/>
              <w:keepLines/>
            </w:pPr>
            <w:r>
              <w:rPr>
                <w:b w:val="0"/>
              </w:rPr>
              <w:t>T-PM-GOV-03</w:t>
              <w:br/>
              <w:t>P0</w:t>
            </w:r>
          </w:p>
        </w:tc>
        <w:tc>
          <w:tcPr>
            <w:tcW w:type="dxa" w:w="7080"/>
            <w:vAlign w:val="top"/>
          </w:tcPr>
          <w:p>
            <w:pPr>
              <w:pStyle w:val="TableText"/>
              <w:keepNext w:val="0"/>
              <w:keepLines/>
            </w:pPr>
            <w:r>
              <w:rPr>
                <w:b w:val="0"/>
              </w:rPr>
              <w:t>Mandat kedaluwarsa atau hash policy berubah: order baru ditolak, cancel tetap tersedia.</w:t>
            </w:r>
          </w:p>
        </w:tc>
      </w:tr>
      <w:tr>
        <w:trPr>
          <w:cantSplit/>
        </w:trPr>
        <w:tc>
          <w:tcPr>
            <w:tcW w:type="dxa" w:w="2280"/>
            <w:vAlign w:val="top"/>
          </w:tcPr>
          <w:p>
            <w:pPr>
              <w:pStyle w:val="TableText"/>
              <w:keepNext w:val="0"/>
              <w:keepLines/>
            </w:pPr>
            <w:r>
              <w:rPr>
                <w:b w:val="0"/>
              </w:rPr>
              <w:t>T-PM-GOV-04</w:t>
              <w:br/>
              <w:t>P0</w:t>
            </w:r>
          </w:p>
        </w:tc>
        <w:tc>
          <w:tcPr>
            <w:tcW w:type="dxa" w:w="7080"/>
            <w:vAlign w:val="top"/>
          </w:tcPr>
          <w:p>
            <w:pPr>
              <w:pStyle w:val="TableText"/>
              <w:keepNext w:val="0"/>
              <w:keepLines/>
            </w:pPr>
            <w:r>
              <w:rPr>
                <w:b w:val="0"/>
              </w:rPr>
              <w:t>Status blocked atau kelayakan belum diketahui: LIVE tidak dapat diaktifkan; RESEARCH/PAPER tetap tersedia.</w:t>
            </w:r>
          </w:p>
        </w:tc>
      </w:tr>
      <w:tr>
        <w:trPr>
          <w:cantSplit/>
        </w:trPr>
        <w:tc>
          <w:tcPr>
            <w:tcW w:type="dxa" w:w="2280"/>
            <w:vAlign w:val="top"/>
          </w:tcPr>
          <w:p>
            <w:pPr>
              <w:pStyle w:val="TableText"/>
              <w:keepNext w:val="0"/>
              <w:keepLines/>
            </w:pPr>
            <w:r>
              <w:rPr>
                <w:b w:val="0"/>
              </w:rPr>
              <w:t>T-PM-GOV-05</w:t>
              <w:br/>
              <w:t>P0</w:t>
            </w:r>
          </w:p>
        </w:tc>
        <w:tc>
          <w:tcPr>
            <w:tcW w:type="dxa" w:w="7080"/>
            <w:vAlign w:val="top"/>
          </w:tcPr>
          <w:p>
            <w:pPr>
              <w:pStyle w:val="TableText"/>
              <w:keepNext w:val="0"/>
              <w:keepLines/>
            </w:pPr>
            <w:r>
              <w:rPr>
                <w:b w:val="0"/>
              </w:rPr>
              <w:t>Enumerasi tool dan route: tidak ada jalur aktif di luar allowlist yang dapat membuat efek finansial.</w:t>
            </w:r>
          </w:p>
        </w:tc>
      </w:tr>
    </w:tbl>
    <w:p>
      <w:pPr>
        <w:spacing w:after="60" w:before="0" w:line="240" w:lineRule="auto"/>
      </w:pPr>
      <w:r>
        <w:rPr>
          <w:sz w:val="4"/>
        </w:rPr>
      </w:r>
    </w:p>
    <w:p>
      <w:pPr>
        <w:pStyle w:val="Heading2"/>
      </w:pPr>
      <w:r>
        <w:t>Acceptance • Data dan identitas pasar</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2280"/>
        <w:gridCol w:w="7080"/>
      </w:tblGrid>
      <w:tr>
        <w:trPr>
          <w:cantSplit/>
          <w:tblHeader/>
        </w:trPr>
        <w:tc>
          <w:tcPr>
            <w:tcW w:type="dxa" w:w="2280"/>
            <w:vAlign w:val="top"/>
            <w:shd w:fill="E8EEF5" w:val="clear"/>
          </w:tcPr>
          <w:p>
            <w:pPr>
              <w:pStyle w:val="TableText"/>
              <w:keepNext w:val="0"/>
              <w:keepLines/>
            </w:pPr>
            <w:r>
              <w:rPr>
                <w:b/>
              </w:rPr>
              <w:t>Test / requirement</w:t>
            </w:r>
          </w:p>
        </w:tc>
        <w:tc>
          <w:tcPr>
            <w:tcW w:type="dxa" w:w="7080"/>
            <w:vAlign w:val="top"/>
            <w:shd w:fill="E8EEF5" w:val="clear"/>
          </w:tcPr>
          <w:p>
            <w:pPr>
              <w:pStyle w:val="TableText"/>
              <w:keepNext w:val="0"/>
              <w:keepLines/>
            </w:pPr>
            <w:r>
              <w:rPr>
                <w:b/>
              </w:rPr>
              <w:t>Skenario → hasil yang wajib</w:t>
            </w:r>
          </w:p>
        </w:tc>
      </w:tr>
      <w:tr>
        <w:trPr>
          <w:cantSplit/>
        </w:trPr>
        <w:tc>
          <w:tcPr>
            <w:tcW w:type="dxa" w:w="2280"/>
            <w:vAlign w:val="top"/>
          </w:tcPr>
          <w:p>
            <w:pPr>
              <w:pStyle w:val="TableText"/>
              <w:keepNext w:val="0"/>
              <w:keepLines/>
            </w:pPr>
            <w:r>
              <w:rPr>
                <w:b w:val="0"/>
              </w:rPr>
              <w:t>T-PM-DATA-01</w:t>
              <w:br/>
              <w:t>P0</w:t>
            </w:r>
          </w:p>
        </w:tc>
        <w:tc>
          <w:tcPr>
            <w:tcW w:type="dxa" w:w="7080"/>
            <w:vAlign w:val="top"/>
          </w:tcPr>
          <w:p>
            <w:pPr>
              <w:pStyle w:val="TableText"/>
              <w:keepNext w:val="0"/>
              <w:keepLines/>
            </w:pPr>
            <w:r>
              <w:rPr>
                <w:b w:val="0"/>
              </w:rPr>
              <w:t>Dua pasar berjudul sama dengan token berbeda tidak pernah dipetakan menjadi posisi yang sama.</w:t>
            </w:r>
          </w:p>
        </w:tc>
      </w:tr>
      <w:tr>
        <w:trPr>
          <w:cantSplit/>
        </w:trPr>
        <w:tc>
          <w:tcPr>
            <w:tcW w:type="dxa" w:w="2280"/>
            <w:vAlign w:val="top"/>
          </w:tcPr>
          <w:p>
            <w:pPr>
              <w:pStyle w:val="TableText"/>
              <w:keepNext w:val="0"/>
              <w:keepLines/>
            </w:pPr>
            <w:r>
              <w:rPr>
                <w:b w:val="0"/>
              </w:rPr>
              <w:t>T-PM-DATA-02</w:t>
              <w:br/>
              <w:t>P0</w:t>
            </w:r>
          </w:p>
        </w:tc>
        <w:tc>
          <w:tcPr>
            <w:tcW w:type="dxa" w:w="7080"/>
            <w:vAlign w:val="top"/>
          </w:tcPr>
          <w:p>
            <w:pPr>
              <w:pStyle w:val="TableText"/>
              <w:keepNext w:val="0"/>
              <w:keepLines/>
            </w:pPr>
            <w:r>
              <w:rPr>
                <w:b w:val="0"/>
              </w:rPr>
              <w:t>Ubah aturan setelah forecast: intent lama gagal RULES_CHANGED dan membutuhkan riset baru.</w:t>
            </w:r>
          </w:p>
        </w:tc>
      </w:tr>
      <w:tr>
        <w:trPr>
          <w:cantSplit/>
        </w:trPr>
        <w:tc>
          <w:tcPr>
            <w:tcW w:type="dxa" w:w="2280"/>
            <w:vAlign w:val="top"/>
          </w:tcPr>
          <w:p>
            <w:pPr>
              <w:pStyle w:val="TableText"/>
              <w:keepNext w:val="0"/>
              <w:keepLines/>
            </w:pPr>
            <w:r>
              <w:rPr>
                <w:b w:val="0"/>
              </w:rPr>
              <w:t>T-PM-DATA-03</w:t>
              <w:br/>
              <w:t>P0</w:t>
            </w:r>
          </w:p>
        </w:tc>
        <w:tc>
          <w:tcPr>
            <w:tcW w:type="dxa" w:w="7080"/>
            <w:vAlign w:val="top"/>
          </w:tcPr>
          <w:p>
            <w:pPr>
              <w:pStyle w:val="TableText"/>
              <w:keepNext w:val="0"/>
              <w:keepLines/>
            </w:pPr>
            <w:r>
              <w:rPr>
                <w:b w:val="0"/>
              </w:rPr>
              <w:t>Putus stream dan kirim delta terlambat: eksekusi berhenti sampai snapshot serta health lulus.</w:t>
            </w:r>
          </w:p>
        </w:tc>
      </w:tr>
      <w:tr>
        <w:trPr>
          <w:cantSplit/>
        </w:trPr>
        <w:tc>
          <w:tcPr>
            <w:tcW w:type="dxa" w:w="2280"/>
            <w:vAlign w:val="top"/>
          </w:tcPr>
          <w:p>
            <w:pPr>
              <w:pStyle w:val="TableText"/>
              <w:keepNext w:val="0"/>
              <w:keepLines/>
            </w:pPr>
            <w:r>
              <w:rPr>
                <w:b w:val="0"/>
              </w:rPr>
              <w:t>T-PM-DATA-04</w:t>
              <w:br/>
              <w:t>P0</w:t>
            </w:r>
          </w:p>
        </w:tc>
        <w:tc>
          <w:tcPr>
            <w:tcW w:type="dxa" w:w="7080"/>
            <w:vAlign w:val="top"/>
          </w:tcPr>
          <w:p>
            <w:pPr>
              <w:pStyle w:val="TableText"/>
              <w:keepNext w:val="0"/>
              <w:keepLines/>
            </w:pPr>
            <w:r>
              <w:rPr>
                <w:b w:val="0"/>
              </w:rPr>
              <w:t>Fee berubah sebelum submit: quote dihitung ulang; asumsi negRisk=fee tidak digunakan.</w:t>
            </w:r>
          </w:p>
        </w:tc>
      </w:tr>
      <w:tr>
        <w:trPr>
          <w:cantSplit/>
        </w:trPr>
        <w:tc>
          <w:tcPr>
            <w:tcW w:type="dxa" w:w="2280"/>
            <w:vAlign w:val="top"/>
          </w:tcPr>
          <w:p>
            <w:pPr>
              <w:pStyle w:val="TableText"/>
              <w:keepNext w:val="0"/>
              <w:keepLines/>
            </w:pPr>
            <w:r>
              <w:rPr>
                <w:b w:val="0"/>
              </w:rPr>
              <w:t>T-PM-DATA-05</w:t>
              <w:br/>
              <w:t>P0</w:t>
            </w:r>
          </w:p>
        </w:tc>
        <w:tc>
          <w:tcPr>
            <w:tcW w:type="dxa" w:w="7080"/>
            <w:vAlign w:val="top"/>
          </w:tcPr>
          <w:p>
            <w:pPr>
              <w:pStyle w:val="TableText"/>
              <w:keepNext w:val="0"/>
              <w:keepLines/>
            </w:pPr>
            <w:r>
              <w:rPr>
                <w:b w:val="0"/>
              </w:rPr>
              <w:t>Berita yang baru diambil setelah cutoff tidak masuk replay keputusan sebelum cutoff.</w:t>
            </w:r>
          </w:p>
        </w:tc>
      </w:tr>
      <w:tr>
        <w:trPr>
          <w:cantSplit/>
        </w:trPr>
        <w:tc>
          <w:tcPr>
            <w:tcW w:type="dxa" w:w="2280"/>
            <w:vAlign w:val="top"/>
          </w:tcPr>
          <w:p>
            <w:pPr>
              <w:pStyle w:val="TableText"/>
              <w:keepNext w:val="0"/>
              <w:keepLines/>
            </w:pPr>
            <w:r>
              <w:rPr>
                <w:b w:val="0"/>
              </w:rPr>
              <w:t>T-PM-DATA-06</w:t>
              <w:br/>
              <w:t>P0</w:t>
            </w:r>
          </w:p>
        </w:tc>
        <w:tc>
          <w:tcPr>
            <w:tcW w:type="dxa" w:w="7080"/>
            <w:vAlign w:val="top"/>
          </w:tcPr>
          <w:p>
            <w:pPr>
              <w:pStyle w:val="TableText"/>
              <w:keepNext w:val="0"/>
              <w:keepLines/>
            </w:pPr>
            <w:r>
              <w:rPr>
                <w:b w:val="0"/>
              </w:rPr>
              <w:t>Satu berita disalin tiga situs tetap satu keluarga sumber; missing price tidak menjadi harga nol.</w:t>
            </w:r>
          </w:p>
        </w:tc>
      </w:tr>
    </w:tbl>
    <w:p>
      <w:pPr>
        <w:spacing w:after="60" w:before="0" w:line="240" w:lineRule="auto"/>
      </w:pPr>
      <w:r>
        <w:rPr>
          <w:sz w:val="4"/>
        </w:rPr>
      </w:r>
    </w:p>
    <w:p>
      <w:pPr>
        <w:pStyle w:val="Heading2"/>
      </w:pPr>
      <w:r>
        <w:t>Acceptance • Riset dan probabilitas</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2280"/>
        <w:gridCol w:w="7080"/>
      </w:tblGrid>
      <w:tr>
        <w:trPr>
          <w:cantSplit/>
          <w:tblHeader/>
        </w:trPr>
        <w:tc>
          <w:tcPr>
            <w:tcW w:type="dxa" w:w="2280"/>
            <w:vAlign w:val="top"/>
            <w:shd w:fill="E8EEF5" w:val="clear"/>
          </w:tcPr>
          <w:p>
            <w:pPr>
              <w:pStyle w:val="TableText"/>
              <w:keepNext w:val="0"/>
              <w:keepLines/>
            </w:pPr>
            <w:r>
              <w:rPr>
                <w:b/>
              </w:rPr>
              <w:t>Test / requirement</w:t>
            </w:r>
          </w:p>
        </w:tc>
        <w:tc>
          <w:tcPr>
            <w:tcW w:type="dxa" w:w="7080"/>
            <w:vAlign w:val="top"/>
            <w:shd w:fill="E8EEF5" w:val="clear"/>
          </w:tcPr>
          <w:p>
            <w:pPr>
              <w:pStyle w:val="TableText"/>
              <w:keepNext w:val="0"/>
              <w:keepLines/>
            </w:pPr>
            <w:r>
              <w:rPr>
                <w:b/>
              </w:rPr>
              <w:t>Skenario → hasil yang wajib</w:t>
            </w:r>
          </w:p>
        </w:tc>
      </w:tr>
      <w:tr>
        <w:trPr>
          <w:cantSplit/>
        </w:trPr>
        <w:tc>
          <w:tcPr>
            <w:tcW w:type="dxa" w:w="2280"/>
            <w:vAlign w:val="top"/>
          </w:tcPr>
          <w:p>
            <w:pPr>
              <w:pStyle w:val="TableText"/>
              <w:keepNext w:val="0"/>
              <w:keepLines/>
            </w:pPr>
            <w:r>
              <w:rPr>
                <w:b w:val="0"/>
              </w:rPr>
              <w:t>T-PM-AI-01</w:t>
              <w:br/>
              <w:t>P0</w:t>
            </w:r>
          </w:p>
        </w:tc>
        <w:tc>
          <w:tcPr>
            <w:tcW w:type="dxa" w:w="7080"/>
            <w:vAlign w:val="top"/>
          </w:tcPr>
          <w:p>
            <w:pPr>
              <w:pStyle w:val="TableText"/>
              <w:keepNext w:val="0"/>
              <w:keepLines/>
            </w:pPr>
            <w:r>
              <w:rPr>
                <w:b w:val="0"/>
              </w:rPr>
              <w:t>JSON rusak, p di luar [0,1], atau evidence tidak ada: REJECT_FORECAST tanpa order.</w:t>
            </w:r>
          </w:p>
        </w:tc>
      </w:tr>
      <w:tr>
        <w:trPr>
          <w:cantSplit/>
        </w:trPr>
        <w:tc>
          <w:tcPr>
            <w:tcW w:type="dxa" w:w="2280"/>
            <w:vAlign w:val="top"/>
          </w:tcPr>
          <w:p>
            <w:pPr>
              <w:pStyle w:val="TableText"/>
              <w:keepNext w:val="0"/>
              <w:keepLines/>
            </w:pPr>
            <w:r>
              <w:rPr>
                <w:b w:val="0"/>
              </w:rPr>
              <w:t>T-PM-AI-02</w:t>
              <w:br/>
              <w:t>P0</w:t>
            </w:r>
          </w:p>
        </w:tc>
        <w:tc>
          <w:tcPr>
            <w:tcW w:type="dxa" w:w="7080"/>
            <w:vAlign w:val="top"/>
          </w:tcPr>
          <w:p>
            <w:pPr>
              <w:pStyle w:val="TableText"/>
              <w:keepNext w:val="0"/>
              <w:keepLines/>
            </w:pPr>
            <w:r>
              <w:rPr>
                <w:b w:val="0"/>
              </w:rPr>
              <w:t>Endpoint base URL dengan /v1 tidak menghasilkan /v1/v1; tool/result dan usage diuji per provider.</w:t>
            </w:r>
          </w:p>
        </w:tc>
      </w:tr>
      <w:tr>
        <w:trPr>
          <w:cantSplit/>
        </w:trPr>
        <w:tc>
          <w:tcPr>
            <w:tcW w:type="dxa" w:w="2280"/>
            <w:vAlign w:val="top"/>
          </w:tcPr>
          <w:p>
            <w:pPr>
              <w:pStyle w:val="TableText"/>
              <w:keepNext w:val="0"/>
              <w:keepLines/>
            </w:pPr>
            <w:r>
              <w:rPr>
                <w:b w:val="0"/>
              </w:rPr>
              <w:t>T-PM-AI-03</w:t>
              <w:br/>
              <w:t>P0</w:t>
            </w:r>
          </w:p>
        </w:tc>
        <w:tc>
          <w:tcPr>
            <w:tcW w:type="dxa" w:w="7080"/>
            <w:vAlign w:val="top"/>
          </w:tcPr>
          <w:p>
            <w:pPr>
              <w:pStyle w:val="TableText"/>
              <w:keepNext w:val="0"/>
              <w:keepLines/>
            </w:pPr>
            <w:r>
              <w:rPr>
                <w:b w:val="0"/>
              </w:rPr>
              <w:t>Model berubah: skor evaluasi dipisah, calibrator lama tidak otomatis dipakai.</w:t>
            </w:r>
          </w:p>
        </w:tc>
      </w:tr>
      <w:tr>
        <w:trPr>
          <w:cantSplit/>
        </w:trPr>
        <w:tc>
          <w:tcPr>
            <w:tcW w:type="dxa" w:w="2280"/>
            <w:vAlign w:val="top"/>
          </w:tcPr>
          <w:p>
            <w:pPr>
              <w:pStyle w:val="TableText"/>
              <w:keepNext w:val="0"/>
              <w:keepLines/>
            </w:pPr>
            <w:r>
              <w:rPr>
                <w:b w:val="0"/>
              </w:rPr>
              <w:t>T-PM-AI-04</w:t>
              <w:br/>
              <w:t>P0</w:t>
            </w:r>
          </w:p>
        </w:tc>
        <w:tc>
          <w:tcPr>
            <w:tcW w:type="dxa" w:w="7080"/>
            <w:vAlign w:val="top"/>
          </w:tcPr>
          <w:p>
            <w:pPr>
              <w:pStyle w:val="TableText"/>
              <w:keepNext w:val="0"/>
              <w:keepLines/>
            </w:pPr>
            <w:r>
              <w:rPr>
                <w:b w:val="0"/>
              </w:rPr>
              <w:t>Dokumen berisi instruksi transfer dan bocorkan key gagal memicu tool atau perubahan policy.</w:t>
            </w:r>
          </w:p>
        </w:tc>
      </w:tr>
      <w:tr>
        <w:trPr>
          <w:cantSplit/>
        </w:trPr>
        <w:tc>
          <w:tcPr>
            <w:tcW w:type="dxa" w:w="2280"/>
            <w:vAlign w:val="top"/>
          </w:tcPr>
          <w:p>
            <w:pPr>
              <w:pStyle w:val="TableText"/>
              <w:keepNext w:val="0"/>
              <w:keepLines/>
            </w:pPr>
            <w:r>
              <w:rPr>
                <w:b w:val="0"/>
              </w:rPr>
              <w:t>T-PM-AI-05</w:t>
              <w:br/>
              <w:t>P0</w:t>
            </w:r>
          </w:p>
        </w:tc>
        <w:tc>
          <w:tcPr>
            <w:tcW w:type="dxa" w:w="7080"/>
            <w:vAlign w:val="top"/>
          </w:tcPr>
          <w:p>
            <w:pPr>
              <w:pStyle w:val="TableText"/>
              <w:keepNext w:val="0"/>
              <w:keepLines/>
            </w:pPr>
            <w:r>
              <w:rPr>
                <w:b w:val="0"/>
              </w:rPr>
              <w:t>Quota LLM habis: tak ada entry baru dari forecast kedaluwarsa, rekonsiliasi dan cancel tetap hidup.</w:t>
            </w:r>
          </w:p>
        </w:tc>
      </w:tr>
      <w:tr>
        <w:trPr>
          <w:cantSplit/>
        </w:trPr>
        <w:tc>
          <w:tcPr>
            <w:tcW w:type="dxa" w:w="2280"/>
            <w:vAlign w:val="top"/>
          </w:tcPr>
          <w:p>
            <w:pPr>
              <w:pStyle w:val="TableText"/>
              <w:keepNext w:val="0"/>
              <w:keepLines/>
            </w:pPr>
            <w:r>
              <w:rPr>
                <w:b w:val="0"/>
              </w:rPr>
              <w:t>T-PM-AI-06</w:t>
              <w:br/>
              <w:t>P1</w:t>
            </w:r>
          </w:p>
        </w:tc>
        <w:tc>
          <w:tcPr>
            <w:tcW w:type="dxa" w:w="7080"/>
            <w:vAlign w:val="top"/>
          </w:tcPr>
          <w:p>
            <w:pPr>
              <w:pStyle w:val="TableText"/>
              <w:keepNext w:val="0"/>
              <w:keepLines/>
            </w:pPr>
            <w:r>
              <w:rPr>
                <w:b w:val="0"/>
              </w:rPr>
              <w:t>Pengguna membuka trade historis dan menemukan input snapshot, sumber, policy, serta alasan keputusan yang sama.</w:t>
            </w:r>
          </w:p>
        </w:tc>
      </w:tr>
    </w:tbl>
    <w:p>
      <w:pPr>
        <w:spacing w:after="60" w:before="0" w:line="240" w:lineRule="auto"/>
      </w:pPr>
      <w:r>
        <w:rPr>
          <w:sz w:val="4"/>
        </w:rPr>
      </w:r>
    </w:p>
    <w:p>
      <w:pPr>
        <w:pStyle w:val="Heading2"/>
      </w:pPr>
      <w:r>
        <w:t>Acceptance • Strategi dan seleksi</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2280"/>
        <w:gridCol w:w="7080"/>
      </w:tblGrid>
      <w:tr>
        <w:trPr>
          <w:cantSplit/>
          <w:tblHeader/>
        </w:trPr>
        <w:tc>
          <w:tcPr>
            <w:tcW w:type="dxa" w:w="2280"/>
            <w:vAlign w:val="top"/>
            <w:shd w:fill="E8EEF5" w:val="clear"/>
          </w:tcPr>
          <w:p>
            <w:pPr>
              <w:pStyle w:val="TableText"/>
              <w:keepNext w:val="0"/>
              <w:keepLines/>
            </w:pPr>
            <w:r>
              <w:rPr>
                <w:b/>
              </w:rPr>
              <w:t>Test / requirement</w:t>
            </w:r>
          </w:p>
        </w:tc>
        <w:tc>
          <w:tcPr>
            <w:tcW w:type="dxa" w:w="7080"/>
            <w:vAlign w:val="top"/>
            <w:shd w:fill="E8EEF5" w:val="clear"/>
          </w:tcPr>
          <w:p>
            <w:pPr>
              <w:pStyle w:val="TableText"/>
              <w:keepNext w:val="0"/>
              <w:keepLines/>
            </w:pPr>
            <w:r>
              <w:rPr>
                <w:b/>
              </w:rPr>
              <w:t>Skenario → hasil yang wajib</w:t>
            </w:r>
          </w:p>
        </w:tc>
      </w:tr>
      <w:tr>
        <w:trPr>
          <w:cantSplit/>
        </w:trPr>
        <w:tc>
          <w:tcPr>
            <w:tcW w:type="dxa" w:w="2280"/>
            <w:vAlign w:val="top"/>
          </w:tcPr>
          <w:p>
            <w:pPr>
              <w:pStyle w:val="TableText"/>
              <w:keepNext w:val="0"/>
              <w:keepLines/>
            </w:pPr>
            <w:r>
              <w:rPr>
                <w:b w:val="0"/>
              </w:rPr>
              <w:t>T-PM-STR-01</w:t>
              <w:br/>
              <w:t>P0</w:t>
            </w:r>
          </w:p>
        </w:tc>
        <w:tc>
          <w:tcPr>
            <w:tcW w:type="dxa" w:w="7080"/>
            <w:vAlign w:val="top"/>
          </w:tcPr>
          <w:p>
            <w:pPr>
              <w:pStyle w:val="TableText"/>
              <w:keepNext w:val="0"/>
              <w:keepLines/>
            </w:pPr>
            <w:r>
              <w:rPr>
                <w:b w:val="0"/>
              </w:rPr>
              <w:t>Manifest plugin menolak strategi yang belum berstatus eligible pada gate rilis.</w:t>
            </w:r>
          </w:p>
        </w:tc>
      </w:tr>
      <w:tr>
        <w:trPr>
          <w:cantSplit/>
        </w:trPr>
        <w:tc>
          <w:tcPr>
            <w:tcW w:type="dxa" w:w="2280"/>
            <w:vAlign w:val="top"/>
          </w:tcPr>
          <w:p>
            <w:pPr>
              <w:pStyle w:val="TableText"/>
              <w:keepNext w:val="0"/>
              <w:keepLines/>
            </w:pPr>
            <w:r>
              <w:rPr>
                <w:b w:val="0"/>
              </w:rPr>
              <w:t>T-PM-STR-02</w:t>
              <w:br/>
              <w:t>P0</w:t>
            </w:r>
          </w:p>
        </w:tc>
        <w:tc>
          <w:tcPr>
            <w:tcW w:type="dxa" w:w="7080"/>
            <w:vAlign w:val="top"/>
          </w:tcPr>
          <w:p>
            <w:pPr>
              <w:pStyle w:val="TableText"/>
              <w:keepNext w:val="0"/>
              <w:keepLines/>
            </w:pPr>
            <w:r>
              <w:rPr>
                <w:b w:val="0"/>
              </w:rPr>
              <w:t>Peluang positif sebelum biaya tetapi negatif setelah biaya menghasilkan NO_TRADE.</w:t>
            </w:r>
          </w:p>
        </w:tc>
      </w:tr>
      <w:tr>
        <w:trPr>
          <w:cantSplit/>
        </w:trPr>
        <w:tc>
          <w:tcPr>
            <w:tcW w:type="dxa" w:w="2280"/>
            <w:vAlign w:val="top"/>
          </w:tcPr>
          <w:p>
            <w:pPr>
              <w:pStyle w:val="TableText"/>
              <w:keepNext w:val="0"/>
              <w:keepLines/>
            </w:pPr>
            <w:r>
              <w:rPr>
                <w:b w:val="0"/>
              </w:rPr>
              <w:t>T-PM-STR-03</w:t>
              <w:br/>
              <w:t>P0</w:t>
            </w:r>
          </w:p>
        </w:tc>
        <w:tc>
          <w:tcPr>
            <w:tcW w:type="dxa" w:w="7080"/>
            <w:vAlign w:val="top"/>
          </w:tcPr>
          <w:p>
            <w:pPr>
              <w:pStyle w:val="TableText"/>
              <w:keepNext w:val="0"/>
              <w:keepLines/>
            </w:pPr>
            <w:r>
              <w:rPr>
                <w:b w:val="0"/>
              </w:rPr>
              <w:t>Mengubah threshold saat holdout berlangsung membuat experiment_id baru dan tidak menimpa hasil lama.</w:t>
            </w:r>
          </w:p>
        </w:tc>
      </w:tr>
      <w:tr>
        <w:trPr>
          <w:cantSplit/>
        </w:trPr>
        <w:tc>
          <w:tcPr>
            <w:tcW w:type="dxa" w:w="2280"/>
            <w:vAlign w:val="top"/>
          </w:tcPr>
          <w:p>
            <w:pPr>
              <w:pStyle w:val="TableText"/>
              <w:keepNext w:val="0"/>
              <w:keepLines/>
            </w:pPr>
            <w:r>
              <w:rPr>
                <w:b w:val="0"/>
              </w:rPr>
              <w:t>T-PM-STR-04</w:t>
              <w:br/>
              <w:t>P1</w:t>
            </w:r>
          </w:p>
        </w:tc>
        <w:tc>
          <w:tcPr>
            <w:tcW w:type="dxa" w:w="7080"/>
            <w:vAlign w:val="top"/>
          </w:tcPr>
          <w:p>
            <w:pPr>
              <w:pStyle w:val="TableText"/>
              <w:keepNext w:val="0"/>
              <w:keepLines/>
            </w:pPr>
            <w:r>
              <w:rPr>
                <w:b w:val="0"/>
              </w:rPr>
              <w:t>Plugin baru dapat diuji PAPER tanpa memperoleh signing capability.</w:t>
            </w:r>
          </w:p>
        </w:tc>
      </w:tr>
    </w:tbl>
    <w:p>
      <w:pPr>
        <w:spacing w:after="60" w:before="0" w:line="240" w:lineRule="auto"/>
      </w:pPr>
      <w:r>
        <w:rPr>
          <w:sz w:val="4"/>
        </w:rPr>
      </w:r>
    </w:p>
    <w:p>
      <w:pPr>
        <w:pStyle w:val="Heading2"/>
      </w:pPr>
      <w:r>
        <w:t>Acceptance • Modal dan pengendalian risiko</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2280"/>
        <w:gridCol w:w="7080"/>
      </w:tblGrid>
      <w:tr>
        <w:trPr>
          <w:cantSplit/>
          <w:tblHeader/>
        </w:trPr>
        <w:tc>
          <w:tcPr>
            <w:tcW w:type="dxa" w:w="2280"/>
            <w:vAlign w:val="top"/>
            <w:shd w:fill="E8EEF5" w:val="clear"/>
          </w:tcPr>
          <w:p>
            <w:pPr>
              <w:pStyle w:val="TableText"/>
              <w:keepNext w:val="0"/>
              <w:keepLines/>
            </w:pPr>
            <w:r>
              <w:rPr>
                <w:b/>
              </w:rPr>
              <w:t>Test / requirement</w:t>
            </w:r>
          </w:p>
        </w:tc>
        <w:tc>
          <w:tcPr>
            <w:tcW w:type="dxa" w:w="7080"/>
            <w:vAlign w:val="top"/>
            <w:shd w:fill="E8EEF5" w:val="clear"/>
          </w:tcPr>
          <w:p>
            <w:pPr>
              <w:pStyle w:val="TableText"/>
              <w:keepNext w:val="0"/>
              <w:keepLines/>
            </w:pPr>
            <w:r>
              <w:rPr>
                <w:b/>
              </w:rPr>
              <w:t>Skenario → hasil yang wajib</w:t>
            </w:r>
          </w:p>
        </w:tc>
      </w:tr>
      <w:tr>
        <w:trPr>
          <w:cantSplit/>
        </w:trPr>
        <w:tc>
          <w:tcPr>
            <w:tcW w:type="dxa" w:w="2280"/>
            <w:vAlign w:val="top"/>
          </w:tcPr>
          <w:p>
            <w:pPr>
              <w:pStyle w:val="TableText"/>
              <w:keepNext w:val="0"/>
              <w:keepLines/>
            </w:pPr>
            <w:r>
              <w:rPr>
                <w:b w:val="0"/>
              </w:rPr>
              <w:t>T-PM-RISK-01</w:t>
              <w:br/>
              <w:t>P0</w:t>
            </w:r>
          </w:p>
        </w:tc>
        <w:tc>
          <w:tcPr>
            <w:tcW w:type="dxa" w:w="7080"/>
            <w:vAlign w:val="top"/>
          </w:tcPr>
          <w:p>
            <w:pPr>
              <w:pStyle w:val="TableText"/>
              <w:keepNext w:val="0"/>
              <w:keepLines/>
            </w:pPr>
            <w:r>
              <w:rPr>
                <w:b w:val="0"/>
              </w:rPr>
              <w:t>Dua intent paralel yang bersama melewati batas: paling banyak satu lolos reservasi.</w:t>
            </w:r>
          </w:p>
        </w:tc>
      </w:tr>
      <w:tr>
        <w:trPr>
          <w:cantSplit/>
        </w:trPr>
        <w:tc>
          <w:tcPr>
            <w:tcW w:type="dxa" w:w="2280"/>
            <w:vAlign w:val="top"/>
          </w:tcPr>
          <w:p>
            <w:pPr>
              <w:pStyle w:val="TableText"/>
              <w:keepNext w:val="0"/>
              <w:keepLines/>
            </w:pPr>
            <w:r>
              <w:rPr>
                <w:b w:val="0"/>
              </w:rPr>
              <w:t>T-PM-RISK-02</w:t>
              <w:br/>
              <w:t>P0</w:t>
            </w:r>
          </w:p>
        </w:tc>
        <w:tc>
          <w:tcPr>
            <w:tcW w:type="dxa" w:w="7080"/>
            <w:vAlign w:val="top"/>
          </w:tcPr>
          <w:p>
            <w:pPr>
              <w:pStyle w:val="TableText"/>
              <w:keepNext w:val="0"/>
              <w:keepLines/>
            </w:pPr>
            <w:r>
              <w:rPr>
                <w:b w:val="0"/>
              </w:rPr>
              <w:t>Timeout submit lalu retry worker tidak menciptakan kapasitas kas semu atau order ganda.</w:t>
            </w:r>
          </w:p>
        </w:tc>
      </w:tr>
      <w:tr>
        <w:trPr>
          <w:cantSplit/>
        </w:trPr>
        <w:tc>
          <w:tcPr>
            <w:tcW w:type="dxa" w:w="2280"/>
            <w:vAlign w:val="top"/>
          </w:tcPr>
          <w:p>
            <w:pPr>
              <w:pStyle w:val="TableText"/>
              <w:keepNext w:val="0"/>
              <w:keepLines/>
            </w:pPr>
            <w:r>
              <w:rPr>
                <w:b w:val="0"/>
              </w:rPr>
              <w:t>T-PM-RISK-03</w:t>
              <w:br/>
              <w:t>P0</w:t>
            </w:r>
          </w:p>
        </w:tc>
        <w:tc>
          <w:tcPr>
            <w:tcW w:type="dxa" w:w="7080"/>
            <w:vAlign w:val="top"/>
          </w:tcPr>
          <w:p>
            <w:pPr>
              <w:pStyle w:val="TableText"/>
              <w:keepNext w:val="0"/>
              <w:keepLines/>
            </w:pPr>
            <w:r>
              <w:rPr>
                <w:b w:val="0"/>
              </w:rPr>
              <w:t>Deposit tidak menghapus kerugian; restart tidak menghapus breach yang tersimpan.</w:t>
            </w:r>
          </w:p>
        </w:tc>
      </w:tr>
      <w:tr>
        <w:trPr>
          <w:cantSplit/>
        </w:trPr>
        <w:tc>
          <w:tcPr>
            <w:tcW w:type="dxa" w:w="2280"/>
            <w:vAlign w:val="top"/>
          </w:tcPr>
          <w:p>
            <w:pPr>
              <w:pStyle w:val="TableText"/>
              <w:keepNext w:val="0"/>
              <w:keepLines/>
            </w:pPr>
            <w:r>
              <w:rPr>
                <w:b w:val="0"/>
              </w:rPr>
              <w:t>T-PM-RISK-04</w:t>
              <w:br/>
              <w:t>P0</w:t>
            </w:r>
          </w:p>
        </w:tc>
        <w:tc>
          <w:tcPr>
            <w:tcW w:type="dxa" w:w="7080"/>
            <w:vAlign w:val="top"/>
          </w:tcPr>
          <w:p>
            <w:pPr>
              <w:pStyle w:val="TableText"/>
              <w:keepNext w:val="0"/>
              <w:keepLines/>
            </w:pPr>
            <w:r>
              <w:rPr>
                <w:b w:val="0"/>
              </w:rPr>
              <w:t>Ukuran aman di bawah min_size tidak dinaikkan otomatis agar order terkirim.</w:t>
            </w:r>
          </w:p>
        </w:tc>
      </w:tr>
      <w:tr>
        <w:trPr>
          <w:cantSplit/>
        </w:trPr>
        <w:tc>
          <w:tcPr>
            <w:tcW w:type="dxa" w:w="2280"/>
            <w:vAlign w:val="top"/>
          </w:tcPr>
          <w:p>
            <w:pPr>
              <w:pStyle w:val="TableText"/>
              <w:keepNext w:val="0"/>
              <w:keepLines/>
            </w:pPr>
            <w:r>
              <w:rPr>
                <w:b w:val="0"/>
              </w:rPr>
              <w:t>T-PM-RISK-05</w:t>
              <w:br/>
              <w:t>P0</w:t>
            </w:r>
          </w:p>
        </w:tc>
        <w:tc>
          <w:tcPr>
            <w:tcW w:type="dxa" w:w="7080"/>
            <w:vAlign w:val="top"/>
          </w:tcPr>
          <w:p>
            <w:pPr>
              <w:pStyle w:val="TableText"/>
              <w:keepNext w:val="0"/>
              <w:keepLines/>
            </w:pPr>
            <w:r>
              <w:rPr>
                <w:b w:val="0"/>
              </w:rPr>
              <w:t>Kill switch memblokir intent antre dan worker baru; kegagalan cancel terlihat dan tidak dilaporkan berhasil.</w:t>
            </w:r>
          </w:p>
        </w:tc>
      </w:tr>
      <w:tr>
        <w:trPr>
          <w:cantSplit/>
        </w:trPr>
        <w:tc>
          <w:tcPr>
            <w:tcW w:type="dxa" w:w="2280"/>
            <w:vAlign w:val="top"/>
          </w:tcPr>
          <w:p>
            <w:pPr>
              <w:pStyle w:val="TableText"/>
              <w:keepNext w:val="0"/>
              <w:keepLines/>
            </w:pPr>
            <w:r>
              <w:rPr>
                <w:b w:val="0"/>
              </w:rPr>
              <w:t>T-PM-RISK-06</w:t>
              <w:br/>
              <w:t>P0</w:t>
            </w:r>
          </w:p>
        </w:tc>
        <w:tc>
          <w:tcPr>
            <w:tcW w:type="dxa" w:w="7080"/>
            <w:vAlign w:val="top"/>
          </w:tcPr>
          <w:p>
            <w:pPr>
              <w:pStyle w:val="TableText"/>
              <w:keepNext w:val="0"/>
              <w:keepLines/>
            </w:pPr>
            <w:r>
              <w:rPr>
                <w:b w:val="0"/>
              </w:rPr>
              <w:t>SELL melebihi shares bebas ditolak; cancel yang belum pasti tidak membebaskan shares.</w:t>
            </w:r>
          </w:p>
        </w:tc>
      </w:tr>
      <w:tr>
        <w:trPr>
          <w:cantSplit/>
        </w:trPr>
        <w:tc>
          <w:tcPr>
            <w:tcW w:type="dxa" w:w="2280"/>
            <w:vAlign w:val="top"/>
          </w:tcPr>
          <w:p>
            <w:pPr>
              <w:pStyle w:val="TableText"/>
              <w:keepNext w:val="0"/>
              <w:keepLines/>
            </w:pPr>
            <w:r>
              <w:rPr>
                <w:b w:val="0"/>
              </w:rPr>
              <w:t>T-PM-RISK-07</w:t>
              <w:br/>
              <w:t>P0</w:t>
            </w:r>
          </w:p>
        </w:tc>
        <w:tc>
          <w:tcPr>
            <w:tcW w:type="dxa" w:w="7080"/>
            <w:vAlign w:val="top"/>
          </w:tcPr>
          <w:p>
            <w:pPr>
              <w:pStyle w:val="TableText"/>
              <w:keepNext w:val="0"/>
              <w:keepLines/>
            </w:pPr>
            <w:r>
              <w:rPr>
                <w:b w:val="0"/>
              </w:rPr>
              <w:t>Prompt atau tool call yang mencoba mengubah risk policy ditolak dan dicatat.</w:t>
            </w:r>
          </w:p>
        </w:tc>
      </w:tr>
    </w:tbl>
    <w:p>
      <w:pPr>
        <w:spacing w:after="60" w:before="0" w:line="240" w:lineRule="auto"/>
      </w:pPr>
      <w:r>
        <w:rPr>
          <w:sz w:val="4"/>
        </w:rPr>
      </w:r>
    </w:p>
    <w:p>
      <w:pPr>
        <w:pStyle w:val="Heading2"/>
      </w:pPr>
      <w:r>
        <w:t>Acceptance • Eksekusi dan lifecycle</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2280"/>
        <w:gridCol w:w="7080"/>
      </w:tblGrid>
      <w:tr>
        <w:trPr>
          <w:cantSplit/>
          <w:tblHeader/>
        </w:trPr>
        <w:tc>
          <w:tcPr>
            <w:tcW w:type="dxa" w:w="2280"/>
            <w:vAlign w:val="top"/>
            <w:shd w:fill="E8EEF5" w:val="clear"/>
          </w:tcPr>
          <w:p>
            <w:pPr>
              <w:pStyle w:val="TableText"/>
              <w:keepNext w:val="0"/>
              <w:keepLines/>
            </w:pPr>
            <w:r>
              <w:rPr>
                <w:b/>
              </w:rPr>
              <w:t>Test / requirement</w:t>
            </w:r>
          </w:p>
        </w:tc>
        <w:tc>
          <w:tcPr>
            <w:tcW w:type="dxa" w:w="7080"/>
            <w:vAlign w:val="top"/>
            <w:shd w:fill="E8EEF5" w:val="clear"/>
          </w:tcPr>
          <w:p>
            <w:pPr>
              <w:pStyle w:val="TableText"/>
              <w:keepNext w:val="0"/>
              <w:keepLines/>
            </w:pPr>
            <w:r>
              <w:rPr>
                <w:b/>
              </w:rPr>
              <w:t>Skenario → hasil yang wajib</w:t>
            </w:r>
          </w:p>
        </w:tc>
      </w:tr>
      <w:tr>
        <w:trPr>
          <w:cantSplit/>
        </w:trPr>
        <w:tc>
          <w:tcPr>
            <w:tcW w:type="dxa" w:w="2280"/>
            <w:vAlign w:val="top"/>
          </w:tcPr>
          <w:p>
            <w:pPr>
              <w:pStyle w:val="TableText"/>
              <w:keepNext w:val="0"/>
              <w:keepLines/>
            </w:pPr>
            <w:r>
              <w:rPr>
                <w:b w:val="0"/>
              </w:rPr>
              <w:t>T-PM-EXE-01</w:t>
              <w:br/>
              <w:t>P0</w:t>
            </w:r>
          </w:p>
        </w:tc>
        <w:tc>
          <w:tcPr>
            <w:tcW w:type="dxa" w:w="7080"/>
            <w:vAlign w:val="top"/>
          </w:tcPr>
          <w:p>
            <w:pPr>
              <w:pStyle w:val="TableText"/>
              <w:keepNext w:val="0"/>
              <w:keepLines/>
            </w:pPr>
            <w:r>
              <w:rPr>
                <w:b w:val="0"/>
              </w:rPr>
              <w:t>Pemindaian call graph dan tes bypass membuktikan route lama tidak dapat mengirim order langsung.</w:t>
            </w:r>
          </w:p>
        </w:tc>
      </w:tr>
      <w:tr>
        <w:trPr>
          <w:cantSplit/>
        </w:trPr>
        <w:tc>
          <w:tcPr>
            <w:tcW w:type="dxa" w:w="2280"/>
            <w:vAlign w:val="top"/>
          </w:tcPr>
          <w:p>
            <w:pPr>
              <w:pStyle w:val="TableText"/>
              <w:keepNext w:val="0"/>
              <w:keepLines/>
            </w:pPr>
            <w:r>
              <w:rPr>
                <w:b w:val="0"/>
              </w:rPr>
              <w:t>T-PM-EXE-02</w:t>
              <w:br/>
              <w:t>P0</w:t>
            </w:r>
          </w:p>
        </w:tc>
        <w:tc>
          <w:tcPr>
            <w:tcW w:type="dxa" w:w="7080"/>
            <w:vAlign w:val="top"/>
          </w:tcPr>
          <w:p>
            <w:pPr>
              <w:pStyle w:val="TableText"/>
              <w:keepNext w:val="0"/>
              <w:keepLines/>
            </w:pPr>
            <w:r>
              <w:rPr>
                <w:b w:val="0"/>
              </w:rPr>
              <w:t>Wallet atau chain salah gagal sebelum tanda tangan; fixture signed order sesuai SDK resmi.</w:t>
            </w:r>
          </w:p>
        </w:tc>
      </w:tr>
      <w:tr>
        <w:trPr>
          <w:cantSplit/>
        </w:trPr>
        <w:tc>
          <w:tcPr>
            <w:tcW w:type="dxa" w:w="2280"/>
            <w:vAlign w:val="top"/>
          </w:tcPr>
          <w:p>
            <w:pPr>
              <w:pStyle w:val="TableText"/>
              <w:keepNext w:val="0"/>
              <w:keepLines/>
            </w:pPr>
            <w:r>
              <w:rPr>
                <w:b w:val="0"/>
              </w:rPr>
              <w:t>T-PM-EXE-03</w:t>
              <w:br/>
              <w:t>P0</w:t>
            </w:r>
          </w:p>
        </w:tc>
        <w:tc>
          <w:tcPr>
            <w:tcW w:type="dxa" w:w="7080"/>
            <w:vAlign w:val="top"/>
          </w:tcPr>
          <w:p>
            <w:pPr>
              <w:pStyle w:val="TableText"/>
              <w:keepNext w:val="0"/>
              <w:keepLines/>
            </w:pPr>
            <w:r>
              <w:rPr>
                <w:b w:val="0"/>
              </w:rPr>
              <w:t>Ulang request identik 100 kali menghasilkan satu logical intent dan paling banyak satu order live aktif.</w:t>
            </w:r>
          </w:p>
        </w:tc>
      </w:tr>
      <w:tr>
        <w:trPr>
          <w:cantSplit/>
        </w:trPr>
        <w:tc>
          <w:tcPr>
            <w:tcW w:type="dxa" w:w="2280"/>
            <w:vAlign w:val="top"/>
          </w:tcPr>
          <w:p>
            <w:pPr>
              <w:pStyle w:val="TableText"/>
              <w:keepNext w:val="0"/>
              <w:keepLines/>
            </w:pPr>
            <w:r>
              <w:rPr>
                <w:b w:val="0"/>
              </w:rPr>
              <w:t>T-PM-EXE-04</w:t>
              <w:br/>
              <w:t>P0</w:t>
            </w:r>
          </w:p>
        </w:tc>
        <w:tc>
          <w:tcPr>
            <w:tcW w:type="dxa" w:w="7080"/>
            <w:vAlign w:val="top"/>
          </w:tcPr>
          <w:p>
            <w:pPr>
              <w:pStyle w:val="TableText"/>
              <w:keepNext w:val="0"/>
              <w:keepLines/>
            </w:pPr>
            <w:r>
              <w:rPr>
                <w:b w:val="0"/>
              </w:rPr>
              <w:t>Bursa menerima order tetapi respons hilang: bot menemukan order itu tanpa submit pengganti.</w:t>
            </w:r>
          </w:p>
        </w:tc>
      </w:tr>
      <w:tr>
        <w:trPr>
          <w:cantSplit/>
        </w:trPr>
        <w:tc>
          <w:tcPr>
            <w:tcW w:type="dxa" w:w="2280"/>
            <w:vAlign w:val="top"/>
          </w:tcPr>
          <w:p>
            <w:pPr>
              <w:pStyle w:val="TableText"/>
              <w:keepNext w:val="0"/>
              <w:keepLines/>
            </w:pPr>
            <w:r>
              <w:rPr>
                <w:b w:val="0"/>
              </w:rPr>
              <w:t>T-PM-EXE-05</w:t>
              <w:br/>
              <w:t>P0</w:t>
            </w:r>
          </w:p>
        </w:tc>
        <w:tc>
          <w:tcPr>
            <w:tcW w:type="dxa" w:w="7080"/>
            <w:vAlign w:val="top"/>
          </w:tcPr>
          <w:p>
            <w:pPr>
              <w:pStyle w:val="TableText"/>
              <w:keepNext w:val="0"/>
              <w:keepLines/>
            </w:pPr>
            <w:r>
              <w:rPr>
                <w:b w:val="0"/>
              </w:rPr>
              <w:t>Order terisi sebagian saat cancel: replacement memperhitungkan fill, tidak menggandakan posisi.</w:t>
            </w:r>
          </w:p>
        </w:tc>
      </w:tr>
      <w:tr>
        <w:trPr>
          <w:cantSplit/>
        </w:trPr>
        <w:tc>
          <w:tcPr>
            <w:tcW w:type="dxa" w:w="2280"/>
            <w:vAlign w:val="top"/>
          </w:tcPr>
          <w:p>
            <w:pPr>
              <w:pStyle w:val="TableText"/>
              <w:keepNext w:val="0"/>
              <w:keepLines/>
            </w:pPr>
            <w:r>
              <w:rPr>
                <w:b w:val="0"/>
              </w:rPr>
              <w:t>T-PM-EXE-06</w:t>
              <w:br/>
              <w:t>P0</w:t>
            </w:r>
          </w:p>
        </w:tc>
        <w:tc>
          <w:tcPr>
            <w:tcW w:type="dxa" w:w="7080"/>
            <w:vAlign w:val="top"/>
          </w:tcPr>
          <w:p>
            <w:pPr>
              <w:pStyle w:val="TableText"/>
              <w:keepNext w:val="0"/>
              <w:keepLines/>
            </w:pPr>
            <w:r>
              <w:rPr>
                <w:b w:val="0"/>
              </w:rPr>
              <w:t>SELL ditolak atau hanya sebagian terisi: posisi sisa tetap tercatat dan dipantau.</w:t>
            </w:r>
          </w:p>
        </w:tc>
      </w:tr>
      <w:tr>
        <w:trPr>
          <w:cantSplit/>
        </w:trPr>
        <w:tc>
          <w:tcPr>
            <w:tcW w:type="dxa" w:w="2280"/>
            <w:vAlign w:val="top"/>
          </w:tcPr>
          <w:p>
            <w:pPr>
              <w:pStyle w:val="TableText"/>
              <w:keepNext w:val="0"/>
              <w:keepLines/>
            </w:pPr>
            <w:r>
              <w:rPr>
                <w:b w:val="0"/>
              </w:rPr>
              <w:t>T-PM-EXE-07</w:t>
              <w:br/>
              <w:t>P0</w:t>
            </w:r>
          </w:p>
        </w:tc>
        <w:tc>
          <w:tcPr>
            <w:tcW w:type="dxa" w:w="7080"/>
            <w:vAlign w:val="top"/>
          </w:tcPr>
          <w:p>
            <w:pPr>
              <w:pStyle w:val="TableText"/>
              <w:keepNext w:val="0"/>
              <w:keepLines/>
            </w:pPr>
            <w:r>
              <w:rPr>
                <w:b w:val="0"/>
              </w:rPr>
              <w:t>Executor mati: resting order dibatalkan sesuai mekanisme venue yang diuji; posisi terisi tetap dilaporkan.</w:t>
            </w:r>
          </w:p>
        </w:tc>
      </w:tr>
      <w:tr>
        <w:trPr>
          <w:cantSplit/>
        </w:trPr>
        <w:tc>
          <w:tcPr>
            <w:tcW w:type="dxa" w:w="2280"/>
            <w:vAlign w:val="top"/>
          </w:tcPr>
          <w:p>
            <w:pPr>
              <w:pStyle w:val="TableText"/>
              <w:keepNext w:val="0"/>
              <w:keepLines/>
            </w:pPr>
            <w:r>
              <w:rPr>
                <w:b w:val="0"/>
              </w:rPr>
              <w:t>T-PM-EXE-08</w:t>
              <w:br/>
              <w:t>P0</w:t>
            </w:r>
          </w:p>
        </w:tc>
        <w:tc>
          <w:tcPr>
            <w:tcW w:type="dxa" w:w="7080"/>
            <w:vAlign w:val="top"/>
          </w:tcPr>
          <w:p>
            <w:pPr>
              <w:pStyle w:val="TableText"/>
              <w:keepNext w:val="0"/>
              <w:keepLines/>
            </w:pPr>
            <w:r>
              <w:rPr>
                <w:b w:val="0"/>
              </w:rPr>
              <w:t>Pasar disputed tidak dianggap selesai; redeem yang gagal tidak menambah saldo secara lokal.</w:t>
            </w:r>
          </w:p>
        </w:tc>
      </w:tr>
    </w:tbl>
    <w:p>
      <w:pPr>
        <w:spacing w:after="60" w:before="0" w:line="240" w:lineRule="auto"/>
      </w:pPr>
      <w:r>
        <w:rPr>
          <w:sz w:val="4"/>
        </w:rPr>
      </w:r>
    </w:p>
    <w:p>
      <w:pPr>
        <w:pStyle w:val="Heading2"/>
      </w:pPr>
      <w:r>
        <w:t>Acceptance • Ledger dan rekonsiliasi</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2280"/>
        <w:gridCol w:w="7080"/>
      </w:tblGrid>
      <w:tr>
        <w:trPr>
          <w:cantSplit/>
          <w:tblHeader/>
        </w:trPr>
        <w:tc>
          <w:tcPr>
            <w:tcW w:type="dxa" w:w="2280"/>
            <w:vAlign w:val="top"/>
            <w:shd w:fill="E8EEF5" w:val="clear"/>
          </w:tcPr>
          <w:p>
            <w:pPr>
              <w:pStyle w:val="TableText"/>
              <w:keepNext w:val="0"/>
              <w:keepLines/>
            </w:pPr>
            <w:r>
              <w:rPr>
                <w:b/>
              </w:rPr>
              <w:t>Test / requirement</w:t>
            </w:r>
          </w:p>
        </w:tc>
        <w:tc>
          <w:tcPr>
            <w:tcW w:type="dxa" w:w="7080"/>
            <w:vAlign w:val="top"/>
            <w:shd w:fill="E8EEF5" w:val="clear"/>
          </w:tcPr>
          <w:p>
            <w:pPr>
              <w:pStyle w:val="TableText"/>
              <w:keepNext w:val="0"/>
              <w:keepLines/>
            </w:pPr>
            <w:r>
              <w:rPr>
                <w:b/>
              </w:rPr>
              <w:t>Skenario → hasil yang wajib</w:t>
            </w:r>
          </w:p>
        </w:tc>
      </w:tr>
      <w:tr>
        <w:trPr>
          <w:cantSplit/>
        </w:trPr>
        <w:tc>
          <w:tcPr>
            <w:tcW w:type="dxa" w:w="2280"/>
            <w:vAlign w:val="top"/>
          </w:tcPr>
          <w:p>
            <w:pPr>
              <w:pStyle w:val="TableText"/>
              <w:keepNext w:val="0"/>
              <w:keepLines/>
            </w:pPr>
            <w:r>
              <w:rPr>
                <w:b w:val="0"/>
              </w:rPr>
              <w:t>T-PM-LED-01</w:t>
              <w:br/>
              <w:t>P0</w:t>
            </w:r>
          </w:p>
        </w:tc>
        <w:tc>
          <w:tcPr>
            <w:tcW w:type="dxa" w:w="7080"/>
            <w:vAlign w:val="top"/>
          </w:tcPr>
          <w:p>
            <w:pPr>
              <w:pStyle w:val="TableText"/>
              <w:keepNext w:val="0"/>
              <w:keepLines/>
            </w:pPr>
            <w:r>
              <w:rPr>
                <w:b w:val="0"/>
              </w:rPr>
              <w:t>Replay event yang sama menghasilkan proyeksi identik dan tidak menggandakan biaya.</w:t>
            </w:r>
          </w:p>
        </w:tc>
      </w:tr>
      <w:tr>
        <w:trPr>
          <w:cantSplit/>
        </w:trPr>
        <w:tc>
          <w:tcPr>
            <w:tcW w:type="dxa" w:w="2280"/>
            <w:vAlign w:val="top"/>
          </w:tcPr>
          <w:p>
            <w:pPr>
              <w:pStyle w:val="TableText"/>
              <w:keepNext w:val="0"/>
              <w:keepLines/>
            </w:pPr>
            <w:r>
              <w:rPr>
                <w:b w:val="0"/>
              </w:rPr>
              <w:t>T-PM-LED-02</w:t>
              <w:br/>
              <w:t>P0</w:t>
            </w:r>
          </w:p>
        </w:tc>
        <w:tc>
          <w:tcPr>
            <w:tcW w:type="dxa" w:w="7080"/>
            <w:vAlign w:val="top"/>
          </w:tcPr>
          <w:p>
            <w:pPr>
              <w:pStyle w:val="TableText"/>
              <w:keepNext w:val="0"/>
              <w:keepLines/>
            </w:pPr>
            <w:r>
              <w:rPr>
                <w:b w:val="0"/>
              </w:rPr>
              <w:t>Rounding, partial sell, fee dalam shares/cash, dan resolusi menjaga identitas saldo pada toleransi aset.</w:t>
            </w:r>
          </w:p>
        </w:tc>
      </w:tr>
      <w:tr>
        <w:trPr>
          <w:cantSplit/>
        </w:trPr>
        <w:tc>
          <w:tcPr>
            <w:tcW w:type="dxa" w:w="2280"/>
            <w:vAlign w:val="top"/>
          </w:tcPr>
          <w:p>
            <w:pPr>
              <w:pStyle w:val="TableText"/>
              <w:keepNext w:val="0"/>
              <w:keepLines/>
            </w:pPr>
            <w:r>
              <w:rPr>
                <w:b w:val="0"/>
              </w:rPr>
              <w:t>T-PM-LED-03</w:t>
              <w:br/>
              <w:t>P0</w:t>
            </w:r>
          </w:p>
        </w:tc>
        <w:tc>
          <w:tcPr>
            <w:tcW w:type="dxa" w:w="7080"/>
            <w:vAlign w:val="top"/>
          </w:tcPr>
          <w:p>
            <w:pPr>
              <w:pStyle w:val="TableText"/>
              <w:keepNext w:val="0"/>
              <w:keepLines/>
            </w:pPr>
            <w:r>
              <w:rPr>
                <w:b w:val="0"/>
              </w:rPr>
              <w:t>Trade manual pada wallet terdeteksi, diklasifikasikan external, dan mengubah kapasitas risiko.</w:t>
            </w:r>
          </w:p>
        </w:tc>
      </w:tr>
      <w:tr>
        <w:trPr>
          <w:cantSplit/>
        </w:trPr>
        <w:tc>
          <w:tcPr>
            <w:tcW w:type="dxa" w:w="2280"/>
            <w:vAlign w:val="top"/>
          </w:tcPr>
          <w:p>
            <w:pPr>
              <w:pStyle w:val="TableText"/>
              <w:keepNext w:val="0"/>
              <w:keepLines/>
            </w:pPr>
            <w:r>
              <w:rPr>
                <w:b w:val="0"/>
              </w:rPr>
              <w:t>T-PM-LED-04</w:t>
              <w:br/>
              <w:t>P0</w:t>
            </w:r>
          </w:p>
        </w:tc>
        <w:tc>
          <w:tcPr>
            <w:tcW w:type="dxa" w:w="7080"/>
            <w:vAlign w:val="top"/>
          </w:tcPr>
          <w:p>
            <w:pPr>
              <w:pStyle w:val="TableText"/>
              <w:keepNext w:val="0"/>
              <w:keepLines/>
            </w:pPr>
            <w:r>
              <w:rPr>
                <w:b w:val="0"/>
              </w:rPr>
              <w:t>Laporan tidak mencampur saldo simulasi dengan live; sinyal tanpa fill bernilai PnL nol.</w:t>
            </w:r>
          </w:p>
        </w:tc>
      </w:tr>
      <w:tr>
        <w:trPr>
          <w:cantSplit/>
        </w:trPr>
        <w:tc>
          <w:tcPr>
            <w:tcW w:type="dxa" w:w="2280"/>
            <w:vAlign w:val="top"/>
          </w:tcPr>
          <w:p>
            <w:pPr>
              <w:pStyle w:val="TableText"/>
              <w:keepNext w:val="0"/>
              <w:keepLines/>
            </w:pPr>
            <w:r>
              <w:rPr>
                <w:b w:val="0"/>
              </w:rPr>
              <w:t>T-PM-LED-05</w:t>
              <w:br/>
              <w:t>P1</w:t>
            </w:r>
          </w:p>
        </w:tc>
        <w:tc>
          <w:tcPr>
            <w:tcW w:type="dxa" w:w="7080"/>
            <w:vAlign w:val="top"/>
          </w:tcPr>
          <w:p>
            <w:pPr>
              <w:pStyle w:val="TableText"/>
              <w:keepNext w:val="0"/>
              <w:keepLines/>
            </w:pPr>
            <w:r>
              <w:rPr>
                <w:b w:val="0"/>
              </w:rPr>
              <w:t>Ekspor dapat direkonsiliasi dengan ledger dan tidak mengandung key/token/private credential.</w:t>
            </w:r>
          </w:p>
        </w:tc>
      </w:tr>
    </w:tbl>
    <w:p>
      <w:pPr>
        <w:spacing w:after="60" w:before="0" w:line="240" w:lineRule="auto"/>
      </w:pPr>
      <w:r>
        <w:rPr>
          <w:sz w:val="4"/>
        </w:rPr>
      </w:r>
    </w:p>
    <w:p>
      <w:pPr>
        <w:pStyle w:val="Heading2"/>
      </w:pPr>
      <w:r>
        <w:t>Acceptance • Produk, keamanan, dan operasi</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2280"/>
        <w:gridCol w:w="7080"/>
      </w:tblGrid>
      <w:tr>
        <w:trPr>
          <w:cantSplit/>
          <w:tblHeader/>
        </w:trPr>
        <w:tc>
          <w:tcPr>
            <w:tcW w:type="dxa" w:w="2280"/>
            <w:vAlign w:val="top"/>
            <w:shd w:fill="E8EEF5" w:val="clear"/>
          </w:tcPr>
          <w:p>
            <w:pPr>
              <w:pStyle w:val="TableText"/>
              <w:keepNext w:val="0"/>
              <w:keepLines/>
            </w:pPr>
            <w:r>
              <w:rPr>
                <w:b/>
              </w:rPr>
              <w:t>Test / requirement</w:t>
            </w:r>
          </w:p>
        </w:tc>
        <w:tc>
          <w:tcPr>
            <w:tcW w:type="dxa" w:w="7080"/>
            <w:vAlign w:val="top"/>
            <w:shd w:fill="E8EEF5" w:val="clear"/>
          </w:tcPr>
          <w:p>
            <w:pPr>
              <w:pStyle w:val="TableText"/>
              <w:keepNext w:val="0"/>
              <w:keepLines/>
            </w:pPr>
            <w:r>
              <w:rPr>
                <w:b/>
              </w:rPr>
              <w:t>Skenario → hasil yang wajib</w:t>
            </w:r>
          </w:p>
        </w:tc>
      </w:tr>
      <w:tr>
        <w:trPr>
          <w:cantSplit/>
        </w:trPr>
        <w:tc>
          <w:tcPr>
            <w:tcW w:type="dxa" w:w="2280"/>
            <w:vAlign w:val="top"/>
          </w:tcPr>
          <w:p>
            <w:pPr>
              <w:pStyle w:val="TableText"/>
              <w:keepNext w:val="0"/>
              <w:keepLines/>
            </w:pPr>
            <w:r>
              <w:rPr>
                <w:b w:val="0"/>
              </w:rPr>
              <w:t>T-PM-OPS-01</w:t>
              <w:br/>
              <w:t>P0</w:t>
            </w:r>
          </w:p>
        </w:tc>
        <w:tc>
          <w:tcPr>
            <w:tcW w:type="dxa" w:w="7080"/>
            <w:vAlign w:val="top"/>
          </w:tcPr>
          <w:p>
            <w:pPr>
              <w:pStyle w:val="TableText"/>
              <w:keepNext w:val="0"/>
              <w:keepLines/>
            </w:pPr>
            <w:r>
              <w:rPr>
                <w:b w:val="0"/>
              </w:rPr>
              <w:t>Pengguna tanpa autentikasi tidak membaca portfolio atau mengubah mode; endpoint internal tidak dapat dicapai dari internet.</w:t>
            </w:r>
          </w:p>
        </w:tc>
      </w:tr>
      <w:tr>
        <w:trPr>
          <w:cantSplit/>
        </w:trPr>
        <w:tc>
          <w:tcPr>
            <w:tcW w:type="dxa" w:w="2280"/>
            <w:vAlign w:val="top"/>
          </w:tcPr>
          <w:p>
            <w:pPr>
              <w:pStyle w:val="TableText"/>
              <w:keepNext w:val="0"/>
              <w:keepLines/>
            </w:pPr>
            <w:r>
              <w:rPr>
                <w:b w:val="0"/>
              </w:rPr>
              <w:t>T-PM-OPS-02</w:t>
              <w:br/>
              <w:t>P1</w:t>
            </w:r>
          </w:p>
        </w:tc>
        <w:tc>
          <w:tcPr>
            <w:tcW w:type="dxa" w:w="7080"/>
            <w:vAlign w:val="top"/>
          </w:tcPr>
          <w:p>
            <w:pPr>
              <w:pStyle w:val="TableText"/>
              <w:keepNext w:val="0"/>
              <w:keepLines/>
            </w:pPr>
            <w:r>
              <w:rPr>
                <w:b w:val="0"/>
              </w:rPr>
              <w:t>Pada feed terputus banner stale tampil dan tombol entry dinonaktifkan; cancel tetap tersedia.</w:t>
            </w:r>
          </w:p>
        </w:tc>
      </w:tr>
      <w:tr>
        <w:trPr>
          <w:cantSplit/>
        </w:trPr>
        <w:tc>
          <w:tcPr>
            <w:tcW w:type="dxa" w:w="2280"/>
            <w:vAlign w:val="top"/>
          </w:tcPr>
          <w:p>
            <w:pPr>
              <w:pStyle w:val="TableText"/>
              <w:keepNext w:val="0"/>
              <w:keepLines/>
            </w:pPr>
            <w:r>
              <w:rPr>
                <w:b w:val="0"/>
              </w:rPr>
              <w:t>T-PM-OPS-03</w:t>
              <w:br/>
              <w:t>P0</w:t>
            </w:r>
          </w:p>
        </w:tc>
        <w:tc>
          <w:tcPr>
            <w:tcW w:type="dxa" w:w="7080"/>
            <w:vAlign w:val="top"/>
          </w:tcPr>
          <w:p>
            <w:pPr>
              <w:pStyle w:val="TableText"/>
              <w:keepNext w:val="0"/>
              <w:keepLines/>
            </w:pPr>
            <w:r>
              <w:rPr>
                <w:b w:val="0"/>
              </w:rPr>
              <w:t>Secret canary tidak muncul pada prompt/log/export; build dengan secret atau dependency kritis tak tertangani gagal.</w:t>
            </w:r>
          </w:p>
        </w:tc>
      </w:tr>
      <w:tr>
        <w:trPr>
          <w:cantSplit/>
        </w:trPr>
        <w:tc>
          <w:tcPr>
            <w:tcW w:type="dxa" w:w="2280"/>
            <w:vAlign w:val="top"/>
          </w:tcPr>
          <w:p>
            <w:pPr>
              <w:pStyle w:val="TableText"/>
              <w:keepNext w:val="0"/>
              <w:keepLines/>
            </w:pPr>
            <w:r>
              <w:rPr>
                <w:b w:val="0"/>
              </w:rPr>
              <w:t>T-PM-OPS-04</w:t>
              <w:br/>
              <w:t>P0</w:t>
            </w:r>
          </w:p>
        </w:tc>
        <w:tc>
          <w:tcPr>
            <w:tcW w:type="dxa" w:w="7080"/>
            <w:vAlign w:val="top"/>
          </w:tcPr>
          <w:p>
            <w:pPr>
              <w:pStyle w:val="TableText"/>
              <w:keepNext w:val="0"/>
              <w:keepLines/>
            </w:pPr>
            <w:r>
              <w:rPr>
                <w:b w:val="0"/>
              </w:rPr>
              <w:t>Dua instance bersaing: instance tanpa lease tidak dapat sign/submit; restart tidak mengeksekusi intent basi.</w:t>
            </w:r>
          </w:p>
        </w:tc>
      </w:tr>
      <w:tr>
        <w:trPr>
          <w:cantSplit/>
        </w:trPr>
        <w:tc>
          <w:tcPr>
            <w:tcW w:type="dxa" w:w="2280"/>
            <w:vAlign w:val="top"/>
          </w:tcPr>
          <w:p>
            <w:pPr>
              <w:pStyle w:val="TableText"/>
              <w:keepNext w:val="0"/>
              <w:keepLines/>
            </w:pPr>
            <w:r>
              <w:rPr>
                <w:b w:val="0"/>
              </w:rPr>
              <w:t>T-PM-OPS-05</w:t>
              <w:br/>
              <w:t>P0</w:t>
            </w:r>
          </w:p>
        </w:tc>
        <w:tc>
          <w:tcPr>
            <w:tcW w:type="dxa" w:w="7080"/>
            <w:vAlign w:val="top"/>
          </w:tcPr>
          <w:p>
            <w:pPr>
              <w:pStyle w:val="TableText"/>
              <w:keepNext w:val="0"/>
              <w:keepLines/>
            </w:pPr>
            <w:r>
              <w:rPr>
                <w:b w:val="0"/>
              </w:rPr>
              <w:t>Simulasi kehilangan host dapat dipulihkan dengan event terbaru, rekonsiliasi, dan status entry tetap tertahan sampai lulus.</w:t>
            </w:r>
          </w:p>
        </w:tc>
      </w:tr>
      <w:tr>
        <w:trPr>
          <w:cantSplit/>
        </w:trPr>
        <w:tc>
          <w:tcPr>
            <w:tcW w:type="dxa" w:w="2280"/>
            <w:vAlign w:val="top"/>
          </w:tcPr>
          <w:p>
            <w:pPr>
              <w:pStyle w:val="TableText"/>
              <w:keepNext w:val="0"/>
              <w:keepLines/>
            </w:pPr>
            <w:r>
              <w:rPr>
                <w:b w:val="0"/>
              </w:rPr>
              <w:t>T-PM-OPS-06</w:t>
              <w:br/>
              <w:t>P0</w:t>
            </w:r>
          </w:p>
        </w:tc>
        <w:tc>
          <w:tcPr>
            <w:tcW w:type="dxa" w:w="7080"/>
            <w:vAlign w:val="top"/>
          </w:tcPr>
          <w:p>
            <w:pPr>
              <w:pStyle w:val="TableText"/>
              <w:keepNext w:val="0"/>
              <w:keepLines/>
            </w:pPr>
            <w:r>
              <w:rPr>
                <w:b w:val="0"/>
              </w:rPr>
              <w:t>Injeksi drift/unknown order/disk penuh menimbulkan alert dan mode aman yang tepat.</w:t>
            </w:r>
          </w:p>
        </w:tc>
      </w:tr>
      <w:tr>
        <w:trPr>
          <w:cantSplit/>
        </w:trPr>
        <w:tc>
          <w:tcPr>
            <w:tcW w:type="dxa" w:w="2280"/>
            <w:vAlign w:val="top"/>
          </w:tcPr>
          <w:p>
            <w:pPr>
              <w:pStyle w:val="TableText"/>
              <w:keepNext w:val="0"/>
              <w:keepLines/>
            </w:pPr>
            <w:r>
              <w:rPr>
                <w:b w:val="0"/>
              </w:rPr>
              <w:t>T-PM-OPS-07</w:t>
              <w:br/>
              <w:t>P0</w:t>
            </w:r>
          </w:p>
        </w:tc>
        <w:tc>
          <w:tcPr>
            <w:tcW w:type="dxa" w:w="7080"/>
            <w:vAlign w:val="top"/>
          </w:tcPr>
          <w:p>
            <w:pPr>
              <w:pStyle w:val="TableText"/>
              <w:keepNext w:val="0"/>
              <w:keepLines/>
            </w:pPr>
            <w:r>
              <w:rPr>
                <w:b w:val="0"/>
              </w:rPr>
              <w:t>Rollback binary tidak menjalankan schema tidak kompatibel; orders existing tetap dapat direkonsiliasi.</w:t>
            </w:r>
          </w:p>
        </w:tc>
      </w:tr>
    </w:tbl>
    <w:p>
      <w:pPr>
        <w:spacing w:after="60" w:before="0" w:line="240" w:lineRule="auto"/>
      </w:pPr>
      <w:r>
        <w:rPr>
          <w:sz w:val="4"/>
        </w:rPr>
      </w:r>
    </w:p>
    <w:p>
      <w:pPr>
        <w:pStyle w:val="Heading2"/>
      </w:pPr>
      <w:r>
        <w:t>Acceptance • Verifikasi dan kelulusan</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2280"/>
        <w:gridCol w:w="7080"/>
      </w:tblGrid>
      <w:tr>
        <w:trPr>
          <w:cantSplit/>
          <w:tblHeader/>
        </w:trPr>
        <w:tc>
          <w:tcPr>
            <w:tcW w:type="dxa" w:w="2280"/>
            <w:vAlign w:val="top"/>
            <w:shd w:fill="E8EEF5" w:val="clear"/>
          </w:tcPr>
          <w:p>
            <w:pPr>
              <w:pStyle w:val="TableText"/>
              <w:keepNext w:val="0"/>
              <w:keepLines/>
            </w:pPr>
            <w:r>
              <w:rPr>
                <w:b/>
              </w:rPr>
              <w:t>Test / requirement</w:t>
            </w:r>
          </w:p>
        </w:tc>
        <w:tc>
          <w:tcPr>
            <w:tcW w:type="dxa" w:w="7080"/>
            <w:vAlign w:val="top"/>
            <w:shd w:fill="E8EEF5" w:val="clear"/>
          </w:tcPr>
          <w:p>
            <w:pPr>
              <w:pStyle w:val="TableText"/>
              <w:keepNext w:val="0"/>
              <w:keepLines/>
            </w:pPr>
            <w:r>
              <w:rPr>
                <w:b/>
              </w:rPr>
              <w:t>Skenario → hasil yang wajib</w:t>
            </w:r>
          </w:p>
        </w:tc>
      </w:tr>
      <w:tr>
        <w:trPr>
          <w:cantSplit/>
        </w:trPr>
        <w:tc>
          <w:tcPr>
            <w:tcW w:type="dxa" w:w="2280"/>
            <w:vAlign w:val="top"/>
          </w:tcPr>
          <w:p>
            <w:pPr>
              <w:pStyle w:val="TableText"/>
              <w:keepNext w:val="0"/>
              <w:keepLines/>
            </w:pPr>
            <w:r>
              <w:rPr>
                <w:b w:val="0"/>
              </w:rPr>
              <w:t>T-PM-VAL-01</w:t>
              <w:br/>
              <w:t>P0</w:t>
            </w:r>
          </w:p>
        </w:tc>
        <w:tc>
          <w:tcPr>
            <w:tcW w:type="dxa" w:w="7080"/>
            <w:vAlign w:val="top"/>
          </w:tcPr>
          <w:p>
            <w:pPr>
              <w:pStyle w:val="TableText"/>
              <w:keepNext w:val="0"/>
              <w:keepLines/>
            </w:pPr>
            <w:r>
              <w:rPr>
                <w:b w:val="0"/>
              </w:rPr>
              <w:t>Laporan gate mencantumkan test_id, commit, fixture, input, hasil, dan timestamp; kegagalan P0 menghalangi rilis.</w:t>
            </w:r>
          </w:p>
        </w:tc>
      </w:tr>
      <w:tr>
        <w:trPr>
          <w:cantSplit/>
        </w:trPr>
        <w:tc>
          <w:tcPr>
            <w:tcW w:type="dxa" w:w="2280"/>
            <w:vAlign w:val="top"/>
          </w:tcPr>
          <w:p>
            <w:pPr>
              <w:pStyle w:val="TableText"/>
              <w:keepNext w:val="0"/>
              <w:keepLines/>
            </w:pPr>
            <w:r>
              <w:rPr>
                <w:b w:val="0"/>
              </w:rPr>
              <w:t>T-PM-VAL-02</w:t>
              <w:br/>
              <w:t>P0</w:t>
            </w:r>
          </w:p>
        </w:tc>
        <w:tc>
          <w:tcPr>
            <w:tcW w:type="dxa" w:w="7080"/>
            <w:vAlign w:val="top"/>
          </w:tcPr>
          <w:p>
            <w:pPr>
              <w:pStyle w:val="TableText"/>
              <w:keepNext w:val="0"/>
              <w:keepLines/>
            </w:pPr>
            <w:r>
              <w:rPr>
                <w:b w:val="0"/>
              </w:rPr>
              <w:t>Canary label masa depan dan berita setelah cutoff tidak pernah masuk fitur evaluasi.</w:t>
            </w:r>
          </w:p>
        </w:tc>
      </w:tr>
      <w:tr>
        <w:trPr>
          <w:cantSplit/>
        </w:trPr>
        <w:tc>
          <w:tcPr>
            <w:tcW w:type="dxa" w:w="2280"/>
            <w:vAlign w:val="top"/>
          </w:tcPr>
          <w:p>
            <w:pPr>
              <w:pStyle w:val="TableText"/>
              <w:keepNext w:val="0"/>
              <w:keepLines/>
            </w:pPr>
            <w:r>
              <w:rPr>
                <w:b w:val="0"/>
              </w:rPr>
              <w:t>T-PM-VAL-03</w:t>
              <w:br/>
              <w:t>P0</w:t>
            </w:r>
          </w:p>
        </w:tc>
        <w:tc>
          <w:tcPr>
            <w:tcW w:type="dxa" w:w="7080"/>
            <w:vAlign w:val="top"/>
          </w:tcPr>
          <w:p>
            <w:pPr>
              <w:pStyle w:val="TableText"/>
              <w:keepNext w:val="0"/>
              <w:keepLines/>
            </w:pPr>
            <w:r>
              <w:rPr>
                <w:b w:val="0"/>
              </w:rPr>
              <w:t>Resting limit tidak dianggap filled hanya karena menyentuh midpoint atau menghasilkan sinyal.</w:t>
            </w:r>
          </w:p>
        </w:tc>
      </w:tr>
      <w:tr>
        <w:trPr>
          <w:cantSplit/>
        </w:trPr>
        <w:tc>
          <w:tcPr>
            <w:tcW w:type="dxa" w:w="2280"/>
            <w:vAlign w:val="top"/>
          </w:tcPr>
          <w:p>
            <w:pPr>
              <w:pStyle w:val="TableText"/>
              <w:keepNext w:val="0"/>
              <w:keepLines/>
            </w:pPr>
            <w:r>
              <w:rPr>
                <w:b w:val="0"/>
              </w:rPr>
              <w:t>T-PM-VAL-04</w:t>
              <w:br/>
              <w:t>P0</w:t>
            </w:r>
          </w:p>
        </w:tc>
        <w:tc>
          <w:tcPr>
            <w:tcW w:type="dxa" w:w="7080"/>
            <w:vAlign w:val="top"/>
          </w:tcPr>
          <w:p>
            <w:pPr>
              <w:pStyle w:val="TableText"/>
              <w:keepNext w:val="0"/>
              <w:keepLines/>
            </w:pPr>
            <w:r>
              <w:rPr>
                <w:b w:val="0"/>
              </w:rPr>
              <w:t>Forecast lebih akurat tetapi biaya membuat net negatif tidak dinyatakan layak hanya dari win rate.</w:t>
            </w:r>
          </w:p>
        </w:tc>
      </w:tr>
      <w:tr>
        <w:trPr>
          <w:cantSplit/>
        </w:trPr>
        <w:tc>
          <w:tcPr>
            <w:tcW w:type="dxa" w:w="2280"/>
            <w:vAlign w:val="top"/>
          </w:tcPr>
          <w:p>
            <w:pPr>
              <w:pStyle w:val="TableText"/>
              <w:keepNext w:val="0"/>
              <w:keepLines/>
            </w:pPr>
            <w:r>
              <w:rPr>
                <w:b w:val="0"/>
              </w:rPr>
              <w:t>T-PM-VAL-05</w:t>
              <w:br/>
              <w:t>P0</w:t>
            </w:r>
          </w:p>
        </w:tc>
        <w:tc>
          <w:tcPr>
            <w:tcW w:type="dxa" w:w="7080"/>
            <w:vAlign w:val="top"/>
          </w:tcPr>
          <w:p>
            <w:pPr>
              <w:pStyle w:val="TableText"/>
              <w:keepNext w:val="0"/>
              <w:keepLines/>
            </w:pPr>
            <w:r>
              <w:rPr>
                <w:b w:val="0"/>
              </w:rPr>
              <w:t>Gate engineering lulus tetapi evaluasi ekonomi gagal: strategi tetap tidak mendapat izin autonomous-LIVE.</w:t>
            </w:r>
          </w:p>
        </w:tc>
      </w:tr>
    </w:tbl>
    <w:p>
      <w:pPr>
        <w:spacing w:after="60" w:before="0" w:line="240" w:lineRule="auto"/>
      </w:pPr>
      <w:r>
        <w:rPr>
          <w:sz w:val="4"/>
        </w:rPr>
      </w:r>
    </w:p>
    <w:p>
      <w:pPr>
        <w:pStyle w:val="Heading2"/>
      </w:pPr>
      <w:r>
        <w:t>Fault suite dan bukti tambahan</w:t>
      </w:r>
    </w:p>
    <w:p>
      <w:pPr/>
      <w:r>
        <w:t>Tes skenario dilengkapi invariants yang bernilai: reserved cash/shares tidak negatif, approved exposure tidak terlampaui pada concurrency, projected balance sama dengan replay, duplicate inbox tidak menggandakan economic effect, dan failed settlement tidak meninggalkan inventory bebas palsu. Gunakan property-based testing untuk partial fill/fee rounding/event reorder serta fault injection untuk timeout setelah accept, restart di setiap boundary durable, cancel race dan lease takeover.</w:t>
      </w:r>
    </w:p>
    <w:p>
      <w:pPr/>
      <w:r>
        <w:t>CI tanpa dana nyata memakai fixtures yang diberi tanggal/version, mock venue untuk fault deterministik, dan read-only API contract checks terpisah. Hasil mock tidak membuktikan venue behavior. Integrasi signing dan order kecil nyata hanya pada G4 dengan wallet/cap eksplisit; tidak menjadikan tes CI rutin sebagai pengirim transaksi.</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4680"/>
        <w:gridCol w:w="4680"/>
      </w:tblGrid>
      <w:tr>
        <w:trPr>
          <w:cantSplit/>
          <w:tblHeader/>
        </w:trPr>
        <w:tc>
          <w:tcPr>
            <w:tcW w:type="dxa" w:w="4680"/>
            <w:vAlign w:val="top"/>
            <w:shd w:fill="E8EEF5" w:val="clear"/>
          </w:tcPr>
          <w:p>
            <w:pPr>
              <w:pStyle w:val="TableText"/>
              <w:keepNext w:val="0"/>
              <w:keepLines/>
            </w:pPr>
            <w:r>
              <w:rPr>
                <w:b/>
              </w:rPr>
              <w:t>Artefak gate</w:t>
            </w:r>
          </w:p>
        </w:tc>
        <w:tc>
          <w:tcPr>
            <w:tcW w:type="dxa" w:w="4680"/>
            <w:vAlign w:val="top"/>
            <w:shd w:fill="E8EEF5" w:val="clear"/>
          </w:tcPr>
          <w:p>
            <w:pPr>
              <w:pStyle w:val="TableText"/>
              <w:keepNext w:val="0"/>
              <w:keepLines/>
            </w:pPr>
            <w:r>
              <w:rPr>
                <w:b/>
              </w:rPr>
              <w:t>Konten minimum</w:t>
            </w:r>
          </w:p>
        </w:tc>
      </w:tr>
      <w:tr>
        <w:trPr>
          <w:cantSplit/>
        </w:trPr>
        <w:tc>
          <w:tcPr>
            <w:tcW w:type="dxa" w:w="4680"/>
            <w:vAlign w:val="top"/>
          </w:tcPr>
          <w:p>
            <w:pPr>
              <w:pStyle w:val="TableText"/>
              <w:keepNext w:val="0"/>
              <w:keepLines/>
            </w:pPr>
            <w:r>
              <w:rPr>
                <w:b w:val="0"/>
              </w:rPr>
              <w:t>test_report.json</w:t>
            </w:r>
          </w:p>
        </w:tc>
        <w:tc>
          <w:tcPr>
            <w:tcW w:type="dxa" w:w="4680"/>
            <w:vAlign w:val="top"/>
          </w:tcPr>
          <w:p>
            <w:pPr>
              <w:pStyle w:val="TableText"/>
              <w:keepNext w:val="0"/>
              <w:keepLines/>
            </w:pPr>
            <w:r>
              <w:rPr>
                <w:b w:val="0"/>
              </w:rPr>
              <w:t>requirement_id, test_id, commit/image/schema, fixture/API version, timestamp, inputs/hash, expected, actual, status, evidence path dan reviewer.</w:t>
            </w:r>
          </w:p>
        </w:tc>
      </w:tr>
      <w:tr>
        <w:trPr>
          <w:cantSplit/>
        </w:trPr>
        <w:tc>
          <w:tcPr>
            <w:tcW w:type="dxa" w:w="4680"/>
            <w:vAlign w:val="top"/>
          </w:tcPr>
          <w:p>
            <w:pPr>
              <w:pStyle w:val="TableText"/>
              <w:keepNext w:val="0"/>
              <w:keepLines/>
            </w:pPr>
            <w:r>
              <w:rPr>
                <w:b w:val="0"/>
              </w:rPr>
              <w:t>experiment_report</w:t>
            </w:r>
          </w:p>
        </w:tc>
        <w:tc>
          <w:tcPr>
            <w:tcW w:type="dxa" w:w="4680"/>
            <w:vAlign w:val="top"/>
          </w:tcPr>
          <w:p>
            <w:pPr>
              <w:pStyle w:val="TableText"/>
              <w:keepNext w:val="0"/>
              <w:keepLines/>
            </w:pPr>
            <w:r>
              <w:rPr>
                <w:b w:val="0"/>
              </w:rPr>
              <w:t>Dataset/cutoff, universe, model/prompt/calibrator, semua parameter, biaya, benchmark, metric/CI, independent event count dan seluruh exclusion.</w:t>
            </w:r>
          </w:p>
        </w:tc>
      </w:tr>
      <w:tr>
        <w:trPr>
          <w:cantSplit/>
        </w:trPr>
        <w:tc>
          <w:tcPr>
            <w:tcW w:type="dxa" w:w="4680"/>
            <w:vAlign w:val="top"/>
          </w:tcPr>
          <w:p>
            <w:pPr>
              <w:pStyle w:val="TableText"/>
              <w:keepNext w:val="0"/>
              <w:keepLines/>
            </w:pPr>
            <w:r>
              <w:rPr>
                <w:b w:val="0"/>
              </w:rPr>
              <w:t>release_manifest</w:t>
            </w:r>
          </w:p>
        </w:tc>
        <w:tc>
          <w:tcPr>
            <w:tcW w:type="dxa" w:w="4680"/>
            <w:vAlign w:val="top"/>
          </w:tcPr>
          <w:p>
            <w:pPr>
              <w:pStyle w:val="TableText"/>
              <w:keepNext w:val="0"/>
              <w:keepLines/>
            </w:pPr>
            <w:r>
              <w:rPr>
                <w:b w:val="0"/>
              </w:rPr>
              <w:t>Upstream/fork SHA, lockfile/dependency hash, SDK/runtime/image pins, migrations, policy version, gate report refs dan change summary.</w:t>
            </w:r>
          </w:p>
        </w:tc>
      </w:tr>
      <w:tr>
        <w:trPr>
          <w:cantSplit/>
        </w:trPr>
        <w:tc>
          <w:tcPr>
            <w:tcW w:type="dxa" w:w="4680"/>
            <w:vAlign w:val="top"/>
          </w:tcPr>
          <w:p>
            <w:pPr>
              <w:pStyle w:val="TableText"/>
              <w:keepNext w:val="0"/>
              <w:keepLines/>
            </w:pPr>
            <w:r>
              <w:rPr>
                <w:b w:val="0"/>
              </w:rPr>
              <w:t>live_mandate</w:t>
            </w:r>
          </w:p>
        </w:tc>
        <w:tc>
          <w:tcPr>
            <w:tcW w:type="dxa" w:w="4680"/>
            <w:vAlign w:val="top"/>
          </w:tcPr>
          <w:p>
            <w:pPr>
              <w:pStyle w:val="TableText"/>
              <w:keepNext w:val="0"/>
              <w:keepLines/>
            </w:pPr>
            <w:r>
              <w:rPr>
                <w:b w:val="0"/>
              </w:rPr>
              <w:t>Owner identity, wallet/chain, allowed actions/strategies/markets, capital &amp; budget cap, expiry, loss limits, policy hash dan gate status.</w:t>
            </w:r>
          </w:p>
        </w:tc>
      </w:tr>
    </w:tbl>
    <w:p>
      <w:pPr>
        <w:spacing w:after="60" w:before="0" w:line="240" w:lineRule="auto"/>
      </w:pPr>
      <w:r>
        <w:rPr>
          <w:sz w:val="4"/>
        </w:rPr>
      </w:r>
    </w:p>
    <w:p>
      <w:pPr>
        <w:pStyle w:val="Heading1"/>
      </w:pPr>
      <w:r>
        <w:t>B14. Implementasi bertahap dan ADR</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4680"/>
        <w:gridCol w:w="4680"/>
      </w:tblGrid>
      <w:tr>
        <w:trPr>
          <w:cantSplit/>
          <w:tblHeader/>
        </w:trPr>
        <w:tc>
          <w:tcPr>
            <w:tcW w:type="dxa" w:w="4680"/>
            <w:vAlign w:val="top"/>
            <w:shd w:fill="E8EEF5" w:val="clear"/>
          </w:tcPr>
          <w:p>
            <w:pPr>
              <w:pStyle w:val="TableText"/>
              <w:keepNext w:val="0"/>
              <w:keepLines/>
            </w:pPr>
            <w:r>
              <w:rPr>
                <w:b/>
              </w:rPr>
              <w:t>Tahap</w:t>
            </w:r>
          </w:p>
        </w:tc>
        <w:tc>
          <w:tcPr>
            <w:tcW w:type="dxa" w:w="4680"/>
            <w:vAlign w:val="top"/>
            <w:shd w:fill="E8EEF5" w:val="clear"/>
          </w:tcPr>
          <w:p>
            <w:pPr>
              <w:pStyle w:val="TableText"/>
              <w:keepNext w:val="0"/>
              <w:keepLines/>
            </w:pPr>
            <w:r>
              <w:rPr>
                <w:b/>
              </w:rPr>
              <w:t>Urutan perubahan / hasil</w:t>
            </w:r>
          </w:p>
        </w:tc>
      </w:tr>
      <w:tr>
        <w:trPr>
          <w:cantSplit/>
        </w:trPr>
        <w:tc>
          <w:tcPr>
            <w:tcW w:type="dxa" w:w="4680"/>
            <w:vAlign w:val="top"/>
          </w:tcPr>
          <w:p>
            <w:pPr>
              <w:pStyle w:val="TableText"/>
              <w:keepNext w:val="0"/>
              <w:keepLines/>
            </w:pPr>
            <w:r>
              <w:rPr>
                <w:b w:val="0"/>
              </w:rPr>
              <w:t>Foundation</w:t>
            </w:r>
          </w:p>
        </w:tc>
        <w:tc>
          <w:tcPr>
            <w:tcW w:type="dxa" w:w="4680"/>
            <w:vAlign w:val="top"/>
          </w:tcPr>
          <w:p>
            <w:pPr>
              <w:pStyle w:val="TableText"/>
              <w:keepNext w:val="0"/>
              <w:keepLines/>
            </w:pPr>
            <w:r>
              <w:rPr>
                <w:b w:val="0"/>
              </w:rPr>
              <w:t>Fork/pin/license → inventory tool &amp; order call graph → default PAPER → SDK/provider probes → ADR asset/signature/runtime. Tutup jalur lama sebelum menambah strategi.</w:t>
            </w:r>
          </w:p>
        </w:tc>
      </w:tr>
      <w:tr>
        <w:trPr>
          <w:cantSplit/>
        </w:trPr>
        <w:tc>
          <w:tcPr>
            <w:tcW w:type="dxa" w:w="4680"/>
            <w:vAlign w:val="top"/>
          </w:tcPr>
          <w:p>
            <w:pPr>
              <w:pStyle w:val="TableText"/>
              <w:keepNext w:val="0"/>
              <w:keepLines/>
            </w:pPr>
            <w:r>
              <w:rPr>
                <w:b w:val="0"/>
              </w:rPr>
              <w:t>Money path</w:t>
            </w:r>
          </w:p>
        </w:tc>
        <w:tc>
          <w:tcPr>
            <w:tcW w:type="dxa" w:w="4680"/>
            <w:vAlign w:val="top"/>
          </w:tcPr>
          <w:p>
            <w:pPr>
              <w:pStyle w:val="TableText"/>
              <w:keepNext w:val="0"/>
              <w:keepLines/>
            </w:pPr>
            <w:r>
              <w:rPr>
                <w:b w:val="0"/>
              </w:rPr>
              <w:t>Domain schema → PG events/reservation/outbox → executor + adapter → unknown/cancel/settlement → reconcile/fencing. Buat fault tests sepanjang boundary, bukan setelah UI selesai.</w:t>
            </w:r>
          </w:p>
        </w:tc>
      </w:tr>
      <w:tr>
        <w:trPr>
          <w:cantSplit/>
        </w:trPr>
        <w:tc>
          <w:tcPr>
            <w:tcW w:type="dxa" w:w="4680"/>
            <w:vAlign w:val="top"/>
          </w:tcPr>
          <w:p>
            <w:pPr>
              <w:pStyle w:val="TableText"/>
              <w:keepNext w:val="0"/>
              <w:keepLines/>
            </w:pPr>
            <w:r>
              <w:rPr>
                <w:b w:val="0"/>
              </w:rPr>
              <w:t>Research &amp; product</w:t>
            </w:r>
          </w:p>
        </w:tc>
        <w:tc>
          <w:tcPr>
            <w:tcW w:type="dxa" w:w="4680"/>
            <w:vAlign w:val="top"/>
          </w:tcPr>
          <w:p>
            <w:pPr>
              <w:pStyle w:val="TableText"/>
              <w:keepNext w:val="0"/>
              <w:keepLines/>
            </w:pPr>
            <w:r>
              <w:rPr>
                <w:b w:val="0"/>
              </w:rPr>
              <w:t>Evidence store → forecast/calibration → strategy/quote → paper/shadow → dashboard dan audit. Cost meter hadir sebelum job LLM terjadwal.</w:t>
            </w:r>
          </w:p>
        </w:tc>
      </w:tr>
      <w:tr>
        <w:trPr>
          <w:cantSplit/>
        </w:trPr>
        <w:tc>
          <w:tcPr>
            <w:tcW w:type="dxa" w:w="4680"/>
            <w:vAlign w:val="top"/>
          </w:tcPr>
          <w:p>
            <w:pPr>
              <w:pStyle w:val="TableText"/>
              <w:keepNext w:val="0"/>
              <w:keepLines/>
            </w:pPr>
            <w:r>
              <w:rPr>
                <w:b w:val="0"/>
              </w:rPr>
              <w:t>Operations</w:t>
            </w:r>
          </w:p>
        </w:tc>
        <w:tc>
          <w:tcPr>
            <w:tcW w:type="dxa" w:w="4680"/>
            <w:vAlign w:val="top"/>
          </w:tcPr>
          <w:p>
            <w:pPr>
              <w:pStyle w:val="TableText"/>
              <w:keepNext w:val="0"/>
              <w:keepLines/>
            </w:pPr>
            <w:r>
              <w:rPr>
                <w:b w:val="0"/>
              </w:rPr>
              <w:t>TLS/role/secret isolation → monitoring/heartbeat → immutable build → restore/rollback drill → G1/G2 evidence.</w:t>
            </w:r>
          </w:p>
        </w:tc>
      </w:tr>
      <w:tr>
        <w:trPr>
          <w:cantSplit/>
        </w:trPr>
        <w:tc>
          <w:tcPr>
            <w:tcW w:type="dxa" w:w="4680"/>
            <w:vAlign w:val="top"/>
          </w:tcPr>
          <w:p>
            <w:pPr>
              <w:pStyle w:val="TableText"/>
              <w:keepNext w:val="0"/>
              <w:keepLines/>
            </w:pPr>
            <w:r>
              <w:rPr>
                <w:b w:val="0"/>
              </w:rPr>
              <w:t>Validation</w:t>
            </w:r>
          </w:p>
        </w:tc>
        <w:tc>
          <w:tcPr>
            <w:tcW w:type="dxa" w:w="4680"/>
            <w:vAlign w:val="top"/>
          </w:tcPr>
          <w:p>
            <w:pPr>
              <w:pStyle w:val="TableText"/>
              <w:keepNext w:val="0"/>
              <w:keepLines/>
            </w:pPr>
            <w:r>
              <w:rPr>
                <w:b w:val="0"/>
              </w:rPr>
              <w:t>Freeze experiment → G3 forward observation → owner micro-LIVE mandate → G4 execution evidence → G5 jika ekonomi dan operasi memenuhi syarat.</w:t>
            </w:r>
          </w:p>
        </w:tc>
      </w:tr>
    </w:tbl>
    <w:p>
      <w:pPr>
        <w:spacing w:after="60" w:before="0" w:line="240" w:lineRule="auto"/>
      </w:pPr>
      <w:r>
        <w:rPr>
          <w:sz w:val="4"/>
        </w:rPr>
      </w:r>
    </w:p>
    <w:p>
      <w:pPr/>
      <w:r>
        <w:t>ADR yang wajib dibekukan sebelum implementasi terkait: ADR-01 scope dan tool allowlist; ADR-02 SDK/signature/collateral registry; ADR-03 ledger/idempotency/state machine; ADR-04 account authentication dan mandate; ADR-05 forecast/calibration/evaluation; ADR-06 runtime/backup/release. Setiap ADR berisi keputusan, alternatif, alasan, konsekuensi dan kondisi review; perubahan membutuhkan versi dan impact ke requirement/test.</w:t>
      </w:r>
    </w:p>
    <w:p>
      <w:pPr/>
      <w:r>
        <w:t>Keputusan terbuka sama dengan PRD: capital/AI budget, eligibility pengguna/host, sumber data dan hak akses, wallet type, SDK patch, kapasitas VPS, serta kecukupan event untuk evaluasi. Detail teknis dapat diselesaikan oleh implementer pada G0; izin dana dan perluasan mandat tetap keputusan pemilik. Tidak ada alasan untuk mengisi budget atau secret dengan nilai contoh yang diam-diam aktif.</w:t>
      </w:r>
    </w:p>
    <w:p>
      <w:pPr>
        <w:pStyle w:val="Heading1"/>
      </w:pPr>
      <w:r>
        <w:t>B15. Sumber primer dan batas verifikasi</w:t>
      </w:r>
    </w:p>
    <w:p>
      <w:pPr/>
      <w:r>
        <w:t>Riset menggunakan kode pada commit 715fd4a6c06b4cd5bb38eee225dd09b3bc95c5e8 dan dokumentasi/publikasi primer dengan baseline 8 September 2026. Inspeksi kode menemukan risiko rancangan; tidak membuktikan exploit atau kerugian aktual. Dokumen API merupakan kontrak yang perlu diverifikasi ulang pada versi deploy. Rancangan tidak menganggap format baru, collateral atau heartbeat kompatibel dengan semua jalur upstream tanpa tes.</w:t>
      </w:r>
    </w:p>
    <w:p>
      <w:pPr>
        <w:pStyle w:val="SourceText"/>
        <w:keepLines/>
      </w:pPr>
      <w:r>
        <w:rPr>
          <w:b/>
        </w:rPr>
        <w:t xml:space="preserve">S01  </w:t>
      </w:r>
      <w:hyperlink r:id="rId11">
        <w:r>
          <w:rPr>
            <w:color w:val="2E74B5"/>
            <w:u w:val="single"/>
          </w:rPr>
          <w:t>CloddsBot — LICENSE dan basis fork</w:t>
        </w:r>
      </w:hyperlink>
      <w:r>
        <w:t xml:space="preserve"> — GitHub / alsk1992. Lisensi MIT mengizinkan penggunaan dan modifikasi dengan kewajiban mempertahankan pemberitahuan lisensi/copyright.</w:t>
      </w:r>
    </w:p>
    <w:p>
      <w:pPr>
        <w:pStyle w:val="SourceText"/>
        <w:keepLines/>
      </w:pPr>
      <w:r>
        <w:rPr>
          <w:b/>
        </w:rPr>
        <w:t xml:space="preserve">S02  </w:t>
      </w:r>
      <w:hyperlink r:id="rId12">
        <w:r>
          <w:rPr>
            <w:color w:val="2E74B5"/>
            <w:u w:val="single"/>
          </w:rPr>
          <w:t>CloddsBot — package.json</w:t>
        </w:r>
      </w:hyperlink>
      <w:r>
        <w:t xml:space="preserve"> — GitHub / alsk1992. Versi 1.9.0; Node &gt;=22, TypeScript dan sejumlah integrasi. Package bukan bukti semua strategi siap LIVE.</w:t>
      </w:r>
    </w:p>
    <w:p>
      <w:pPr>
        <w:pStyle w:val="SourceText"/>
        <w:keepLines/>
      </w:pPr>
      <w:r>
        <w:rPr>
          <w:b/>
        </w:rPr>
        <w:t xml:space="preserve">S03  </w:t>
      </w:r>
      <w:hyperlink r:id="rId15">
        <w:r>
          <w:rPr>
            <w:color w:val="2E74B5"/>
            <w:u w:val="single"/>
          </w:rPr>
          <w:t>CloddsBot — execution/index.ts</w:t>
        </w:r>
      </w:hyperlink>
      <w:r>
        <w:t xml:space="preserve"> — GitHub / alsk1992. Helper fee memakai negRisk untuk menghasilkan 25 atau 0 bps, termasuk fallback nol; perlu diganti untuk kontrak fee terkini.</w:t>
      </w:r>
    </w:p>
    <w:p>
      <w:pPr>
        <w:pStyle w:val="SourceText"/>
        <w:keepLines/>
      </w:pPr>
      <w:r>
        <w:rPr>
          <w:b/>
        </w:rPr>
        <w:t xml:space="preserve">S04  </w:t>
      </w:r>
      <w:hyperlink r:id="rId16">
        <w:r>
          <w:rPr>
            <w:color w:val="2E74B5"/>
            <w:u w:val="single"/>
          </w:rPr>
          <w:t>CloddsBot — hft-divergence/strategy.ts</w:t>
        </w:r>
      </w:hyperlink>
      <w:r>
        <w:t xml:space="preserve"> — GitHub / alsk1992. Jalur cancel/fallback dan close posisi memerlukan rekonsiliasi fill; close lokal setelah sellLimit tidak cukup membuktikan penjualan selesai.</w:t>
      </w:r>
    </w:p>
    <w:p>
      <w:pPr>
        <w:pStyle w:val="SourceText"/>
        <w:keepLines/>
      </w:pPr>
      <w:r>
        <w:rPr>
          <w:b/>
        </w:rPr>
        <w:t xml:space="preserve">S05  </w:t>
      </w:r>
      <w:hyperlink r:id="rId17">
        <w:r>
          <w:rPr>
            <w:color w:val="2E74B5"/>
            <w:u w:val="single"/>
          </w:rPr>
          <w:t>CloddsBot — trading-polymarket skill</w:t>
        </w:r>
      </w:hyperlink>
      <w:r>
        <w:t xml:space="preserve"> — GitHub / alsk1992. dryRun bergantung pada DRY_RUN === true dalam string; nilai unset bukan default paper yang seragam.</w:t>
      </w:r>
    </w:p>
    <w:p>
      <w:pPr>
        <w:pStyle w:val="SourceText"/>
        <w:keepLines/>
      </w:pPr>
      <w:r>
        <w:rPr>
          <w:b/>
        </w:rPr>
        <w:t xml:space="preserve">S06  </w:t>
      </w:r>
      <w:hyperlink r:id="rId18">
        <w:r>
          <w:rPr>
            <w:color w:val="2E74B5"/>
            <w:u w:val="single"/>
          </w:rPr>
          <w:t>CloddsBot — provider interface</w:t>
        </w:r>
      </w:hyperlink>
      <w:r>
        <w:t xml:space="preserve"> — GitHub / alsk1992. Antarmuka provider dasar ada; kontrak structured output/tool calls dan normalisasi base URL harus diuji untuk kebutuhan baru.</w:t>
      </w:r>
    </w:p>
    <w:p>
      <w:pPr>
        <w:pStyle w:val="SourceText"/>
        <w:keepLines/>
      </w:pPr>
      <w:r>
        <w:rPr>
          <w:b/>
        </w:rPr>
        <w:t xml:space="preserve">S07  </w:t>
      </w:r>
      <w:hyperlink r:id="rId19">
        <w:r>
          <w:rPr>
            <w:color w:val="2E74B5"/>
            <w:u w:val="single"/>
          </w:rPr>
          <w:t>CloddsBot — order persistence</w:t>
        </w:r>
      </w:hyperlink>
      <w:r>
        <w:t xml:space="preserve"> — GitHub / alsk1992. Persistence TWAP/bracket tersedia; belum menjadi bukti ledger eksekusi umum yang menjamin invariants rancangan ini.</w:t>
      </w:r>
    </w:p>
    <w:p>
      <w:pPr>
        <w:pStyle w:val="SourceText"/>
        <w:keepLines/>
      </w:pPr>
      <w:r>
        <w:rPr>
          <w:b/>
        </w:rPr>
        <w:t xml:space="preserve">S08  </w:t>
      </w:r>
      <w:hyperlink r:id="rId20">
        <w:r>
          <w:rPr>
            <w:color w:val="2E74B5"/>
            <w:u w:val="single"/>
          </w:rPr>
          <w:t>CloddsBot — deployment Compose</w:t>
        </w:r>
      </w:hyperlink>
      <w:r>
        <w:t xml:space="preserve"> — GitHub / alsk1992. Compose upstream mengekspos gateway dan berbagi konfigurasi; target fork memerlukan isolasi executor dan akses jaringan.</w:t>
      </w:r>
    </w:p>
    <w:p>
      <w:pPr>
        <w:pStyle w:val="SourceText"/>
        <w:keepLines/>
      </w:pPr>
      <w:r>
        <w:rPr>
          <w:b/>
        </w:rPr>
        <w:t xml:space="preserve">S09  </w:t>
      </w:r>
      <w:hyperlink r:id="rId13">
        <w:r>
          <w:rPr>
            <w:color w:val="2E74B5"/>
            <w:u w:val="single"/>
          </w:rPr>
          <w:t>Polymarket — TypeScript client</w:t>
        </w:r>
      </w:hyperlink>
      <w:r>
        <w:t xml:space="preserve"> — Polymarket. Dokumentasi menunjuk @polymarket/client sebagai SDK TypeScript resmi dengan public/secure clients.</w:t>
      </w:r>
    </w:p>
    <w:p>
      <w:pPr>
        <w:pStyle w:val="SourceText"/>
        <w:keepLines/>
      </w:pPr>
      <w:r>
        <w:rPr>
          <w:b/>
        </w:rPr>
        <w:t xml:space="preserve">S10  </w:t>
      </w:r>
      <w:hyperlink r:id="rId29">
        <w:r>
          <w:rPr>
            <w:color w:val="2E74B5"/>
            <w:u w:val="single"/>
          </w:rPr>
          <w:t>Polymarket — pUSD</w:t>
        </w:r>
      </w:hyperlink>
      <w:r>
        <w:t xml:space="preserve"> — Polymarket. pUSD merupakan collateral trading pada dokumentasi terkini. Jalur konversi dan identitas aset harus dikonfirmasi pada deployment.</w:t>
      </w:r>
    </w:p>
    <w:p>
      <w:pPr>
        <w:pStyle w:val="SourceText"/>
        <w:keepLines/>
      </w:pPr>
      <w:r>
        <w:rPr>
          <w:b/>
        </w:rPr>
        <w:t xml:space="preserve">S11  </w:t>
      </w:r>
      <w:hyperlink r:id="rId26">
        <w:r>
          <w:rPr>
            <w:color w:val="2E74B5"/>
            <w:u w:val="single"/>
          </w:rPr>
          <w:t>Polymarket — API overview</w:t>
        </w:r>
      </w:hyperlink>
      <w:r>
        <w:t xml:space="preserve"> — Polymarket. Polygon chain 137; autentikasi wallet dan kredensial request memiliki fungsi berbeda.</w:t>
      </w:r>
    </w:p>
    <w:p>
      <w:pPr>
        <w:pStyle w:val="SourceText"/>
        <w:keepLines/>
      </w:pPr>
      <w:r>
        <w:rPr>
          <w:b/>
        </w:rPr>
        <w:t xml:space="preserve">S12  </w:t>
      </w:r>
      <w:hyperlink r:id="rId24">
        <w:r>
          <w:rPr>
            <w:color w:val="2E74B5"/>
            <w:u w:val="single"/>
          </w:rPr>
          <w:t>Polymarket — fees</w:t>
        </w:r>
      </w:hyperlink>
      <w:r>
        <w:t xml:space="preserve"> — Polymarket. Fee dipengaruhi konfigurasi pasar dan harga; contoh taker C × feeRate × p × (1-p).</w:t>
      </w:r>
    </w:p>
    <w:p>
      <w:pPr>
        <w:pStyle w:val="SourceText"/>
        <w:keepLines/>
      </w:pPr>
      <w:r>
        <w:rPr>
          <w:b/>
        </w:rPr>
        <w:t xml:space="preserve">S13  </w:t>
      </w:r>
      <w:hyperlink r:id="rId22">
        <w:r>
          <w:rPr>
            <w:color w:val="2E74B5"/>
            <w:u w:val="single"/>
          </w:rPr>
          <w:t>Polymarket — market details</w:t>
        </w:r>
      </w:hyperlink>
      <w:r>
        <w:t xml:space="preserve"> — Polymarket. Metadata meliputi feeSchedule, tick, ukuran, status dan delay; kontrak aktual harus dibaca per market.</w:t>
      </w:r>
    </w:p>
    <w:p>
      <w:pPr>
        <w:pStyle w:val="SourceText"/>
        <w:keepLines/>
      </w:pPr>
      <w:r>
        <w:rPr>
          <w:b/>
        </w:rPr>
        <w:t xml:space="preserve">S14  </w:t>
      </w:r>
      <w:hyperlink r:id="rId25">
        <w:r>
          <w:rPr>
            <w:color w:val="2E74B5"/>
            <w:u w:val="single"/>
          </w:rPr>
          <w:t>Polymarket — placing orders</w:t>
        </w:r>
      </w:hyperlink>
      <w:r>
        <w:t xml:space="preserve"> — Polymarket. Market buy amount bukan otomatis batas seluruh pengeluaran; maxSpend/maxPrice membatasi biaya/harga sesuai kontrak SDK.</w:t>
      </w:r>
    </w:p>
    <w:p>
      <w:pPr>
        <w:pStyle w:val="SourceText"/>
        <w:keepLines/>
      </w:pPr>
      <w:r>
        <w:rPr>
          <w:b/>
        </w:rPr>
        <w:t xml:space="preserve">S15  </w:t>
      </w:r>
      <w:hyperlink r:id="rId27">
        <w:r>
          <w:rPr>
            <w:color w:val="2E74B5"/>
            <w:u w:val="single"/>
          </w:rPr>
          <w:t>Polymarket — order lifecycle</w:t>
        </w:r>
      </w:hyperlink>
      <w:r>
        <w:t xml:space="preserve"> — Polymarket. Order acceptance, matching dan settlement adalah tahap berbeda; trade CONFIRMED/FAILED berbeda dari MATCHED/MINED/RETRYING.</w:t>
      </w:r>
    </w:p>
    <w:p>
      <w:pPr>
        <w:pStyle w:val="SourceText"/>
        <w:keepLines/>
      </w:pPr>
      <w:r>
        <w:rPr>
          <w:b/>
        </w:rPr>
        <w:t xml:space="preserve">S16  </w:t>
      </w:r>
      <w:hyperlink r:id="rId28">
        <w:r>
          <w:rPr>
            <w:color w:val="2E74B5"/>
            <w:u w:val="single"/>
          </w:rPr>
          <w:t>Polymarket — managing orders</w:t>
        </w:r>
      </w:hyperlink>
      <w:r>
        <w:t xml:space="preserve"> — Polymarket. Heartbeat order harus dirangkai memakai ID terbaru; respons cancel memuat canceled dan not_canceled per order.</w:t>
      </w:r>
    </w:p>
    <w:p>
      <w:pPr>
        <w:pStyle w:val="SourceText"/>
        <w:keepLines/>
      </w:pPr>
      <w:r>
        <w:rPr>
          <w:b/>
        </w:rPr>
        <w:t xml:space="preserve">S17  </w:t>
      </w:r>
      <w:hyperlink r:id="rId23">
        <w:r>
          <w:rPr>
            <w:color w:val="2E74B5"/>
            <w:u w:val="single"/>
          </w:rPr>
          <w:t>Polymarket — real-time order updates</w:t>
        </w:r>
      </w:hyperlink>
      <w:r>
        <w:t xml:space="preserve"> — Polymarket. User stream mengirim update order/trade; heartbeat koneksi berbeda dari perlindungan resting order.</w:t>
      </w:r>
    </w:p>
    <w:p>
      <w:pPr>
        <w:pStyle w:val="SourceText"/>
        <w:keepLines/>
      </w:pPr>
      <w:r>
        <w:rPr>
          <w:b/>
        </w:rPr>
        <w:t xml:space="preserve">S18  </w:t>
      </w:r>
      <w:hyperlink r:id="rId31">
        <w:r>
          <w:rPr>
            <w:color w:val="2E74B5"/>
            <w:u w:val="single"/>
          </w:rPr>
          <w:t>Polymarket — geographic restrictions</w:t>
        </w:r>
      </w:hyperlink>
      <w:r>
        <w:t xml:space="preserve"> — Polymarket. Endpoint geoblock menilai IP request; hasilnya bukan bukti lengkap kelayakan akun atau pengguna.</w:t>
      </w:r>
    </w:p>
    <w:p>
      <w:pPr>
        <w:pStyle w:val="SourceText"/>
        <w:keepLines/>
      </w:pPr>
      <w:r>
        <w:rPr>
          <w:b/>
        </w:rPr>
        <w:t xml:space="preserve">S19  </w:t>
      </w:r>
      <w:hyperlink r:id="rId32">
        <w:r>
          <w:rPr>
            <w:color w:val="2E74B5"/>
            <w:u w:val="single"/>
          </w:rPr>
          <w:t>Node.js — releases</w:t>
        </w:r>
      </w:hyperlink>
      <w:r>
        <w:t xml:space="preserve"> — Node.js. Node 24 berstatus LTS pada tanggal riset; pemilihan patch dan kompatibilitas native dependency tetap gate implementasi.</w:t>
      </w:r>
    </w:p>
    <w:p>
      <w:pPr>
        <w:pStyle w:val="SourceText"/>
        <w:keepLines/>
      </w:pPr>
      <w:r>
        <w:rPr>
          <w:b/>
        </w:rPr>
        <w:t xml:space="preserve">S20  </w:t>
      </w:r>
      <w:hyperlink r:id="rId14">
        <w:r>
          <w:rPr>
            <w:color w:val="2E74B5"/>
            <w:u w:val="single"/>
          </w:rPr>
          <w:t>PostgreSQL 17 — transaction isolation</w:t>
        </w:r>
      </w:hyperlink>
      <w:r>
        <w:t xml:space="preserve"> — PostgreSQL Global Development Group. Serializable dapat memerlukan retry transaksi; efek jaringan finansial tidak boleh diretry secara buta.</w:t>
      </w:r>
    </w:p>
    <w:p>
      <w:pPr>
        <w:pStyle w:val="SourceText"/>
        <w:keepLines/>
      </w:pPr>
      <w:r>
        <w:rPr>
          <w:b/>
        </w:rPr>
        <w:t xml:space="preserve">S21  </w:t>
      </w:r>
      <w:hyperlink r:id="rId33">
        <w:r>
          <w:rPr>
            <w:color w:val="2E74B5"/>
            <w:u w:val="single"/>
          </w:rPr>
          <w:t>PostgreSQL 17 — continuous archiving</w:t>
        </w:r>
      </w:hyperlink>
      <w:r>
        <w:t xml:space="preserve"> — PostgreSQL Global Development Group. Base backup dan arsip WAL memungkinkan PITR; RPO/RTO harus diuji pada infrastruktur nyata.</w:t>
      </w:r>
    </w:p>
    <w:p>
      <w:pPr>
        <w:pStyle w:val="SourceText"/>
        <w:keepLines/>
      </w:pPr>
      <w:r>
        <w:rPr>
          <w:b/>
        </w:rPr>
        <w:t xml:space="preserve">S22  </w:t>
      </w:r>
      <w:hyperlink r:id="rId30">
        <w:r>
          <w:rPr>
            <w:color w:val="2E74B5"/>
            <w:u w:val="single"/>
          </w:rPr>
          <w:t>OWASP — LLM prompt injection prevention</w:t>
        </w:r>
      </w:hyperlink>
      <w:r>
        <w:t xml:space="preserve"> — OWASP. Konten eksternal tak tepercaya memerlukan pemisahan instruksi, izin minimal, validasi output dan pertahanan berlapis.</w:t>
      </w:r>
    </w:p>
    <w:p>
      <w:pPr>
        <w:pStyle w:val="SourceText"/>
        <w:keepLines/>
      </w:pPr>
      <w:r>
        <w:rPr>
          <w:b/>
        </w:rPr>
        <w:t xml:space="preserve">S23  </w:t>
      </w:r>
      <w:hyperlink r:id="rId34">
        <w:r>
          <w:rPr>
            <w:color w:val="2E74B5"/>
            <w:u w:val="single"/>
          </w:rPr>
          <w:t>Gneiting &amp; Raftery (2007) — Proper scoring rules</w:t>
        </w:r>
      </w:hyperlink>
      <w:r>
        <w:t xml:space="preserve"> — Journal of the American Statistical Association. Proper scoring rules mendukung evaluasi probabilitas; calibration dan sharpness lebih informatif daripada confidence verbal.</w:t>
      </w:r>
    </w:p>
    <w:p>
      <w:pPr>
        <w:pStyle w:val="SourceText"/>
        <w:keepLines/>
      </w:pPr>
      <w:r>
        <w:rPr>
          <w:b/>
        </w:rPr>
        <w:t xml:space="preserve">S24  </w:t>
      </w:r>
      <w:hyperlink r:id="rId35">
        <w:r>
          <w:rPr>
            <w:color w:val="2E74B5"/>
            <w:u w:val="single"/>
          </w:rPr>
          <w:t>Hyndman &amp; Athanasopoulos — Time series cross-validation</w:t>
        </w:r>
      </w:hyperlink>
      <w:r>
        <w:t xml:space="preserve"> — Forecasting: Principles and Practice, edisi 3. Rolling-origin evaluation mempertahankan urutan waktu; observasi masa depan tidak boleh menjadi input masa lalu.</w:t>
      </w:r>
    </w:p>
    <w:p>
      <w:pPr>
        <w:pStyle w:val="SourceText"/>
        <w:keepLines/>
      </w:pPr>
      <w:r>
        <w:rPr>
          <w:b/>
        </w:rPr>
        <w:t xml:space="preserve">S25  </w:t>
      </w:r>
      <w:hyperlink r:id="rId36">
        <w:r>
          <w:rPr>
            <w:color w:val="2E74B5"/>
            <w:u w:val="single"/>
          </w:rPr>
          <w:t>Kapoor &amp; Narayanan (2022) — Leakage and reproducibility</w:t>
        </w:r>
      </w:hyperlink>
      <w:r>
        <w:t xml:space="preserve"> — arXiv / penulis. Kebocoran data dapat menggelembungkan hasil ML; pemisahan data saja tidak mengatasi semua jalur leakage.</w:t>
      </w:r>
    </w:p>
    <w:p>
      <w:pPr>
        <w:pStyle w:val="SourceText"/>
        <w:keepLines/>
      </w:pPr>
      <w:r>
        <w:rPr>
          <w:b/>
        </w:rPr>
        <w:t xml:space="preserve">S26  </w:t>
      </w:r>
      <w:hyperlink r:id="rId37">
        <w:r>
          <w:rPr>
            <w:color w:val="2E74B5"/>
            <w:u w:val="single"/>
          </w:rPr>
          <w:t>Dimitriadis, Gneiting &amp; Jordan — Stable reliability diagrams</w:t>
        </w:r>
      </w:hyperlink>
      <w:r>
        <w:t xml:space="preserve"> — arXiv / penulis; PNAS 2021. Diagram reliabilitas dan kalibrasi probabilitas memerlukan estimasi serta ketidakpastian yang tepat.</w:t>
      </w:r>
    </w:p>
    <w:p>
      <w:pPr>
        <w:pStyle w:val="SourceText"/>
        <w:keepLines/>
      </w:pPr>
      <w:r>
        <w:rPr>
          <w:b/>
        </w:rPr>
        <w:t xml:space="preserve">S27  </w:t>
      </w:r>
      <w:hyperlink r:id="rId38">
        <w:r>
          <w:rPr>
            <w:color w:val="2E74B5"/>
            <w:u w:val="single"/>
          </w:rPr>
          <w:t>Bailey et al. — The probability of backtest overfitting</w:t>
        </w:r>
      </w:hyperlink>
      <w:r>
        <w:t xml:space="preserve"> — Penulis / makalah riset. Pemilihan strategi dari banyak backtest dapat menimbulkan selection bias; hasil terbaik bukan bukti edge masa depan.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t>Blueprint v1.0 • Baseline riset 08 Sep 2026</w:t>
      <w:tab/>
    </w:r>
    <w: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POLYMARKET AI TRADER  /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tabs>
          <w:tab w:val="num" w:pos="540"/>
        </w:tabs>
        <w:ind w:left="540" w:hanging="271"/>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Calibri"/>
      <w:b w:val="0"/>
      <w:color w:val="2336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Calibri"/>
      <w:b w:val="0"/>
      <w:color w:val="607788"/>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Calibri" w:hAnsi="Calibri" w:eastAsia="Calibri"/>
      <w:b w:val="0"/>
      <w:color w:val="60778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2" w:lineRule="auto"/>
      <w:contextualSpacing/>
    </w:pPr>
    <w:rPr>
      <w:rFonts w:ascii="Calibri" w:hAnsi="Calibri" w:eastAsia="Calibri"/>
      <w:b/>
      <w:color w:val="163C5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Calibri" w:hAnsi="Calibri" w:eastAsia="Calibri"/>
      <w:b w:val="0"/>
      <w:i/>
      <w:iCs/>
      <w:color w:val="526779"/>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eastAsia="Calibri"/>
      <w:b w:val="0"/>
      <w:bCs/>
      <w:color w:val="52677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line="259" w:lineRule="auto" w:after="60" w:before="0"/>
    </w:pPr>
    <w:rPr>
      <w:rFonts w:ascii="Calibri" w:hAnsi="Calibri" w:eastAsia="Calibri"/>
      <w:b w:val="0"/>
      <w:color w:val="233646"/>
      <w:sz w:val="20"/>
    </w:rPr>
  </w:style>
  <w:style w:type="paragraph" w:customStyle="1" w:styleId="SourceText">
    <w:name w:val="Source Text"/>
    <w:pPr>
      <w:spacing w:line="264" w:lineRule="auto" w:after="80" w:before="80"/>
    </w:pPr>
    <w:rPr>
      <w:rFonts w:ascii="Calibri" w:hAnsi="Calibri" w:eastAsia="Calibri"/>
      <w:b w:val="0"/>
      <w:color w:val="233646"/>
      <w:sz w:val="18"/>
    </w:rPr>
  </w:style>
  <w:style w:type="paragraph" w:customStyle="1" w:styleId="CodeText">
    <w:name w:val="Code Text"/>
    <w:pPr>
      <w:spacing w:line="252" w:lineRule="auto" w:after="80" w:before="0"/>
    </w:pPr>
    <w:rPr>
      <w:rFonts w:ascii="Consolas" w:hAnsi="Consolas" w:eastAsia="Consolas"/>
      <w:b w:val="0"/>
      <w:color w:val="233646"/>
      <w:sz w:val="18"/>
    </w:rPr>
  </w:style>
  <w:style w:type="paragraph" w:customStyle="1" w:styleId="MetaText">
    <w:name w:val="Meta Text"/>
    <w:pPr>
      <w:spacing w:line="276" w:lineRule="auto" w:after="80" w:before="0"/>
    </w:pPr>
    <w:rPr>
      <w:rFonts w:ascii="Calibri" w:hAnsi="Calibri" w:eastAsia="Calibri"/>
      <w:b w:val="0"/>
      <w:color w:val="23364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lsk1992/CloddsBot/blob/715fd4a6c06b4cd5bb38eee225dd09b3bc95c5e8/LICENSE" TargetMode="External"/><Relationship Id="rId12" Type="http://schemas.openxmlformats.org/officeDocument/2006/relationships/hyperlink" Target="https://github.com/alsk1992/CloddsBot/blob/715fd4a6c06b4cd5bb38eee225dd09b3bc95c5e8/package.json" TargetMode="External"/><Relationship Id="rId13" Type="http://schemas.openxmlformats.org/officeDocument/2006/relationships/hyperlink" Target="https://docs.polymarket.com/getting-started/typescript" TargetMode="External"/><Relationship Id="rId14" Type="http://schemas.openxmlformats.org/officeDocument/2006/relationships/hyperlink" Target="https://www.postgresql.org/docs/17/transaction-iso.html" TargetMode="External"/><Relationship Id="rId15" Type="http://schemas.openxmlformats.org/officeDocument/2006/relationships/hyperlink" Target="https://github.com/alsk1992/CloddsBot/blob/715fd4a6c06b4cd5bb38eee225dd09b3bc95c5e8/src/execution/index.ts" TargetMode="External"/><Relationship Id="rId16" Type="http://schemas.openxmlformats.org/officeDocument/2006/relationships/hyperlink" Target="https://github.com/alsk1992/CloddsBot/blob/715fd4a6c06b4cd5bb38eee225dd09b3bc95c5e8/src/strategies/hft-divergence/strategy.ts" TargetMode="External"/><Relationship Id="rId17" Type="http://schemas.openxmlformats.org/officeDocument/2006/relationships/hyperlink" Target="https://github.com/alsk1992/CloddsBot/blob/715fd4a6c06b4cd5bb38eee225dd09b3bc95c5e8/src/skills/bundled/trading-polymarket/index.ts" TargetMode="External"/><Relationship Id="rId18" Type="http://schemas.openxmlformats.org/officeDocument/2006/relationships/hyperlink" Target="https://github.com/alsk1992/CloddsBot/blob/715fd4a6c06b4cd5bb38eee225dd09b3bc95c5e8/src/providers/index.ts" TargetMode="External"/><Relationship Id="rId19" Type="http://schemas.openxmlformats.org/officeDocument/2006/relationships/hyperlink" Target="https://github.com/alsk1992/CloddsBot/blob/715fd4a6c06b4cd5bb38eee225dd09b3bc95c5e8/src/execution/order-persistence.ts" TargetMode="External"/><Relationship Id="rId20" Type="http://schemas.openxmlformats.org/officeDocument/2006/relationships/hyperlink" Target="https://github.com/alsk1992/CloddsBot/blob/715fd4a6c06b4cd5bb38eee225dd09b3bc95c5e8/docker-compose.yml" TargetMode="External"/><Relationship Id="rId21" Type="http://schemas.openxmlformats.org/officeDocument/2006/relationships/image" Target="media/image1.png"/><Relationship Id="rId22" Type="http://schemas.openxmlformats.org/officeDocument/2006/relationships/hyperlink" Target="https://docs.polymarket.com/market-data/market-details" TargetMode="External"/><Relationship Id="rId23" Type="http://schemas.openxmlformats.org/officeDocument/2006/relationships/hyperlink" Target="https://docs.polymarket.com/trading/realtime-order-updates" TargetMode="External"/><Relationship Id="rId24" Type="http://schemas.openxmlformats.org/officeDocument/2006/relationships/hyperlink" Target="https://docs.polymarket.com/trading/fees" TargetMode="External"/><Relationship Id="rId25" Type="http://schemas.openxmlformats.org/officeDocument/2006/relationships/hyperlink" Target="https://docs.polymarket.com/trading/place-orders" TargetMode="External"/><Relationship Id="rId26" Type="http://schemas.openxmlformats.org/officeDocument/2006/relationships/hyperlink" Target="https://docs.polymarket.com/getting-started/api" TargetMode="External"/><Relationship Id="rId27" Type="http://schemas.openxmlformats.org/officeDocument/2006/relationships/hyperlink" Target="https://docs.polymarket.com/concepts/order-lifecycle" TargetMode="External"/><Relationship Id="rId28" Type="http://schemas.openxmlformats.org/officeDocument/2006/relationships/hyperlink" Target="https://docs.polymarket.com/trading/manage-orders" TargetMode="External"/><Relationship Id="rId29" Type="http://schemas.openxmlformats.org/officeDocument/2006/relationships/hyperlink" Target="https://docs.polymarket.com/concepts/pusd" TargetMode="External"/><Relationship Id="rId30" Type="http://schemas.openxmlformats.org/officeDocument/2006/relationships/hyperlink" Target="https://cheatsheetseries.owasp.org/cheatsheets/LLM_Prompt_Injection_Prevention_Cheat_Sheet.html" TargetMode="External"/><Relationship Id="rId31" Type="http://schemas.openxmlformats.org/officeDocument/2006/relationships/hyperlink" Target="https://docs.polymarket.com/api-reference/geoblock" TargetMode="External"/><Relationship Id="rId32" Type="http://schemas.openxmlformats.org/officeDocument/2006/relationships/hyperlink" Target="https://nodejs.org/en/about/previous-releases" TargetMode="External"/><Relationship Id="rId33" Type="http://schemas.openxmlformats.org/officeDocument/2006/relationships/hyperlink" Target="https://www.postgresql.org/docs/17/continuous-archiving.html" TargetMode="External"/><Relationship Id="rId34" Type="http://schemas.openxmlformats.org/officeDocument/2006/relationships/hyperlink" Target="https://sites.stat.washington.edu/raftery/Research/PDF/Gneiting2007jasa.pdf" TargetMode="External"/><Relationship Id="rId35" Type="http://schemas.openxmlformats.org/officeDocument/2006/relationships/hyperlink" Target="https://otexts.com/fpp3/tscv.html" TargetMode="External"/><Relationship Id="rId36" Type="http://schemas.openxmlformats.org/officeDocument/2006/relationships/hyperlink" Target="https://arxiv.org/abs/2207.07048" TargetMode="External"/><Relationship Id="rId37" Type="http://schemas.openxmlformats.org/officeDocument/2006/relationships/hyperlink" Target="https://arxiv.org/abs/2008.03033" TargetMode="External"/><Relationship Id="rId38" Type="http://schemas.openxmlformats.org/officeDocument/2006/relationships/hyperlink" Target="https://www.davidhbailey.com/dhbpapers/backtest-pro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Polymarket AI Trader — Blueprint</dc:title>
  <dc:subject>Rancangan fork CloddsBot berdasarkan riset primer</dc:subject>
  <dc:creator>Disusun untuk Crypty</dc:creator>
  <cp:keywords>Polymarket, CloddsBot, PRD, Blueprint, AI, risk, execution</cp:keywords>
  <dc:description>Rancangan v1.0; bukan bukti implementasi, audit keamanan lengkap, atau profitabilitas.</dc:description>
  <cp:lastModifiedBy/>
  <cp:revision>1</cp:revision>
  <dcterms:created xsi:type="dcterms:W3CDTF">2013-12-23T23:15:00Z</dcterms:created>
  <dcterms:modified xsi:type="dcterms:W3CDTF">2013-12-23T23:15:00Z</dcterms:modified>
  <cp:category/>
</cp:coreProperties>
</file>