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 Polymarket AI Trader</w:t>
      </w:r>
    </w:p>
    <w:p>
      <w:pPr>
        <w:pStyle w:val="MetaText"/>
      </w:pPr>
      <w:r>
        <w:t>Basis produk: fork CloddsBot • Versi 1.0 • Disusun 9 September 2026</w:t>
      </w:r>
    </w:p>
    <w:p>
      <w:pPr>
        <w:pStyle w:val="MetaText"/>
      </w:pPr>
      <w:r>
        <w:t>Baseline riset: 8 September 2026 • Status: rancangan untuk implementasi, belum diuji dengan dana nyata</w:t>
      </w:r>
    </w:p>
    <w:p>
      <w:pPr>
        <w:spacing w:before="120" w:after="200"/>
        <w:shd w:fill="F0F5FA" w:val="clear"/>
      </w:pPr>
      <w:r>
        <w:rPr>
          <w:b/>
        </w:rPr>
        <w:t>Keputusan produk</w:t>
        <w:br/>
      </w:r>
      <w:r>
        <w:t>Bangun bot pribadi yang meneliti pasar Polymarket dengan AI, menghasilkan probabilitas yang dapat ditelusuri, dan mengeksekusi transaksi secara otonom hanya di dalam mandat pemilik. Mulai dari PAPER, satu wallet khusus, satu strategi, dan satu execution service.</w:t>
      </w:r>
    </w:p>
    <w:p>
      <w:pPr/>
      <w:r>
        <w:t>PRD menetapkan kebutuhan dan kelulusan produk; Blueprint menjelaskan desain dan pengujiannya. Keduanya memakai 53 requirement yang sama: 49 P0 wajib dan 4 P1 pelengkap, masing-masing dengan skenario acceptance test.</w:t>
      </w:r>
    </w:p>
    <w:p>
      <w:pPr/>
      <w:r>
        <w:t>Riset mencakup inspeksi kode yang dipin, dokumentasi resmi, dan literatur evaluasi. Belum dilakukan instalasi produksi, benchmark VPS, security audit menyeluruh, atau transaksi LIVE. Profitabilitas CloddsBot maupun strategi usulan belum terbukti.</w:t>
      </w:r>
    </w:p>
    <w:p>
      <w:pPr>
        <w:pStyle w:val="Heading1"/>
      </w:pPr>
      <w:r>
        <w:t>P1. Tujuan dan hasil yang dicari</w:t>
      </w:r>
    </w:p>
    <w:p>
      <w:pPr/>
      <w:r>
        <w:t>Bot mengurangi pekerjaan mencari pasar, menilai bukti, dan mengawasi order. Keputusan harus dapat diaudit, batas modal dilindungi dari perubahan oleh AI, dan proses tetap benar saat jaringan atau model gagal. Profitabilitas diuji terpisah.</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Tujuan</w:t>
            </w:r>
          </w:p>
        </w:tc>
        <w:tc>
          <w:tcPr>
            <w:tcW w:type="dxa" w:w="4680"/>
            <w:vAlign w:val="top"/>
            <w:shd w:fill="E8EEF5" w:val="clear"/>
          </w:tcPr>
          <w:p>
            <w:pPr>
              <w:pStyle w:val="TableText"/>
              <w:keepNext w:val="0"/>
              <w:keepLines/>
            </w:pPr>
            <w:r>
              <w:rPr>
                <w:b/>
              </w:rPr>
              <w:t>Ukuran keberhasilan</w:t>
            </w:r>
          </w:p>
        </w:tc>
      </w:tr>
      <w:tr>
        <w:trPr>
          <w:cantSplit/>
        </w:trPr>
        <w:tc>
          <w:tcPr>
            <w:tcW w:type="dxa" w:w="4680"/>
            <w:vAlign w:val="top"/>
          </w:tcPr>
          <w:p>
            <w:pPr>
              <w:pStyle w:val="TableText"/>
              <w:keepNext w:val="0"/>
              <w:keepLines/>
            </w:pPr>
            <w:r>
              <w:rPr>
                <w:b w:val="0"/>
              </w:rPr>
              <w:t>Keputusan dapat ditelusuri</w:t>
            </w:r>
          </w:p>
        </w:tc>
        <w:tc>
          <w:tcPr>
            <w:tcW w:type="dxa" w:w="4680"/>
            <w:vAlign w:val="top"/>
          </w:tcPr>
          <w:p>
            <w:pPr>
              <w:pStyle w:val="TableText"/>
              <w:keepNext w:val="0"/>
              <w:keepLines/>
            </w:pPr>
            <w:r>
              <w:rPr>
                <w:b w:val="0"/>
              </w:rPr>
              <w:t>100% intent memiliki forecast, sumber, snapshot harga, versi strategi dan policy; setiap NO_TRADE mempunyai reason code.</w:t>
            </w:r>
          </w:p>
        </w:tc>
      </w:tr>
      <w:tr>
        <w:trPr>
          <w:cantSplit/>
        </w:trPr>
        <w:tc>
          <w:tcPr>
            <w:tcW w:type="dxa" w:w="4680"/>
            <w:vAlign w:val="top"/>
          </w:tcPr>
          <w:p>
            <w:pPr>
              <w:pStyle w:val="TableText"/>
              <w:keepNext w:val="0"/>
              <w:keepLines/>
            </w:pPr>
            <w:r>
              <w:rPr>
                <w:b w:val="0"/>
              </w:rPr>
              <w:t>Eksekusi konsisten</w:t>
            </w:r>
          </w:p>
        </w:tc>
        <w:tc>
          <w:tcPr>
            <w:tcW w:type="dxa" w:w="4680"/>
            <w:vAlign w:val="top"/>
          </w:tcPr>
          <w:p>
            <w:pPr>
              <w:pStyle w:val="TableText"/>
              <w:keepNext w:val="0"/>
              <w:keepLines/>
            </w:pPr>
            <w:r>
              <w:rPr>
                <w:b w:val="0"/>
              </w:rPr>
              <w:t>Tidak ada order ganda pada fault suite; semua fill/fee masuk ledger tepat satu kali secara ekonomis; unknown order menahan entry.</w:t>
            </w:r>
          </w:p>
        </w:tc>
      </w:tr>
      <w:tr>
        <w:trPr>
          <w:cantSplit/>
        </w:trPr>
        <w:tc>
          <w:tcPr>
            <w:tcW w:type="dxa" w:w="4680"/>
            <w:vAlign w:val="top"/>
          </w:tcPr>
          <w:p>
            <w:pPr>
              <w:pStyle w:val="TableText"/>
              <w:keepNext w:val="0"/>
              <w:keepLines/>
            </w:pPr>
            <w:r>
              <w:rPr>
                <w:b w:val="0"/>
              </w:rPr>
              <w:t>Otonomi terkendali</w:t>
            </w:r>
          </w:p>
        </w:tc>
        <w:tc>
          <w:tcPr>
            <w:tcW w:type="dxa" w:w="4680"/>
            <w:vAlign w:val="top"/>
          </w:tcPr>
          <w:p>
            <w:pPr>
              <w:pStyle w:val="TableText"/>
              <w:keepNext w:val="0"/>
              <w:keepLines/>
            </w:pPr>
            <w:r>
              <w:rPr>
                <w:b w:val="0"/>
              </w:rPr>
              <w:t>Semua entry LIVE memiliki mandat aktif dan risk reservation; pelanggaran limit menghasilkan penolakan, bukan peringatan saja.</w:t>
            </w:r>
          </w:p>
        </w:tc>
      </w:tr>
      <w:tr>
        <w:trPr>
          <w:cantSplit/>
        </w:trPr>
        <w:tc>
          <w:tcPr>
            <w:tcW w:type="dxa" w:w="4680"/>
            <w:vAlign w:val="top"/>
          </w:tcPr>
          <w:p>
            <w:pPr>
              <w:pStyle w:val="TableText"/>
              <w:keepNext w:val="0"/>
              <w:keepLines/>
            </w:pPr>
            <w:r>
              <w:rPr>
                <w:b w:val="0"/>
              </w:rPr>
              <w:t>Bukti ekonomi</w:t>
            </w:r>
          </w:p>
        </w:tc>
        <w:tc>
          <w:tcPr>
            <w:tcW w:type="dxa" w:w="4680"/>
            <w:vAlign w:val="top"/>
          </w:tcPr>
          <w:p>
            <w:pPr>
              <w:pStyle w:val="TableText"/>
              <w:keepNext w:val="0"/>
              <w:keepLines/>
            </w:pPr>
            <w:r>
              <w:rPr>
                <w:b w:val="0"/>
              </w:rPr>
              <w:t>Evaluasi prospektif melaporkan net PnL, drawdown, ketidakpastian, dan benchmark; win rate tunggal tidak menjadi syarat promosi.</w:t>
            </w:r>
          </w:p>
        </w:tc>
      </w:tr>
    </w:tbl>
    <w:p>
      <w:pPr>
        <w:spacing w:after="60" w:before="0" w:line="240" w:lineRule="auto"/>
      </w:pPr>
      <w:r>
        <w:rPr>
          <w:sz w:val="4"/>
        </w:rPr>
      </w:r>
    </w:p>
    <w:p>
      <w:pPr>
        <w:pStyle w:val="Heading1"/>
      </w:pPr>
      <w:r>
        <w:t>P2. Dasar riset dan alasan memilih fork</w:t>
      </w:r>
    </w:p>
    <w:p>
      <w:pPr/>
      <w:r>
        <w:t>Analisis mengutamakan kode upstream yang dipin, dokumentasi resmi Polymarket, serta publikasi metodologi. Temuan berikut mengubah rancangan, sehingga bukan sekadar daftar fitur README.</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500"/>
        <w:gridCol w:w="4860"/>
      </w:tblGrid>
      <w:tr>
        <w:trPr>
          <w:cantSplit/>
          <w:tblHeader/>
        </w:trPr>
        <w:tc>
          <w:tcPr>
            <w:tcW w:type="dxa" w:w="4500"/>
            <w:vAlign w:val="top"/>
            <w:shd w:fill="E8EEF5" w:val="clear"/>
          </w:tcPr>
          <w:p>
            <w:pPr>
              <w:pStyle w:val="TableText"/>
              <w:keepNext w:val="0"/>
              <w:keepLines/>
            </w:pPr>
            <w:r>
              <w:rPr>
                <w:b/>
              </w:rPr>
              <w:t>Temuan</w:t>
            </w:r>
          </w:p>
        </w:tc>
        <w:tc>
          <w:tcPr>
            <w:tcW w:type="dxa" w:w="4860"/>
            <w:vAlign w:val="top"/>
            <w:shd w:fill="E8EEF5" w:val="clear"/>
          </w:tcPr>
          <w:p>
            <w:pPr>
              <w:pStyle w:val="TableText"/>
              <w:keepNext w:val="0"/>
              <w:keepLines/>
            </w:pPr>
            <w:r>
              <w:rPr>
                <w:b/>
              </w:rPr>
              <w:t>Implikasi produk</w:t>
            </w:r>
          </w:p>
        </w:tc>
      </w:tr>
      <w:tr>
        <w:trPr>
          <w:cantSplit/>
        </w:trPr>
        <w:tc>
          <w:tcPr>
            <w:tcW w:type="dxa" w:w="4500"/>
            <w:vAlign w:val="top"/>
          </w:tcPr>
          <w:p>
            <w:pPr>
              <w:pStyle w:val="TableText"/>
              <w:keepNext w:val="0"/>
              <w:keepLines/>
            </w:pPr>
            <w:r>
              <w:rPr>
                <w:b w:val="0"/>
              </w:rPr>
              <w:t>MIT dan basis fork</w:t>
              <w:br/>
              <w:t>CloddsBot berlisensi MIT; commit riset dipin. Klaim jumlah strategi atau asal hackathon tidak digunakan sebagai bukti kualitas.</w:t>
            </w:r>
          </w:p>
        </w:tc>
        <w:tc>
          <w:tcPr>
            <w:tcW w:type="dxa" w:w="4860"/>
            <w:vAlign w:val="top"/>
          </w:tcPr>
          <w:p>
            <w:pPr>
              <w:pStyle w:val="TableText"/>
              <w:keepNext w:val="0"/>
              <w:keepLines/>
            </w:pPr>
            <w:r>
              <w:rPr>
                <w:b w:val="0"/>
              </w:rPr>
              <w:t>Pertahankan lisensi. Fork dipilih karena kerangka TypeScript dan integrasi yang bisa dipakai ulang, dengan perbaikan wajib. [S01, S02]</w:t>
            </w:r>
          </w:p>
        </w:tc>
      </w:tr>
      <w:tr>
        <w:trPr>
          <w:cantSplit/>
        </w:trPr>
        <w:tc>
          <w:tcPr>
            <w:tcW w:type="dxa" w:w="4500"/>
            <w:vAlign w:val="top"/>
          </w:tcPr>
          <w:p>
            <w:pPr>
              <w:pStyle w:val="TableText"/>
              <w:keepNext w:val="0"/>
              <w:keepLines/>
            </w:pPr>
            <w:r>
              <w:rPr>
                <w:b w:val="0"/>
              </w:rPr>
              <w:t>Mode dan biaya</w:t>
              <w:br/>
              <w:t>DRY_RUN pada skill trading tidak memberi default simulasi yang seragam. Helper fee memakai negRisk sebagai penentu 25/0 bps.</w:t>
            </w:r>
          </w:p>
        </w:tc>
        <w:tc>
          <w:tcPr>
            <w:tcW w:type="dxa" w:w="4860"/>
            <w:vAlign w:val="top"/>
          </w:tcPr>
          <w:p>
            <w:pPr>
              <w:pStyle w:val="TableText"/>
              <w:keepNext w:val="0"/>
              <w:keepLines/>
            </w:pPr>
            <w:r>
              <w:rPr>
                <w:b w:val="0"/>
              </w:rPr>
              <w:t>Satu mode PAPER sebagai default; fee berasal dari metadata/SDK per pasar. [S03, S05]</w:t>
            </w:r>
          </w:p>
        </w:tc>
      </w:tr>
      <w:tr>
        <w:trPr>
          <w:cantSplit/>
        </w:trPr>
        <w:tc>
          <w:tcPr>
            <w:tcW w:type="dxa" w:w="4500"/>
            <w:vAlign w:val="top"/>
          </w:tcPr>
          <w:p>
            <w:pPr>
              <w:pStyle w:val="TableText"/>
              <w:keepNext w:val="0"/>
              <w:keepLines/>
            </w:pPr>
            <w:r>
              <w:rPr>
                <w:b w:val="0"/>
              </w:rPr>
              <w:t>Cancel dan penutupan</w:t>
              <w:br/>
              <w:t>Jalur HFT mengandung fallback setelah cancel best-effort dan close lokal setelah sellLimit. Ini menunjukkan celah penanganan hasil, bukan bukti kerugian yang telah terjadi.</w:t>
            </w:r>
          </w:p>
        </w:tc>
        <w:tc>
          <w:tcPr>
            <w:tcW w:type="dxa" w:w="4860"/>
            <w:vAlign w:val="top"/>
          </w:tcPr>
          <w:p>
            <w:pPr>
              <w:pStyle w:val="TableText"/>
              <w:keepNext w:val="0"/>
              <w:keepLines/>
            </w:pPr>
            <w:r>
              <w:rPr>
                <w:b w:val="0"/>
              </w:rPr>
              <w:t>Nonaktifkan jalur tersebut; posisi berubah karena fill/settlement terverifikasi dan replacement hanya dari sisa order. [S04]</w:t>
            </w:r>
          </w:p>
        </w:tc>
      </w:tr>
      <w:tr>
        <w:trPr>
          <w:cantSplit/>
        </w:trPr>
        <w:tc>
          <w:tcPr>
            <w:tcW w:type="dxa" w:w="4500"/>
            <w:vAlign w:val="top"/>
          </w:tcPr>
          <w:p>
            <w:pPr>
              <w:pStyle w:val="TableText"/>
              <w:keepNext w:val="0"/>
              <w:keepLines/>
            </w:pPr>
            <w:r>
              <w:rPr>
                <w:b w:val="0"/>
              </w:rPr>
              <w:t>Integrasi terbaru</w:t>
              <w:br/>
              <w:t>Dokumentasi kini menunjuk @polymarket/client dan pUSD. Penerimaan order, matched trade, dan settlement berbeda.</w:t>
            </w:r>
          </w:p>
        </w:tc>
        <w:tc>
          <w:tcPr>
            <w:tcW w:type="dxa" w:w="4860"/>
            <w:vAlign w:val="top"/>
          </w:tcPr>
          <w:p>
            <w:pPr>
              <w:pStyle w:val="TableText"/>
              <w:keepNext w:val="0"/>
              <w:keepLines/>
            </w:pPr>
            <w:r>
              <w:rPr>
                <w:b w:val="0"/>
              </w:rPr>
              <w:t>Bangun adapter resmi yang dipin; registry aset dan lifecycle menjadi kontrak inti. [S09, S10, S15]</w:t>
            </w:r>
          </w:p>
        </w:tc>
      </w:tr>
      <w:tr>
        <w:trPr>
          <w:cantSplit/>
        </w:trPr>
        <w:tc>
          <w:tcPr>
            <w:tcW w:type="dxa" w:w="4500"/>
            <w:vAlign w:val="top"/>
          </w:tcPr>
          <w:p>
            <w:pPr>
              <w:pStyle w:val="TableText"/>
              <w:keepNext w:val="0"/>
              <w:keepLines/>
            </w:pPr>
            <w:r>
              <w:rPr>
                <w:b w:val="0"/>
              </w:rPr>
              <w:t>Otonomi AI</w:t>
              <w:br/>
              <w:t>Provider dan tool framework tersedia; kelengkapan tool schema, guard, dan isolasi signer belum terbukti oleh antarmuka dasar.</w:t>
            </w:r>
          </w:p>
        </w:tc>
        <w:tc>
          <w:tcPr>
            <w:tcW w:type="dxa" w:w="4860"/>
            <w:vAlign w:val="top"/>
          </w:tcPr>
          <w:p>
            <w:pPr>
              <w:pStyle w:val="TableText"/>
              <w:keepNext w:val="0"/>
              <w:keepLines/>
            </w:pPr>
            <w:r>
              <w:rPr>
                <w:b w:val="0"/>
              </w:rPr>
              <w:t>AI menghasilkan forecast/intent. Risk engine deterministik dan executor terpisah memegang otoritas finansial. [S06, S07, S22]</w:t>
            </w:r>
          </w:p>
        </w:tc>
      </w:tr>
    </w:tbl>
    <w:p>
      <w:pPr>
        <w:spacing w:after="60" w:before="0" w:line="240" w:lineRule="auto"/>
      </w:pPr>
      <w:r>
        <w:rPr>
          <w:sz w:val="4"/>
        </w:rPr>
      </w:r>
    </w:p>
    <w:p>
      <w:pPr>
        <w:pStyle w:val="SourceText"/>
      </w:pPr>
      <w:r>
        <w:t xml:space="preserve">Sumber: </w:t>
      </w:r>
      <w:hyperlink r:id="rId11">
        <w:r>
          <w:rPr>
            <w:color w:val="2E74B5"/>
            <w:u w:val="single"/>
          </w:rPr>
          <w:t>S01</w:t>
        </w:r>
      </w:hyperlink>
      <w:r>
        <w:t xml:space="preserve"> · </w:t>
      </w:r>
      <w:hyperlink r:id="rId12">
        <w:r>
          <w:rPr>
            <w:color w:val="2E74B5"/>
            <w:u w:val="single"/>
          </w:rPr>
          <w:t>S02</w:t>
        </w:r>
      </w:hyperlink>
      <w:r>
        <w:t xml:space="preserve"> · </w:t>
      </w:r>
      <w:hyperlink r:id="rId13">
        <w:r>
          <w:rPr>
            <w:color w:val="2E74B5"/>
            <w:u w:val="single"/>
          </w:rPr>
          <w:t>S03</w:t>
        </w:r>
      </w:hyperlink>
      <w:r>
        <w:t xml:space="preserve"> · </w:t>
      </w:r>
      <w:hyperlink r:id="rId14">
        <w:r>
          <w:rPr>
            <w:color w:val="2E74B5"/>
            <w:u w:val="single"/>
          </w:rPr>
          <w:t>S04</w:t>
        </w:r>
      </w:hyperlink>
      <w:r>
        <w:t xml:space="preserve"> · </w:t>
      </w:r>
      <w:hyperlink r:id="rId15">
        <w:r>
          <w:rPr>
            <w:color w:val="2E74B5"/>
            <w:u w:val="single"/>
          </w:rPr>
          <w:t>S05</w:t>
        </w:r>
      </w:hyperlink>
      <w:r>
        <w:t xml:space="preserve"> · </w:t>
      </w:r>
      <w:hyperlink r:id="rId16">
        <w:r>
          <w:rPr>
            <w:color w:val="2E74B5"/>
            <w:u w:val="single"/>
          </w:rPr>
          <w:t>S06</w:t>
        </w:r>
      </w:hyperlink>
      <w:r>
        <w:t xml:space="preserve"> · </w:t>
      </w:r>
      <w:hyperlink r:id="rId17">
        <w:r>
          <w:rPr>
            <w:color w:val="2E74B5"/>
            <w:u w:val="single"/>
          </w:rPr>
          <w:t>S09</w:t>
        </w:r>
      </w:hyperlink>
      <w:r>
        <w:t xml:space="preserve"> · </w:t>
      </w:r>
      <w:hyperlink r:id="rId18">
        <w:r>
          <w:rPr>
            <w:color w:val="2E74B5"/>
            <w:u w:val="single"/>
          </w:rPr>
          <w:t>S15</w:t>
        </w:r>
      </w:hyperlink>
    </w:p>
    <w:p>
      <w:pPr/>
      <w:r>
        <w:t>Baseline kode: alsk1992/CloddsBot, versi package 1.9.0; commit 715fd4a6c06b4cd5bb38eee225dd09b3bc95c5e8. Fork harus mempertahankan commit asal dan patch lokal di release manifest. MIT memberi ruang modifikasi, tetapi tidak menjamin keamanan, hak merek, hak data, atau profitabilitas.</w:t>
      </w:r>
    </w:p>
    <w:p>
      <w:pPr/>
      <w:r>
        <w:t>Repositori weather, LP, copy trading dan arbitrase dari riset sebelumnya dapat menjadi sumber eksperimen berikutnya. Rilis v1 tidak menggabungkan delapan repo sekaligus. Modul yang berlisensi berbeda, termasuk AGPL, harus dievaluasi kewajibannya sebelum penyalinan atau distribusi; pemisahan layanan tidak otomatis menghapus kewajiban lisensi.</w:t>
      </w:r>
    </w:p>
    <w:p>
      <w:pPr>
        <w:pStyle w:val="Heading1"/>
      </w:pPr>
      <w:r>
        <w:t>P3. Pengguna, konteks, dan cakupan</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Aspek</w:t>
            </w:r>
          </w:p>
        </w:tc>
        <w:tc>
          <w:tcPr>
            <w:tcW w:type="dxa" w:w="4680"/>
            <w:vAlign w:val="top"/>
            <w:shd w:fill="E8EEF5" w:val="clear"/>
          </w:tcPr>
          <w:p>
            <w:pPr>
              <w:pStyle w:val="TableText"/>
              <w:keepNext w:val="0"/>
              <w:keepLines/>
            </w:pPr>
            <w:r>
              <w:rPr>
                <w:b/>
              </w:rPr>
              <w:t>Keputusan v1</w:t>
            </w:r>
          </w:p>
        </w:tc>
      </w:tr>
      <w:tr>
        <w:trPr>
          <w:cantSplit/>
        </w:trPr>
        <w:tc>
          <w:tcPr>
            <w:tcW w:type="dxa" w:w="4680"/>
            <w:vAlign w:val="top"/>
          </w:tcPr>
          <w:p>
            <w:pPr>
              <w:pStyle w:val="TableText"/>
              <w:keepNext w:val="0"/>
              <w:keepLines/>
            </w:pPr>
            <w:r>
              <w:rPr>
                <w:b w:val="0"/>
              </w:rPr>
              <w:t>Pengguna utama</w:t>
            </w:r>
          </w:p>
        </w:tc>
        <w:tc>
          <w:tcPr>
            <w:tcW w:type="dxa" w:w="4680"/>
            <w:vAlign w:val="top"/>
          </w:tcPr>
          <w:p>
            <w:pPr>
              <w:pStyle w:val="TableText"/>
              <w:keepNext w:val="0"/>
              <w:keepLines/>
            </w:pPr>
            <w:r>
              <w:rPr>
                <w:b w:val="0"/>
              </w:rPr>
              <w:t>Satu pemilik/operator. Developer dan researcher boleh menyiapkan konfigurasi, tetapi tidak memperoleh mandat dana secara otomatis.</w:t>
            </w:r>
          </w:p>
        </w:tc>
      </w:tr>
      <w:tr>
        <w:trPr>
          <w:cantSplit/>
        </w:trPr>
        <w:tc>
          <w:tcPr>
            <w:tcW w:type="dxa" w:w="4680"/>
            <w:vAlign w:val="top"/>
          </w:tcPr>
          <w:p>
            <w:pPr>
              <w:pStyle w:val="TableText"/>
              <w:keepNext w:val="0"/>
              <w:keepLines/>
            </w:pPr>
            <w:r>
              <w:rPr>
                <w:b w:val="0"/>
              </w:rPr>
              <w:t>Lingkungan</w:t>
            </w:r>
          </w:p>
        </w:tc>
        <w:tc>
          <w:tcPr>
            <w:tcW w:type="dxa" w:w="4680"/>
            <w:vAlign w:val="top"/>
          </w:tcPr>
          <w:p>
            <w:pPr>
              <w:pStyle w:val="TableText"/>
              <w:keepNext w:val="0"/>
              <w:keepLines/>
            </w:pPr>
            <w:r>
              <w:rPr>
                <w:b w:val="0"/>
              </w:rPr>
              <w:t>VPS Linux pribadi; dashboard web responsif untuk Android/tablet. Kapasitas dan domain aktual diverifikasi saat implementasi.</w:t>
            </w:r>
          </w:p>
        </w:tc>
      </w:tr>
      <w:tr>
        <w:trPr>
          <w:cantSplit/>
        </w:trPr>
        <w:tc>
          <w:tcPr>
            <w:tcW w:type="dxa" w:w="4680"/>
            <w:vAlign w:val="top"/>
          </w:tcPr>
          <w:p>
            <w:pPr>
              <w:pStyle w:val="TableText"/>
              <w:keepNext w:val="0"/>
              <w:keepLines/>
            </w:pPr>
            <w:r>
              <w:rPr>
                <w:b w:val="0"/>
              </w:rPr>
              <w:t>Pasar</w:t>
            </w:r>
          </w:p>
        </w:tc>
        <w:tc>
          <w:tcPr>
            <w:tcW w:type="dxa" w:w="4680"/>
            <w:vAlign w:val="top"/>
          </w:tcPr>
          <w:p>
            <w:pPr>
              <w:pStyle w:val="TableText"/>
              <w:keepNext w:val="0"/>
              <w:keepLines/>
            </w:pPr>
            <w:r>
              <w:rPr>
                <w:b w:val="0"/>
              </w:rPr>
              <w:t>Polymarket; pasar biner biasa dengan aturan/sumber resolusi jelas, order book sehat, dan metadata lengkap. Pasar kompleks atau delay khusus tidak eligible pada awal v1.</w:t>
            </w:r>
          </w:p>
        </w:tc>
      </w:tr>
      <w:tr>
        <w:trPr>
          <w:cantSplit/>
        </w:trPr>
        <w:tc>
          <w:tcPr>
            <w:tcW w:type="dxa" w:w="4680"/>
            <w:vAlign w:val="top"/>
          </w:tcPr>
          <w:p>
            <w:pPr>
              <w:pStyle w:val="TableText"/>
              <w:keepNext w:val="0"/>
              <w:keepLines/>
            </w:pPr>
            <w:r>
              <w:rPr>
                <w:b w:val="0"/>
              </w:rPr>
              <w:t>Strategi</w:t>
            </w:r>
          </w:p>
        </w:tc>
        <w:tc>
          <w:tcPr>
            <w:tcW w:type="dxa" w:w="4680"/>
            <w:vAlign w:val="top"/>
          </w:tcPr>
          <w:p>
            <w:pPr>
              <w:pStyle w:val="TableText"/>
              <w:keepNext w:val="0"/>
              <w:keepLines/>
            </w:pPr>
            <w:r>
              <w:rPr>
                <w:b w:val="0"/>
              </w:rPr>
              <w:t>evidence_directional_v1: riset berbasis bukti, probabilitas konservatif, seleksi edge setelah biaya, sizing deterministik.</w:t>
            </w:r>
          </w:p>
        </w:tc>
      </w:tr>
      <w:tr>
        <w:trPr>
          <w:cantSplit/>
        </w:trPr>
        <w:tc>
          <w:tcPr>
            <w:tcW w:type="dxa" w:w="4680"/>
            <w:vAlign w:val="top"/>
          </w:tcPr>
          <w:p>
            <w:pPr>
              <w:pStyle w:val="TableText"/>
              <w:keepNext w:val="0"/>
              <w:keepLines/>
            </w:pPr>
            <w:r>
              <w:rPr>
                <w:b w:val="0"/>
              </w:rPr>
              <w:t>Integrasi AI</w:t>
            </w:r>
          </w:p>
        </w:tc>
        <w:tc>
          <w:tcPr>
            <w:tcW w:type="dxa" w:w="4680"/>
            <w:vAlign w:val="top"/>
          </w:tcPr>
          <w:p>
            <w:pPr>
              <w:pStyle w:val="TableText"/>
              <w:keepNext w:val="0"/>
              <w:keepLines/>
            </w:pPr>
            <w:r>
              <w:rPr>
                <w:b w:val="0"/>
              </w:rPr>
              <w:t>Anthropic dan endpoint kompatibel OpenAI melalui adapter tervalidasi. Model/versi/rate card dipin per eksperimen.</w:t>
            </w:r>
          </w:p>
        </w:tc>
      </w:tr>
      <w:tr>
        <w:trPr>
          <w:cantSplit/>
        </w:trPr>
        <w:tc>
          <w:tcPr>
            <w:tcW w:type="dxa" w:w="4680"/>
            <w:vAlign w:val="top"/>
          </w:tcPr>
          <w:p>
            <w:pPr>
              <w:pStyle w:val="TableText"/>
              <w:keepNext w:val="0"/>
              <w:keepLines/>
            </w:pPr>
            <w:r>
              <w:rPr>
                <w:b w:val="0"/>
              </w:rPr>
              <w:t>Di luar v1</w:t>
            </w:r>
          </w:p>
        </w:tc>
        <w:tc>
          <w:tcPr>
            <w:tcW w:type="dxa" w:w="4680"/>
            <w:vAlign w:val="top"/>
          </w:tcPr>
          <w:p>
            <w:pPr>
              <w:pStyle w:val="TableText"/>
              <w:keepNext w:val="0"/>
              <w:keepLines/>
            </w:pPr>
            <w:r>
              <w:rPr>
                <w:b w:val="0"/>
              </w:rPr>
              <w:t>Kalshi/cross-venue arbitrage, HFT latency, copy trading otomatis, weather ML khusus, LP farming, leverage, transfer/bridge otomatis, multi-tenant, token launch, dan self-modifying LIVE agent.</w:t>
            </w:r>
          </w:p>
        </w:tc>
      </w:tr>
    </w:tbl>
    <w:p>
      <w:pPr>
        <w:spacing w:after="60" w:before="0" w:line="240" w:lineRule="auto"/>
      </w:pPr>
      <w:r>
        <w:rPr>
          <w:sz w:val="4"/>
        </w:rPr>
      </w:r>
    </w:p>
    <w:p>
      <w:pPr/>
      <w:r>
        <w:t>Otonomi berarti bot boleh membuat, membatalkan, atau mengurangi order yang memenuhi mandat tanpa konfirmasi per transaksi. Menambah modal, mengubah strategi yang eligible, mengganti wallet, atau memperpanjang mandat adalah aksi pemilik yang tercatat. Sistem tidak menganggap permintaan membuat dokumen ini sebagai izin menjalankan bot atau menggerakkan dana.</w:t>
      </w:r>
    </w:p>
    <w:p>
      <w:pPr>
        <w:pStyle w:val="Heading2"/>
      </w:pPr>
      <w:r>
        <w:t>Perjalanan utama</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Tahap</w:t>
            </w:r>
          </w:p>
        </w:tc>
        <w:tc>
          <w:tcPr>
            <w:tcW w:type="dxa" w:w="4680"/>
            <w:vAlign w:val="top"/>
            <w:shd w:fill="E8EEF5" w:val="clear"/>
          </w:tcPr>
          <w:p>
            <w:pPr>
              <w:pStyle w:val="TableText"/>
              <w:keepNext w:val="0"/>
              <w:keepLines/>
            </w:pPr>
            <w:r>
              <w:rPr>
                <w:b/>
              </w:rPr>
              <w:t>Perilaku yang diharapkan</w:t>
            </w:r>
          </w:p>
        </w:tc>
      </w:tr>
      <w:tr>
        <w:trPr>
          <w:cantSplit/>
        </w:trPr>
        <w:tc>
          <w:tcPr>
            <w:tcW w:type="dxa" w:w="4680"/>
            <w:vAlign w:val="top"/>
          </w:tcPr>
          <w:p>
            <w:pPr>
              <w:pStyle w:val="TableText"/>
              <w:keepNext w:val="0"/>
              <w:keepLines/>
            </w:pPr>
            <w:r>
              <w:rPr>
                <w:b w:val="0"/>
              </w:rPr>
              <w:t>Onboarding</w:t>
            </w:r>
          </w:p>
        </w:tc>
        <w:tc>
          <w:tcPr>
            <w:tcW w:type="dxa" w:w="4680"/>
            <w:vAlign w:val="top"/>
          </w:tcPr>
          <w:p>
            <w:pPr>
              <w:pStyle w:val="TableText"/>
              <w:keepNext w:val="0"/>
              <w:keepLines/>
            </w:pPr>
            <w:r>
              <w:rPr>
                <w:b w:val="0"/>
              </w:rPr>
              <w:t>Pemilik membuka dashboard, memilih provider dan budget riset, memeriksa mode PAPER, lalu melihat status data dan kelayakan konfigurasi.</w:t>
            </w:r>
          </w:p>
        </w:tc>
      </w:tr>
      <w:tr>
        <w:trPr>
          <w:cantSplit/>
        </w:trPr>
        <w:tc>
          <w:tcPr>
            <w:tcW w:type="dxa" w:w="4680"/>
            <w:vAlign w:val="top"/>
          </w:tcPr>
          <w:p>
            <w:pPr>
              <w:pStyle w:val="TableText"/>
              <w:keepNext w:val="0"/>
              <w:keepLines/>
            </w:pPr>
            <w:r>
              <w:rPr>
                <w:b w:val="0"/>
              </w:rPr>
              <w:t>Menilai peluang</w:t>
            </w:r>
          </w:p>
        </w:tc>
        <w:tc>
          <w:tcPr>
            <w:tcW w:type="dxa" w:w="4680"/>
            <w:vAlign w:val="top"/>
          </w:tcPr>
          <w:p>
            <w:pPr>
              <w:pStyle w:val="TableText"/>
              <w:keepNext w:val="0"/>
              <w:keepLines/>
            </w:pPr>
            <w:r>
              <w:rPr>
                <w:b w:val="0"/>
              </w:rPr>
              <w:t>Bot menyaring pasar, merangkum bukti dan kontra-bukti, menyajikan probabilitas, harga yang dapat dieksekusi, biaya, serta alasan TRADE/NO_TRADE.</w:t>
            </w:r>
          </w:p>
        </w:tc>
      </w:tr>
      <w:tr>
        <w:trPr>
          <w:cantSplit/>
        </w:trPr>
        <w:tc>
          <w:tcPr>
            <w:tcW w:type="dxa" w:w="4680"/>
            <w:vAlign w:val="top"/>
          </w:tcPr>
          <w:p>
            <w:pPr>
              <w:pStyle w:val="TableText"/>
              <w:keepNext w:val="0"/>
              <w:keepLines/>
            </w:pPr>
            <w:r>
              <w:rPr>
                <w:b w:val="0"/>
              </w:rPr>
              <w:t>Menjalankan eksperimen</w:t>
            </w:r>
          </w:p>
        </w:tc>
        <w:tc>
          <w:tcPr>
            <w:tcW w:type="dxa" w:w="4680"/>
            <w:vAlign w:val="top"/>
          </w:tcPr>
          <w:p>
            <w:pPr>
              <w:pStyle w:val="TableText"/>
              <w:keepNext w:val="0"/>
              <w:keepLines/>
            </w:pPr>
            <w:r>
              <w:rPr>
                <w:b w:val="0"/>
              </w:rPr>
              <w:t>Pemilik menetapkan strategi/parameter, mulai PAPER atau SHADOW, dan memantau hasil terpisah dari saldo nyata.</w:t>
            </w:r>
          </w:p>
        </w:tc>
      </w:tr>
      <w:tr>
        <w:trPr>
          <w:cantSplit/>
        </w:trPr>
        <w:tc>
          <w:tcPr>
            <w:tcW w:type="dxa" w:w="4680"/>
            <w:vAlign w:val="top"/>
          </w:tcPr>
          <w:p>
            <w:pPr>
              <w:pStyle w:val="TableText"/>
              <w:keepNext w:val="0"/>
              <w:keepLines/>
            </w:pPr>
            <w:r>
              <w:rPr>
                <w:b w:val="0"/>
              </w:rPr>
              <w:t>Mengaktifkan LIVE</w:t>
            </w:r>
          </w:p>
        </w:tc>
        <w:tc>
          <w:tcPr>
            <w:tcW w:type="dxa" w:w="4680"/>
            <w:vAlign w:val="top"/>
          </w:tcPr>
          <w:p>
            <w:pPr>
              <w:pStyle w:val="TableText"/>
              <w:keepNext w:val="0"/>
              <w:keepLines/>
            </w:pPr>
            <w:r>
              <w:rPr>
                <w:b w:val="0"/>
              </w:rPr>
              <w:t>Setelah gate relevan lulus, pemilik menetapkan mandat bernilai dan berbatas waktu. UI menampilkan cap, expiry, pasar dan tindakan yang diizinkan.</w:t>
            </w:r>
          </w:p>
        </w:tc>
      </w:tr>
      <w:tr>
        <w:trPr>
          <w:cantSplit/>
        </w:trPr>
        <w:tc>
          <w:tcPr>
            <w:tcW w:type="dxa" w:w="4680"/>
            <w:vAlign w:val="top"/>
          </w:tcPr>
          <w:p>
            <w:pPr>
              <w:pStyle w:val="TableText"/>
              <w:keepNext w:val="0"/>
              <w:keepLines/>
            </w:pPr>
            <w:r>
              <w:rPr>
                <w:b w:val="0"/>
              </w:rPr>
              <w:t>Menangani gangguan</w:t>
            </w:r>
          </w:p>
        </w:tc>
        <w:tc>
          <w:tcPr>
            <w:tcW w:type="dxa" w:w="4680"/>
            <w:vAlign w:val="top"/>
          </w:tcPr>
          <w:p>
            <w:pPr>
              <w:pStyle w:val="TableText"/>
              <w:keepNext w:val="0"/>
              <w:keepLines/>
            </w:pPr>
            <w:r>
              <w:rPr>
                <w:b w:val="0"/>
              </w:rPr>
              <w:t>Entry berhenti; status stale/unknown/blocked terlihat; rekonsiliasi dan cancel tetap berjalan jika platform dapat diakses. Resume mengikuti checklist penyebab.</w:t>
            </w:r>
          </w:p>
        </w:tc>
      </w:tr>
    </w:tbl>
    <w:p>
      <w:pPr>
        <w:spacing w:after="60" w:before="0" w:line="240" w:lineRule="auto"/>
      </w:pPr>
      <w:r>
        <w:rPr>
          <w:sz w:val="4"/>
        </w:rPr>
      </w:r>
    </w:p>
    <w:p>
      <w:pPr>
        <w:pStyle w:val="Heading1"/>
      </w:pPr>
      <w:r>
        <w:t>P4. Mode operasi dan pengalaman pengguna</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3120"/>
        <w:gridCol w:w="3120"/>
        <w:gridCol w:w="3120"/>
      </w:tblGrid>
      <w:tr>
        <w:trPr>
          <w:cantSplit/>
          <w:tblHeader/>
        </w:trPr>
        <w:tc>
          <w:tcPr>
            <w:tcW w:type="dxa" w:w="3120"/>
            <w:vAlign w:val="top"/>
            <w:shd w:fill="E8EEF5" w:val="clear"/>
          </w:tcPr>
          <w:p>
            <w:pPr>
              <w:pStyle w:val="TableText"/>
              <w:keepNext w:val="0"/>
              <w:keepLines/>
            </w:pPr>
            <w:r>
              <w:rPr>
                <w:b/>
              </w:rPr>
              <w:t>Mode</w:t>
            </w:r>
          </w:p>
        </w:tc>
        <w:tc>
          <w:tcPr>
            <w:tcW w:type="dxa" w:w="3120"/>
            <w:vAlign w:val="top"/>
            <w:shd w:fill="E8EEF5" w:val="clear"/>
          </w:tcPr>
          <w:p>
            <w:pPr>
              <w:pStyle w:val="TableText"/>
              <w:keepNext w:val="0"/>
              <w:keepLines/>
            </w:pPr>
            <w:r>
              <w:rPr>
                <w:b/>
              </w:rPr>
              <w:t>I/O finansial</w:t>
            </w:r>
          </w:p>
        </w:tc>
        <w:tc>
          <w:tcPr>
            <w:tcW w:type="dxa" w:w="3120"/>
            <w:vAlign w:val="top"/>
            <w:shd w:fill="E8EEF5" w:val="clear"/>
          </w:tcPr>
          <w:p>
            <w:pPr>
              <w:pStyle w:val="TableText"/>
              <w:keepNext w:val="0"/>
              <w:keepLines/>
            </w:pPr>
            <w:r>
              <w:rPr>
                <w:b/>
              </w:rPr>
              <w:t>Kegunaan</w:t>
            </w:r>
          </w:p>
        </w:tc>
      </w:tr>
      <w:tr>
        <w:trPr>
          <w:cantSplit/>
        </w:trPr>
        <w:tc>
          <w:tcPr>
            <w:tcW w:type="dxa" w:w="3120"/>
            <w:vAlign w:val="top"/>
          </w:tcPr>
          <w:p>
            <w:pPr>
              <w:pStyle w:val="TableText"/>
              <w:keepNext w:val="0"/>
              <w:keepLines/>
            </w:pPr>
            <w:r>
              <w:rPr>
                <w:b w:val="0"/>
              </w:rPr>
              <w:t>RESEARCH</w:t>
            </w:r>
          </w:p>
        </w:tc>
        <w:tc>
          <w:tcPr>
            <w:tcW w:type="dxa" w:w="3120"/>
            <w:vAlign w:val="top"/>
          </w:tcPr>
          <w:p>
            <w:pPr>
              <w:pStyle w:val="TableText"/>
              <w:keepNext w:val="0"/>
              <w:keepLines/>
            </w:pPr>
            <w:r>
              <w:rPr>
                <w:b w:val="0"/>
              </w:rPr>
              <w:t>Tidak membuat order atau posisi simulasi wajib.</w:t>
            </w:r>
          </w:p>
        </w:tc>
        <w:tc>
          <w:tcPr>
            <w:tcW w:type="dxa" w:w="3120"/>
            <w:vAlign w:val="top"/>
          </w:tcPr>
          <w:p>
            <w:pPr>
              <w:pStyle w:val="TableText"/>
              <w:keepNext w:val="0"/>
              <w:keepLines/>
            </w:pPr>
            <w:r>
              <w:rPr>
                <w:b w:val="0"/>
              </w:rPr>
              <w:t>Mengumpulkan bukti dan forecast, menilai cakupan serta kualitas sumber.</w:t>
            </w:r>
          </w:p>
        </w:tc>
      </w:tr>
      <w:tr>
        <w:trPr>
          <w:cantSplit/>
        </w:trPr>
        <w:tc>
          <w:tcPr>
            <w:tcW w:type="dxa" w:w="3120"/>
            <w:vAlign w:val="top"/>
          </w:tcPr>
          <w:p>
            <w:pPr>
              <w:pStyle w:val="TableText"/>
              <w:keepNext w:val="0"/>
              <w:keepLines/>
            </w:pPr>
            <w:r>
              <w:rPr>
                <w:b w:val="0"/>
              </w:rPr>
              <w:t>PAPER</w:t>
            </w:r>
          </w:p>
        </w:tc>
        <w:tc>
          <w:tcPr>
            <w:tcW w:type="dxa" w:w="3120"/>
            <w:vAlign w:val="top"/>
          </w:tcPr>
          <w:p>
            <w:pPr>
              <w:pStyle w:val="TableText"/>
              <w:keepNext w:val="0"/>
              <w:keepLines/>
            </w:pPr>
            <w:r>
              <w:rPr>
                <w:b w:val="0"/>
              </w:rPr>
              <w:t>Simulasi eksekusi terpisah; tidak mengirim order bursa.</w:t>
            </w:r>
          </w:p>
        </w:tc>
        <w:tc>
          <w:tcPr>
            <w:tcW w:type="dxa" w:w="3120"/>
            <w:vAlign w:val="top"/>
          </w:tcPr>
          <w:p>
            <w:pPr>
              <w:pStyle w:val="TableText"/>
              <w:keepNext w:val="0"/>
              <w:keepLines/>
            </w:pPr>
            <w:r>
              <w:rPr>
                <w:b w:val="0"/>
              </w:rPr>
              <w:t>Menguji biaya, sizing, antrean dan perilaku kegagalan.</w:t>
            </w:r>
          </w:p>
        </w:tc>
      </w:tr>
      <w:tr>
        <w:trPr>
          <w:cantSplit/>
        </w:trPr>
        <w:tc>
          <w:tcPr>
            <w:tcW w:type="dxa" w:w="3120"/>
            <w:vAlign w:val="top"/>
          </w:tcPr>
          <w:p>
            <w:pPr>
              <w:pStyle w:val="TableText"/>
              <w:keepNext w:val="0"/>
              <w:keepLines/>
            </w:pPr>
            <w:r>
              <w:rPr>
                <w:b w:val="0"/>
              </w:rPr>
              <w:t>SHADOW</w:t>
            </w:r>
          </w:p>
        </w:tc>
        <w:tc>
          <w:tcPr>
            <w:tcW w:type="dxa" w:w="3120"/>
            <w:vAlign w:val="top"/>
          </w:tcPr>
          <w:p>
            <w:pPr>
              <w:pStyle w:val="TableText"/>
              <w:keepNext w:val="0"/>
              <w:keepLines/>
            </w:pPr>
            <w:r>
              <w:rPr>
                <w:b w:val="0"/>
              </w:rPr>
              <w:t>Mencatat keputusan prospektif pada feed nyata; tidak mengirim order.</w:t>
            </w:r>
          </w:p>
        </w:tc>
        <w:tc>
          <w:tcPr>
            <w:tcW w:type="dxa" w:w="3120"/>
            <w:vAlign w:val="top"/>
          </w:tcPr>
          <w:p>
            <w:pPr>
              <w:pStyle w:val="TableText"/>
              <w:keepNext w:val="0"/>
              <w:keepLines/>
            </w:pPr>
            <w:r>
              <w:rPr>
                <w:b w:val="0"/>
              </w:rPr>
              <w:t>Mengukur drift forecast, keterlambatan dan peluang yang benar-benar tersedia.</w:t>
            </w:r>
          </w:p>
        </w:tc>
      </w:tr>
      <w:tr>
        <w:trPr>
          <w:cantSplit/>
        </w:trPr>
        <w:tc>
          <w:tcPr>
            <w:tcW w:type="dxa" w:w="3120"/>
            <w:vAlign w:val="top"/>
          </w:tcPr>
          <w:p>
            <w:pPr>
              <w:pStyle w:val="TableText"/>
              <w:keepNext w:val="0"/>
              <w:keepLines/>
            </w:pPr>
            <w:r>
              <w:rPr>
                <w:b w:val="0"/>
              </w:rPr>
              <w:t>LIVE</w:t>
            </w:r>
          </w:p>
        </w:tc>
        <w:tc>
          <w:tcPr>
            <w:tcW w:type="dxa" w:w="3120"/>
            <w:vAlign w:val="top"/>
          </w:tcPr>
          <w:p>
            <w:pPr>
              <w:pStyle w:val="TableText"/>
              <w:keepNext w:val="0"/>
              <w:keepLines/>
            </w:pPr>
            <w:r>
              <w:rPr>
                <w:b w:val="0"/>
              </w:rPr>
              <w:t>Order riil hanya melalui executor dan mandat aktif.</w:t>
            </w:r>
          </w:p>
        </w:tc>
        <w:tc>
          <w:tcPr>
            <w:tcW w:type="dxa" w:w="3120"/>
            <w:vAlign w:val="top"/>
          </w:tcPr>
          <w:p>
            <w:pPr>
              <w:pStyle w:val="TableText"/>
              <w:keepNext w:val="0"/>
              <w:keepLines/>
            </w:pPr>
            <w:r>
              <w:rPr>
                <w:b w:val="0"/>
              </w:rPr>
              <w:t>micro-LIVE dan otonomi rutin memakai mode yang sama dengan status gate/cap berbeda.</w:t>
            </w:r>
          </w:p>
        </w:tc>
      </w:tr>
    </w:tbl>
    <w:p>
      <w:pPr>
        <w:spacing w:after="60" w:before="0" w:line="240" w:lineRule="auto"/>
      </w:pPr>
      <w:r>
        <w:rPr>
          <w:sz w:val="4"/>
        </w:rPr>
      </w:r>
    </w:p>
    <w:p>
      <w:pPr/>
      <w:r>
        <w:t>Mode bukan health state. PAPER maupun LIVE dapat berstatus RECOVERING, READY, PAUSED, DEGRADED, atau BLOCKED. Instalasi baru selalu PAPER. Restart tidak menaikkan mode; mandat tersimpan boleh tetap ada tetapi entry baru menunggu recovery lengkap.</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Layar</w:t>
            </w:r>
          </w:p>
        </w:tc>
        <w:tc>
          <w:tcPr>
            <w:tcW w:type="dxa" w:w="4680"/>
            <w:vAlign w:val="top"/>
            <w:shd w:fill="E8EEF5" w:val="clear"/>
          </w:tcPr>
          <w:p>
            <w:pPr>
              <w:pStyle w:val="TableText"/>
              <w:keepNext w:val="0"/>
              <w:keepLines/>
            </w:pPr>
            <w:r>
              <w:rPr>
                <w:b/>
              </w:rPr>
              <w:t>Informasi dan aksi</w:t>
            </w:r>
          </w:p>
        </w:tc>
      </w:tr>
      <w:tr>
        <w:trPr>
          <w:cantSplit/>
        </w:trPr>
        <w:tc>
          <w:tcPr>
            <w:tcW w:type="dxa" w:w="4680"/>
            <w:vAlign w:val="top"/>
          </w:tcPr>
          <w:p>
            <w:pPr>
              <w:pStyle w:val="TableText"/>
              <w:keepNext w:val="0"/>
              <w:keepLines/>
            </w:pPr>
            <w:r>
              <w:rPr>
                <w:b w:val="0"/>
              </w:rPr>
              <w:t>Overview</w:t>
            </w:r>
          </w:p>
        </w:tc>
        <w:tc>
          <w:tcPr>
            <w:tcW w:type="dxa" w:w="4680"/>
            <w:vAlign w:val="top"/>
          </w:tcPr>
          <w:p>
            <w:pPr>
              <w:pStyle w:val="TableText"/>
              <w:keepNext w:val="0"/>
              <w:keepLines/>
            </w:pPr>
            <w:r>
              <w:rPr>
                <w:b w:val="0"/>
              </w:rPr>
              <w:t>Mode/health, expiry mandat, equity dengan timestamp valuasi, free/reserved cash, exposure, PnL trading/net ekonomi, biaya AI, tombol pause/cancel.</w:t>
            </w:r>
          </w:p>
        </w:tc>
      </w:tr>
      <w:tr>
        <w:trPr>
          <w:cantSplit/>
        </w:trPr>
        <w:tc>
          <w:tcPr>
            <w:tcW w:type="dxa" w:w="4680"/>
            <w:vAlign w:val="top"/>
          </w:tcPr>
          <w:p>
            <w:pPr>
              <w:pStyle w:val="TableText"/>
              <w:keepNext w:val="0"/>
              <w:keepLines/>
            </w:pPr>
            <w:r>
              <w:rPr>
                <w:b w:val="0"/>
              </w:rPr>
              <w:t>Markets &amp; research</w:t>
            </w:r>
          </w:p>
        </w:tc>
        <w:tc>
          <w:tcPr>
            <w:tcW w:type="dxa" w:w="4680"/>
            <w:vAlign w:val="top"/>
          </w:tcPr>
          <w:p>
            <w:pPr>
              <w:pStyle w:val="TableText"/>
              <w:keepNext w:val="0"/>
              <w:keepLines/>
            </w:pPr>
            <w:r>
              <w:rPr>
                <w:b w:val="0"/>
              </w:rPr>
              <w:t>Filter eligible, alasan penolakan, rules/source resolusi, forecast probability, sumber bertanggal, kontra-bukti, masa berlaku.</w:t>
            </w:r>
          </w:p>
        </w:tc>
      </w:tr>
      <w:tr>
        <w:trPr>
          <w:cantSplit/>
        </w:trPr>
        <w:tc>
          <w:tcPr>
            <w:tcW w:type="dxa" w:w="4680"/>
            <w:vAlign w:val="top"/>
          </w:tcPr>
          <w:p>
            <w:pPr>
              <w:pStyle w:val="TableText"/>
              <w:keepNext w:val="0"/>
              <w:keepLines/>
            </w:pPr>
            <w:r>
              <w:rPr>
                <w:b w:val="0"/>
              </w:rPr>
              <w:t>Orders &amp; positions</w:t>
            </w:r>
          </w:p>
        </w:tc>
        <w:tc>
          <w:tcPr>
            <w:tcW w:type="dxa" w:w="4680"/>
            <w:vAlign w:val="top"/>
          </w:tcPr>
          <w:p>
            <w:pPr>
              <w:pStyle w:val="TableText"/>
              <w:keepNext w:val="0"/>
              <w:keepLines/>
            </w:pPr>
            <w:r>
              <w:rPr>
                <w:b w:val="0"/>
              </w:rPr>
              <w:t>Order/fill/settlement terpisah, remaining quantity, locked shares, cancel result per order, posisi pending dan settled.</w:t>
            </w:r>
          </w:p>
        </w:tc>
      </w:tr>
      <w:tr>
        <w:trPr>
          <w:cantSplit/>
        </w:trPr>
        <w:tc>
          <w:tcPr>
            <w:tcW w:type="dxa" w:w="4680"/>
            <w:vAlign w:val="top"/>
          </w:tcPr>
          <w:p>
            <w:pPr>
              <w:pStyle w:val="TableText"/>
              <w:keepNext w:val="0"/>
              <w:keepLines/>
            </w:pPr>
            <w:r>
              <w:rPr>
                <w:b w:val="0"/>
              </w:rPr>
              <w:t>Experiments</w:t>
            </w:r>
          </w:p>
        </w:tc>
        <w:tc>
          <w:tcPr>
            <w:tcW w:type="dxa" w:w="4680"/>
            <w:vAlign w:val="top"/>
          </w:tcPr>
          <w:p>
            <w:pPr>
              <w:pStyle w:val="TableText"/>
              <w:keepNext w:val="0"/>
              <w:keepLines/>
            </w:pPr>
            <w:r>
              <w:rPr>
                <w:b w:val="0"/>
              </w:rPr>
              <w:t>Versi strategi/model/prompt, periode, benchmark, calibration, event count, performa PAPER/SHADOW/LIVE terpisah.</w:t>
            </w:r>
          </w:p>
        </w:tc>
      </w:tr>
      <w:tr>
        <w:trPr>
          <w:cantSplit/>
        </w:trPr>
        <w:tc>
          <w:tcPr>
            <w:tcW w:type="dxa" w:w="4680"/>
            <w:vAlign w:val="top"/>
          </w:tcPr>
          <w:p>
            <w:pPr>
              <w:pStyle w:val="TableText"/>
              <w:keepNext w:val="0"/>
              <w:keepLines/>
            </w:pPr>
            <w:r>
              <w:rPr>
                <w:b w:val="0"/>
              </w:rPr>
              <w:t>Settings &amp; audit</w:t>
            </w:r>
          </w:p>
        </w:tc>
        <w:tc>
          <w:tcPr>
            <w:tcW w:type="dxa" w:w="4680"/>
            <w:vAlign w:val="top"/>
          </w:tcPr>
          <w:p>
            <w:pPr>
              <w:pStyle w:val="TableText"/>
              <w:keepNext w:val="0"/>
              <w:keepLines/>
            </w:pPr>
            <w:r>
              <w:rPr>
                <w:b w:val="0"/>
              </w:rPr>
              <w:t>Mandat dan budget, provider capability, konfigurasi yang teredaksi, riwayat perubahan, ekspor, status backup dan release manifest.</w:t>
            </w:r>
          </w:p>
        </w:tc>
      </w:tr>
    </w:tbl>
    <w:p>
      <w:pPr>
        <w:spacing w:after="60" w:before="0" w:line="240" w:lineRule="auto"/>
      </w:pPr>
      <w:r>
        <w:rPr>
          <w:sz w:val="4"/>
        </w:rPr>
      </w:r>
    </w:p>
    <w:p>
      <w:pPr/>
      <w:r>
        <w:t>Pada layar sempit, status mode dan pause selalu mudah dijangkau; tabel berubah menjadi kartu/detail, tanpa menyembunyikan unit aset atau timestamp. Angka missing ditampilkan “Belum tersedia”, bukan nol. Saldo stale tidak ditampilkan sebagai dana bebas yang pasti. Bagian inti mode/status/stop adalah P0; analitik dan penjelasan UI yang lebih kaya dapat menyusul pada P1.</w:t>
      </w:r>
    </w:p>
    <w:p>
      <w:pPr>
        <w:pStyle w:val="Heading1"/>
      </w:pPr>
      <w:r>
        <w:t>P5. Kebutuhan fungsional</w:t>
      </w:r>
    </w:p>
    <w:p>
      <w:pPr/>
      <w:r>
        <w:t>P0 wajib lulus sebelum release LIVE yang relevan. P1 dapat ditunda dengan issue yang tercatat. ID bersifat stabil; satu requirement memiliki satu skenario acceptance utama pada Blueprint, dan dapat memiliki beberapa tes implementasi. Kata “harus” menyatakan target desain, bukan hasil tes yang telah lulus.</w:t>
      </w:r>
    </w:p>
    <w:p>
      <w:pPr>
        <w:pStyle w:val="Heading2"/>
      </w:pPr>
      <w:r>
        <w:t>Kendali produk • GOV</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1560"/>
        <w:gridCol w:w="7800"/>
      </w:tblGrid>
      <w:tr>
        <w:trPr>
          <w:cantSplit/>
          <w:tblHeader/>
        </w:trPr>
        <w:tc>
          <w:tcPr>
            <w:tcW w:type="dxa" w:w="1560"/>
            <w:vAlign w:val="top"/>
            <w:shd w:fill="E8EEF5" w:val="clear"/>
          </w:tcPr>
          <w:p>
            <w:pPr>
              <w:pStyle w:val="TableText"/>
              <w:keepNext w:val="0"/>
              <w:keepLines/>
            </w:pPr>
            <w:r>
              <w:rPr>
                <w:b/>
              </w:rPr>
              <w:t>ID / prioritas</w:t>
            </w:r>
          </w:p>
        </w:tc>
        <w:tc>
          <w:tcPr>
            <w:tcW w:type="dxa" w:w="7800"/>
            <w:vAlign w:val="top"/>
            <w:shd w:fill="E8EEF5" w:val="clear"/>
          </w:tcPr>
          <w:p>
            <w:pPr>
              <w:pStyle w:val="TableText"/>
              <w:keepNext w:val="0"/>
              <w:keepLines/>
            </w:pPr>
            <w:r>
              <w:rPr>
                <w:b/>
              </w:rPr>
              <w:t>Kebutuhan</w:t>
            </w:r>
          </w:p>
        </w:tc>
      </w:tr>
      <w:tr>
        <w:trPr>
          <w:cantSplit/>
        </w:trPr>
        <w:tc>
          <w:tcPr>
            <w:tcW w:type="dxa" w:w="1560"/>
            <w:vAlign w:val="top"/>
          </w:tcPr>
          <w:p>
            <w:pPr>
              <w:pStyle w:val="TableText"/>
              <w:keepNext w:val="0"/>
              <w:keepLines/>
            </w:pPr>
            <w:r>
              <w:rPr>
                <w:b w:val="0"/>
              </w:rPr>
              <w:t>PM-GOV-01</w:t>
              <w:br/>
              <w:t>P0</w:t>
            </w:r>
          </w:p>
        </w:tc>
        <w:tc>
          <w:tcPr>
            <w:tcW w:type="dxa" w:w="7800"/>
            <w:vAlign w:val="top"/>
          </w:tcPr>
          <w:p>
            <w:pPr>
              <w:pStyle w:val="TableText"/>
              <w:keepNext w:val="0"/>
              <w:keepLines/>
            </w:pPr>
            <w:r>
              <w:rPr>
                <w:b w:val="0"/>
              </w:rPr>
              <w:t>Baseline fork. Pin commit upstream, lockfile, lisensi, patch lokal, dan schema_version dalam manifest rilis.</w:t>
            </w:r>
          </w:p>
        </w:tc>
      </w:tr>
      <w:tr>
        <w:trPr>
          <w:cantSplit/>
        </w:trPr>
        <w:tc>
          <w:tcPr>
            <w:tcW w:type="dxa" w:w="1560"/>
            <w:vAlign w:val="top"/>
          </w:tcPr>
          <w:p>
            <w:pPr>
              <w:pStyle w:val="TableText"/>
              <w:keepNext w:val="0"/>
              <w:keepLines/>
            </w:pPr>
            <w:r>
              <w:rPr>
                <w:b w:val="0"/>
              </w:rPr>
              <w:t>PM-GOV-02</w:t>
              <w:br/>
              <w:t>P0</w:t>
            </w:r>
          </w:p>
        </w:tc>
        <w:tc>
          <w:tcPr>
            <w:tcW w:type="dxa" w:w="7800"/>
            <w:vAlign w:val="top"/>
          </w:tcPr>
          <w:p>
            <w:pPr>
              <w:pStyle w:val="TableText"/>
              <w:keepNext w:val="0"/>
              <w:keepLines/>
            </w:pPr>
            <w:r>
              <w:rPr>
                <w:b w:val="0"/>
              </w:rPr>
              <w:t>Mode operasi. Sediakan RESEARCH, PAPER, SHADOW, dan LIVE; instalasi baru selalu PAPER. Hanya LIVE dapat mengirim order.</w:t>
            </w:r>
          </w:p>
        </w:tc>
      </w:tr>
      <w:tr>
        <w:trPr>
          <w:cantSplit/>
        </w:trPr>
        <w:tc>
          <w:tcPr>
            <w:tcW w:type="dxa" w:w="1560"/>
            <w:vAlign w:val="top"/>
          </w:tcPr>
          <w:p>
            <w:pPr>
              <w:pStyle w:val="TableText"/>
              <w:keepNext w:val="0"/>
              <w:keepLines/>
            </w:pPr>
            <w:r>
              <w:rPr>
                <w:b w:val="0"/>
              </w:rPr>
              <w:t>PM-GOV-03</w:t>
              <w:br/>
              <w:t>P0</w:t>
            </w:r>
          </w:p>
        </w:tc>
        <w:tc>
          <w:tcPr>
            <w:tcW w:type="dxa" w:w="7800"/>
            <w:vAlign w:val="top"/>
          </w:tcPr>
          <w:p>
            <w:pPr>
              <w:pStyle w:val="TableText"/>
              <w:keepNext w:val="0"/>
              <w:keepLines/>
            </w:pPr>
            <w:r>
              <w:rPr>
                <w:b w:val="0"/>
              </w:rPr>
              <w:t>Mandat otonomi. Aktivasi LIVE memerlukan mandat pemilik yang berisi wallet, strategi, pasar, batas modal, masa berlaku, dan versi kebijakan; tidak meminta konfirmasi setiap trade yang memenuhi mandat.</w:t>
            </w:r>
          </w:p>
        </w:tc>
      </w:tr>
      <w:tr>
        <w:trPr>
          <w:cantSplit/>
        </w:trPr>
        <w:tc>
          <w:tcPr>
            <w:tcW w:type="dxa" w:w="1560"/>
            <w:vAlign w:val="top"/>
          </w:tcPr>
          <w:p>
            <w:pPr>
              <w:pStyle w:val="TableText"/>
              <w:keepNext w:val="0"/>
              <w:keepLines/>
            </w:pPr>
            <w:r>
              <w:rPr>
                <w:b w:val="0"/>
              </w:rPr>
              <w:t>PM-GOV-04</w:t>
              <w:br/>
              <w:t>P0</w:t>
            </w:r>
          </w:p>
        </w:tc>
        <w:tc>
          <w:tcPr>
            <w:tcW w:type="dxa" w:w="7800"/>
            <w:vAlign w:val="top"/>
          </w:tcPr>
          <w:p>
            <w:pPr>
              <w:pStyle w:val="TableText"/>
              <w:keepNext w:val="0"/>
              <w:keepLines/>
            </w:pPr>
            <w:r>
              <w:rPr>
                <w:b w:val="0"/>
              </w:rPr>
              <w:t>Kelayakan akses. Verifikasi persyaratan akun dan pembatasan geografis platform sebelum LIVE; hasil geoblock saja tidak membuktikan kelayakan pengguna.</w:t>
            </w:r>
          </w:p>
        </w:tc>
      </w:tr>
      <w:tr>
        <w:trPr>
          <w:cantSplit/>
        </w:trPr>
        <w:tc>
          <w:tcPr>
            <w:tcW w:type="dxa" w:w="1560"/>
            <w:vAlign w:val="top"/>
          </w:tcPr>
          <w:p>
            <w:pPr>
              <w:pStyle w:val="TableText"/>
              <w:keepNext w:val="0"/>
              <w:keepLines/>
            </w:pPr>
            <w:r>
              <w:rPr>
                <w:b w:val="0"/>
              </w:rPr>
              <w:t>PM-GOV-05</w:t>
              <w:br/>
              <w:t>P0</w:t>
            </w:r>
          </w:p>
        </w:tc>
        <w:tc>
          <w:tcPr>
            <w:tcW w:type="dxa" w:w="7800"/>
            <w:vAlign w:val="top"/>
          </w:tcPr>
          <w:p>
            <w:pPr>
              <w:pStyle w:val="TableText"/>
              <w:keepNext w:val="0"/>
              <w:keepLines/>
            </w:pPr>
            <w:r>
              <w:rPr>
                <w:b w:val="0"/>
              </w:rPr>
              <w:t>Batas cakupan. Rilis pertama memakai satu pemilik, satu wallet khusus, dan Polymarket saja; nonaktifkan tool transfer, leverage, token launch, marketplace, serta self-update dari agent.</w:t>
            </w:r>
          </w:p>
        </w:tc>
      </w:tr>
    </w:tbl>
    <w:p>
      <w:pPr>
        <w:spacing w:after="60" w:before="0" w:line="240" w:lineRule="auto"/>
      </w:pPr>
      <w:r>
        <w:rPr>
          <w:sz w:val="4"/>
        </w:rPr>
      </w:r>
    </w:p>
    <w:p>
      <w:pPr>
        <w:pStyle w:val="Heading2"/>
      </w:pPr>
      <w:r>
        <w:t>Data dan identitas pasar • DATA</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1560"/>
        <w:gridCol w:w="7800"/>
      </w:tblGrid>
      <w:tr>
        <w:trPr>
          <w:cantSplit/>
          <w:tblHeader/>
        </w:trPr>
        <w:tc>
          <w:tcPr>
            <w:tcW w:type="dxa" w:w="1560"/>
            <w:vAlign w:val="top"/>
            <w:shd w:fill="E8EEF5" w:val="clear"/>
          </w:tcPr>
          <w:p>
            <w:pPr>
              <w:pStyle w:val="TableText"/>
              <w:keepNext w:val="0"/>
              <w:keepLines/>
            </w:pPr>
            <w:r>
              <w:rPr>
                <w:b/>
              </w:rPr>
              <w:t>ID / prioritas</w:t>
            </w:r>
          </w:p>
        </w:tc>
        <w:tc>
          <w:tcPr>
            <w:tcW w:type="dxa" w:w="7800"/>
            <w:vAlign w:val="top"/>
            <w:shd w:fill="E8EEF5" w:val="clear"/>
          </w:tcPr>
          <w:p>
            <w:pPr>
              <w:pStyle w:val="TableText"/>
              <w:keepNext w:val="0"/>
              <w:keepLines/>
            </w:pPr>
            <w:r>
              <w:rPr>
                <w:b/>
              </w:rPr>
              <w:t>Kebutuhan</w:t>
            </w:r>
          </w:p>
        </w:tc>
      </w:tr>
      <w:tr>
        <w:trPr>
          <w:cantSplit/>
        </w:trPr>
        <w:tc>
          <w:tcPr>
            <w:tcW w:type="dxa" w:w="1560"/>
            <w:vAlign w:val="top"/>
          </w:tcPr>
          <w:p>
            <w:pPr>
              <w:pStyle w:val="TableText"/>
              <w:keepNext w:val="0"/>
              <w:keepLines/>
            </w:pPr>
            <w:r>
              <w:rPr>
                <w:b w:val="0"/>
              </w:rPr>
              <w:t>PM-DATA-01</w:t>
              <w:br/>
              <w:t>P0</w:t>
            </w:r>
          </w:p>
        </w:tc>
        <w:tc>
          <w:tcPr>
            <w:tcW w:type="dxa" w:w="7800"/>
            <w:vAlign w:val="top"/>
          </w:tcPr>
          <w:p>
            <w:pPr>
              <w:pStyle w:val="TableText"/>
              <w:keepNext w:val="0"/>
              <w:keepLines/>
            </w:pPr>
            <w:r>
              <w:rPr>
                <w:b w:val="0"/>
              </w:rPr>
              <w:t>Identitas kontrak. Simpan event_id, market_id, condition_id, token_id, outcome_index, chain_id, collateral, tick, min_size, status, dan negRisk dari metadata; jangan menebak dari judul.</w:t>
            </w:r>
          </w:p>
        </w:tc>
      </w:tr>
      <w:tr>
        <w:trPr>
          <w:cantSplit/>
        </w:trPr>
        <w:tc>
          <w:tcPr>
            <w:tcW w:type="dxa" w:w="1560"/>
            <w:vAlign w:val="top"/>
          </w:tcPr>
          <w:p>
            <w:pPr>
              <w:pStyle w:val="TableText"/>
              <w:keepNext w:val="0"/>
              <w:keepLines/>
            </w:pPr>
            <w:r>
              <w:rPr>
                <w:b w:val="0"/>
              </w:rPr>
              <w:t>PM-DATA-02</w:t>
              <w:br/>
              <w:t>P0</w:t>
            </w:r>
          </w:p>
        </w:tc>
        <w:tc>
          <w:tcPr>
            <w:tcW w:type="dxa" w:w="7800"/>
            <w:vAlign w:val="top"/>
          </w:tcPr>
          <w:p>
            <w:pPr>
              <w:pStyle w:val="TableText"/>
              <w:keepNext w:val="0"/>
              <w:keepLines/>
            </w:pPr>
            <w:r>
              <w:rPr>
                <w:b w:val="0"/>
              </w:rPr>
              <w:t>Aturan penyelesaian. Simpan sumber resolusi, tenggat UTC, teks aturan dan hash versi; perubahan aturan membatalkan forecast dan intent yang belum terkirim.</w:t>
            </w:r>
          </w:p>
        </w:tc>
      </w:tr>
      <w:tr>
        <w:trPr>
          <w:cantSplit/>
        </w:trPr>
        <w:tc>
          <w:tcPr>
            <w:tcW w:type="dxa" w:w="1560"/>
            <w:vAlign w:val="top"/>
          </w:tcPr>
          <w:p>
            <w:pPr>
              <w:pStyle w:val="TableText"/>
              <w:keepNext w:val="0"/>
              <w:keepLines/>
            </w:pPr>
            <w:r>
              <w:rPr>
                <w:b w:val="0"/>
              </w:rPr>
              <w:t>PM-DATA-03</w:t>
              <w:br/>
              <w:t>P0</w:t>
            </w:r>
          </w:p>
        </w:tc>
        <w:tc>
          <w:tcPr>
            <w:tcW w:type="dxa" w:w="7800"/>
            <w:vAlign w:val="top"/>
          </w:tcPr>
          <w:p>
            <w:pPr>
              <w:pStyle w:val="TableText"/>
              <w:keepNext w:val="0"/>
              <w:keepLines/>
            </w:pPr>
            <w:r>
              <w:rPr>
                <w:b w:val="0"/>
              </w:rPr>
              <w:t>Order book. Bangun buku harga dari snapshot dan stream, simpan received_at serta source timestamp; reconnect mewajibkan sinkronisasi ulang.</w:t>
            </w:r>
          </w:p>
        </w:tc>
      </w:tr>
      <w:tr>
        <w:trPr>
          <w:cantSplit/>
        </w:trPr>
        <w:tc>
          <w:tcPr>
            <w:tcW w:type="dxa" w:w="1560"/>
            <w:vAlign w:val="top"/>
          </w:tcPr>
          <w:p>
            <w:pPr>
              <w:pStyle w:val="TableText"/>
              <w:keepNext w:val="0"/>
              <w:keepLines/>
            </w:pPr>
            <w:r>
              <w:rPr>
                <w:b w:val="0"/>
              </w:rPr>
              <w:t>PM-DATA-04</w:t>
              <w:br/>
              <w:t>P0</w:t>
            </w:r>
          </w:p>
        </w:tc>
        <w:tc>
          <w:tcPr>
            <w:tcW w:type="dxa" w:w="7800"/>
            <w:vAlign w:val="top"/>
          </w:tcPr>
          <w:p>
            <w:pPr>
              <w:pStyle w:val="TableText"/>
              <w:keepNext w:val="0"/>
              <w:keepLines/>
            </w:pPr>
            <w:r>
              <w:rPr>
                <w:b w:val="0"/>
              </w:rPr>
              <w:t>Biaya aktual. Ambil fee settings pasar, tick, min_size, dan mode perdagangan sebelum submit; data biaya tidak diketahui harus menolak entry.</w:t>
            </w:r>
          </w:p>
        </w:tc>
      </w:tr>
      <w:tr>
        <w:trPr>
          <w:cantSplit/>
        </w:trPr>
        <w:tc>
          <w:tcPr>
            <w:tcW w:type="dxa" w:w="1560"/>
            <w:vAlign w:val="top"/>
          </w:tcPr>
          <w:p>
            <w:pPr>
              <w:pStyle w:val="TableText"/>
              <w:keepNext w:val="0"/>
              <w:keepLines/>
            </w:pPr>
            <w:r>
              <w:rPr>
                <w:b w:val="0"/>
              </w:rPr>
              <w:t>PM-DATA-05</w:t>
              <w:br/>
              <w:t>P0</w:t>
            </w:r>
          </w:p>
        </w:tc>
        <w:tc>
          <w:tcPr>
            <w:tcW w:type="dxa" w:w="7800"/>
            <w:vAlign w:val="top"/>
          </w:tcPr>
          <w:p>
            <w:pPr>
              <w:pStyle w:val="TableText"/>
              <w:keepNext w:val="0"/>
              <w:keepLines/>
            </w:pPr>
            <w:r>
              <w:rPr>
                <w:b w:val="0"/>
              </w:rPr>
              <w:t>Provenance berita. Setiap EvidenceItem menyimpan URL, penerbit, waktu publikasi/ambil, hash konten, klaim, dan keterkaitan dengan pertanyaan pasar.</w:t>
            </w:r>
          </w:p>
        </w:tc>
      </w:tr>
      <w:tr>
        <w:trPr>
          <w:cantSplit/>
        </w:trPr>
        <w:tc>
          <w:tcPr>
            <w:tcW w:type="dxa" w:w="1560"/>
            <w:vAlign w:val="top"/>
          </w:tcPr>
          <w:p>
            <w:pPr>
              <w:pStyle w:val="TableText"/>
              <w:keepNext w:val="0"/>
              <w:keepLines/>
            </w:pPr>
            <w:r>
              <w:rPr>
                <w:b w:val="0"/>
              </w:rPr>
              <w:t>PM-DATA-06</w:t>
              <w:br/>
              <w:t>P0</w:t>
            </w:r>
          </w:p>
        </w:tc>
        <w:tc>
          <w:tcPr>
            <w:tcW w:type="dxa" w:w="7800"/>
            <w:vAlign w:val="top"/>
          </w:tcPr>
          <w:p>
            <w:pPr>
              <w:pStyle w:val="TableText"/>
              <w:keepNext w:val="0"/>
              <w:keepLines/>
            </w:pPr>
            <w:r>
              <w:rPr>
                <w:b w:val="0"/>
              </w:rPr>
              <w:t>Kualitas dan batas data. Deteksi data stale, kontradiksi, duplikasi sindikasi, batas request, dan data yang tidak tersedia; nol berbeda dari missing.</w:t>
            </w:r>
          </w:p>
        </w:tc>
      </w:tr>
    </w:tbl>
    <w:p>
      <w:pPr>
        <w:spacing w:after="60" w:before="0" w:line="240" w:lineRule="auto"/>
      </w:pPr>
      <w:r>
        <w:rPr>
          <w:sz w:val="4"/>
        </w:rPr>
      </w:r>
    </w:p>
    <w:p>
      <w:pPr>
        <w:pStyle w:val="Heading2"/>
      </w:pPr>
      <w:r>
        <w:t>Riset dan probabilitas • AI</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1560"/>
        <w:gridCol w:w="7800"/>
      </w:tblGrid>
      <w:tr>
        <w:trPr>
          <w:cantSplit/>
          <w:tblHeader/>
        </w:trPr>
        <w:tc>
          <w:tcPr>
            <w:tcW w:type="dxa" w:w="1560"/>
            <w:vAlign w:val="top"/>
            <w:shd w:fill="E8EEF5" w:val="clear"/>
          </w:tcPr>
          <w:p>
            <w:pPr>
              <w:pStyle w:val="TableText"/>
              <w:keepNext w:val="0"/>
              <w:keepLines/>
            </w:pPr>
            <w:r>
              <w:rPr>
                <w:b/>
              </w:rPr>
              <w:t>ID / prioritas</w:t>
            </w:r>
          </w:p>
        </w:tc>
        <w:tc>
          <w:tcPr>
            <w:tcW w:type="dxa" w:w="7800"/>
            <w:vAlign w:val="top"/>
            <w:shd w:fill="E8EEF5" w:val="clear"/>
          </w:tcPr>
          <w:p>
            <w:pPr>
              <w:pStyle w:val="TableText"/>
              <w:keepNext w:val="0"/>
              <w:keepLines/>
            </w:pPr>
            <w:r>
              <w:rPr>
                <w:b/>
              </w:rPr>
              <w:t>Kebutuhan</w:t>
            </w:r>
          </w:p>
        </w:tc>
      </w:tr>
      <w:tr>
        <w:trPr>
          <w:cantSplit/>
        </w:trPr>
        <w:tc>
          <w:tcPr>
            <w:tcW w:type="dxa" w:w="1560"/>
            <w:vAlign w:val="top"/>
          </w:tcPr>
          <w:p>
            <w:pPr>
              <w:pStyle w:val="TableText"/>
              <w:keepNext w:val="0"/>
              <w:keepLines/>
            </w:pPr>
            <w:r>
              <w:rPr>
                <w:b w:val="0"/>
              </w:rPr>
              <w:t>PM-AI-01</w:t>
              <w:br/>
              <w:t>P0</w:t>
            </w:r>
          </w:p>
        </w:tc>
        <w:tc>
          <w:tcPr>
            <w:tcW w:type="dxa" w:w="7800"/>
            <w:vAlign w:val="top"/>
          </w:tcPr>
          <w:p>
            <w:pPr>
              <w:pStyle w:val="TableText"/>
              <w:keepNext w:val="0"/>
              <w:keepLines/>
            </w:pPr>
            <w:r>
              <w:rPr>
                <w:b w:val="0"/>
              </w:rPr>
              <w:t>Forecast terstruktur. Hasil riset memenuhi schema Forecast: p_yes, evidence_ids, counterevidence, assumptions, invalidators, valid_until, model/prompt/calibrator version, dan abstain_reason.</w:t>
            </w:r>
          </w:p>
        </w:tc>
      </w:tr>
      <w:tr>
        <w:trPr>
          <w:cantSplit/>
        </w:trPr>
        <w:tc>
          <w:tcPr>
            <w:tcW w:type="dxa" w:w="1560"/>
            <w:vAlign w:val="top"/>
          </w:tcPr>
          <w:p>
            <w:pPr>
              <w:pStyle w:val="TableText"/>
              <w:keepNext w:val="0"/>
              <w:keepLines/>
            </w:pPr>
            <w:r>
              <w:rPr>
                <w:b w:val="0"/>
              </w:rPr>
              <w:t>PM-AI-02</w:t>
              <w:br/>
              <w:t>P0</w:t>
            </w:r>
          </w:p>
        </w:tc>
        <w:tc>
          <w:tcPr>
            <w:tcW w:type="dxa" w:w="7800"/>
            <w:vAlign w:val="top"/>
          </w:tcPr>
          <w:p>
            <w:pPr>
              <w:pStyle w:val="TableText"/>
              <w:keepNext w:val="0"/>
              <w:keepLines/>
            </w:pPr>
            <w:r>
              <w:rPr>
                <w:b w:val="0"/>
              </w:rPr>
              <w:t>Provider portabel. Dukung Anthropic dan endpoint kompatibel OpenAI melalui adapter yang diuji; model ID/config dipin per eksperimen; fallback tercatat.</w:t>
            </w:r>
          </w:p>
        </w:tc>
      </w:tr>
      <w:tr>
        <w:trPr>
          <w:cantSplit/>
        </w:trPr>
        <w:tc>
          <w:tcPr>
            <w:tcW w:type="dxa" w:w="1560"/>
            <w:vAlign w:val="top"/>
          </w:tcPr>
          <w:p>
            <w:pPr>
              <w:pStyle w:val="TableText"/>
              <w:keepNext w:val="0"/>
              <w:keepLines/>
            </w:pPr>
            <w:r>
              <w:rPr>
                <w:b w:val="0"/>
              </w:rPr>
              <w:t>PM-AI-03</w:t>
              <w:br/>
              <w:t>P0</w:t>
            </w:r>
          </w:p>
        </w:tc>
        <w:tc>
          <w:tcPr>
            <w:tcW w:type="dxa" w:w="7800"/>
            <w:vAlign w:val="top"/>
          </w:tcPr>
          <w:p>
            <w:pPr>
              <w:pStyle w:val="TableText"/>
              <w:keepNext w:val="0"/>
              <w:keepLines/>
            </w:pPr>
            <w:r>
              <w:rPr>
                <w:b w:val="0"/>
              </w:rPr>
              <w:t>Kualitas probabilitas. Pisahkan probabilitas mentah, terkalibrasi, dan skenario konservatif; confidence verbal LLM tidak dipakai sebagai ukuran posisi.</w:t>
            </w:r>
          </w:p>
        </w:tc>
      </w:tr>
      <w:tr>
        <w:trPr>
          <w:cantSplit/>
        </w:trPr>
        <w:tc>
          <w:tcPr>
            <w:tcW w:type="dxa" w:w="1560"/>
            <w:vAlign w:val="top"/>
          </w:tcPr>
          <w:p>
            <w:pPr>
              <w:pStyle w:val="TableText"/>
              <w:keepNext w:val="0"/>
              <w:keepLines/>
            </w:pPr>
            <w:r>
              <w:rPr>
                <w:b w:val="0"/>
              </w:rPr>
              <w:t>PM-AI-04</w:t>
              <w:br/>
              <w:t>P0</w:t>
            </w:r>
          </w:p>
        </w:tc>
        <w:tc>
          <w:tcPr>
            <w:tcW w:type="dxa" w:w="7800"/>
            <w:vAlign w:val="top"/>
          </w:tcPr>
          <w:p>
            <w:pPr>
              <w:pStyle w:val="TableText"/>
              <w:keepNext w:val="0"/>
              <w:keepLines/>
            </w:pPr>
            <w:r>
              <w:rPr>
                <w:b w:val="0"/>
              </w:rPr>
              <w:t>Batas sumber tak tepercaya. Konten web diperlakukan sebagai data, tidak dapat mengubah mandat, menjalankan shell, membaca secret, atau memanggil signer.</w:t>
            </w:r>
          </w:p>
        </w:tc>
      </w:tr>
      <w:tr>
        <w:trPr>
          <w:cantSplit/>
        </w:trPr>
        <w:tc>
          <w:tcPr>
            <w:tcW w:type="dxa" w:w="1560"/>
            <w:vAlign w:val="top"/>
          </w:tcPr>
          <w:p>
            <w:pPr>
              <w:pStyle w:val="TableText"/>
              <w:keepNext w:val="0"/>
              <w:keepLines/>
            </w:pPr>
            <w:r>
              <w:rPr>
                <w:b w:val="0"/>
              </w:rPr>
              <w:t>PM-AI-05</w:t>
              <w:br/>
              <w:t>P0</w:t>
            </w:r>
          </w:p>
        </w:tc>
        <w:tc>
          <w:tcPr>
            <w:tcW w:type="dxa" w:w="7800"/>
            <w:vAlign w:val="top"/>
          </w:tcPr>
          <w:p>
            <w:pPr>
              <w:pStyle w:val="TableText"/>
              <w:keepNext w:val="0"/>
              <w:keepLines/>
            </w:pPr>
            <w:r>
              <w:rPr>
                <w:b w:val="0"/>
              </w:rPr>
              <w:t>Anggaran riset. Batasi token, biaya, durasi, jumlah sumber, dan concurrency; kehabisan budget menghasilkan abstain serta tetap menjalankan monitoring posisi.</w:t>
            </w:r>
          </w:p>
        </w:tc>
      </w:tr>
      <w:tr>
        <w:trPr>
          <w:cantSplit/>
        </w:trPr>
        <w:tc>
          <w:tcPr>
            <w:tcW w:type="dxa" w:w="1560"/>
            <w:vAlign w:val="top"/>
          </w:tcPr>
          <w:p>
            <w:pPr>
              <w:pStyle w:val="TableText"/>
              <w:keepNext w:val="0"/>
              <w:keepLines/>
            </w:pPr>
            <w:r>
              <w:rPr>
                <w:b w:val="0"/>
              </w:rPr>
              <w:t>PM-AI-06</w:t>
              <w:br/>
              <w:t>P1</w:t>
            </w:r>
          </w:p>
        </w:tc>
        <w:tc>
          <w:tcPr>
            <w:tcW w:type="dxa" w:w="7800"/>
            <w:vAlign w:val="top"/>
          </w:tcPr>
          <w:p>
            <w:pPr>
              <w:pStyle w:val="TableText"/>
              <w:keepNext w:val="0"/>
              <w:keepLines/>
            </w:pPr>
            <w:r>
              <w:rPr>
                <w:b w:val="0"/>
              </w:rPr>
              <w:t>Memori dan penjelasan. Simpan ringkasan bukti dan keputusan untuk pengguna, bukan mengandalkan percakapan sebagai ledger; semua versi dapat ditelusuri.</w:t>
            </w:r>
          </w:p>
        </w:tc>
      </w:tr>
    </w:tbl>
    <w:p>
      <w:pPr>
        <w:spacing w:after="60" w:before="0" w:line="240" w:lineRule="auto"/>
      </w:pPr>
      <w:r>
        <w:rPr>
          <w:sz w:val="4"/>
        </w:rPr>
      </w:r>
    </w:p>
    <w:p>
      <w:pPr>
        <w:pStyle w:val="Heading2"/>
      </w:pPr>
      <w:r>
        <w:t>Strategi dan seleksi • STR</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1560"/>
        <w:gridCol w:w="7800"/>
      </w:tblGrid>
      <w:tr>
        <w:trPr>
          <w:cantSplit/>
          <w:tblHeader/>
        </w:trPr>
        <w:tc>
          <w:tcPr>
            <w:tcW w:type="dxa" w:w="1560"/>
            <w:vAlign w:val="top"/>
            <w:shd w:fill="E8EEF5" w:val="clear"/>
          </w:tcPr>
          <w:p>
            <w:pPr>
              <w:pStyle w:val="TableText"/>
              <w:keepNext w:val="0"/>
              <w:keepLines/>
            </w:pPr>
            <w:r>
              <w:rPr>
                <w:b/>
              </w:rPr>
              <w:t>ID / prioritas</w:t>
            </w:r>
          </w:p>
        </w:tc>
        <w:tc>
          <w:tcPr>
            <w:tcW w:type="dxa" w:w="7800"/>
            <w:vAlign w:val="top"/>
            <w:shd w:fill="E8EEF5" w:val="clear"/>
          </w:tcPr>
          <w:p>
            <w:pPr>
              <w:pStyle w:val="TableText"/>
              <w:keepNext w:val="0"/>
              <w:keepLines/>
            </w:pPr>
            <w:r>
              <w:rPr>
                <w:b/>
              </w:rPr>
              <w:t>Kebutuhan</w:t>
            </w:r>
          </w:p>
        </w:tc>
      </w:tr>
      <w:tr>
        <w:trPr>
          <w:cantSplit/>
        </w:trPr>
        <w:tc>
          <w:tcPr>
            <w:tcW w:type="dxa" w:w="1560"/>
            <w:vAlign w:val="top"/>
          </w:tcPr>
          <w:p>
            <w:pPr>
              <w:pStyle w:val="TableText"/>
              <w:keepNext w:val="0"/>
              <w:keepLines/>
            </w:pPr>
            <w:r>
              <w:rPr>
                <w:b w:val="0"/>
              </w:rPr>
              <w:t>PM-STR-01</w:t>
              <w:br/>
              <w:t>P0</w:t>
            </w:r>
          </w:p>
        </w:tc>
        <w:tc>
          <w:tcPr>
            <w:tcW w:type="dxa" w:w="7800"/>
            <w:vAlign w:val="top"/>
          </w:tcPr>
          <w:p>
            <w:pPr>
              <w:pStyle w:val="TableText"/>
              <w:keepNext w:val="0"/>
              <w:keepLines/>
            </w:pPr>
            <w:r>
              <w:rPr>
                <w:b w:val="0"/>
              </w:rPr>
              <w:t>Strategi pertama. Aktifkan satu plugin evidence_directional_v1 untuk pasar biner dengan aturan jelas; momentum/HFT, cuaca, copy, dan LP menjadi kandidat tahap berikut.</w:t>
            </w:r>
          </w:p>
        </w:tc>
      </w:tr>
      <w:tr>
        <w:trPr>
          <w:cantSplit/>
        </w:trPr>
        <w:tc>
          <w:tcPr>
            <w:tcW w:type="dxa" w:w="1560"/>
            <w:vAlign w:val="top"/>
          </w:tcPr>
          <w:p>
            <w:pPr>
              <w:pStyle w:val="TableText"/>
              <w:keepNext w:val="0"/>
              <w:keepLines/>
            </w:pPr>
            <w:r>
              <w:rPr>
                <w:b w:val="0"/>
              </w:rPr>
              <w:t>PM-STR-02</w:t>
              <w:br/>
              <w:t>P0</w:t>
            </w:r>
          </w:p>
        </w:tc>
        <w:tc>
          <w:tcPr>
            <w:tcW w:type="dxa" w:w="7800"/>
            <w:vAlign w:val="top"/>
          </w:tcPr>
          <w:p>
            <w:pPr>
              <w:pStyle w:val="TableText"/>
              <w:keepNext w:val="0"/>
              <w:keepLines/>
            </w:pPr>
            <w:r>
              <w:rPr>
                <w:b w:val="0"/>
              </w:rPr>
              <w:t>Edge setelah biaya. Hitung expected value dari probabilitas konservatif, executable price/depth, net shares, fees, serta biaya operasi; abstain bila edge tidak melampaui buffer.</w:t>
            </w:r>
          </w:p>
        </w:tc>
      </w:tr>
      <w:tr>
        <w:trPr>
          <w:cantSplit/>
        </w:trPr>
        <w:tc>
          <w:tcPr>
            <w:tcW w:type="dxa" w:w="1560"/>
            <w:vAlign w:val="top"/>
          </w:tcPr>
          <w:p>
            <w:pPr>
              <w:pStyle w:val="TableText"/>
              <w:keepNext w:val="0"/>
              <w:keepLines/>
            </w:pPr>
            <w:r>
              <w:rPr>
                <w:b w:val="0"/>
              </w:rPr>
              <w:t>PM-STR-03</w:t>
              <w:br/>
              <w:t>P0</w:t>
            </w:r>
          </w:p>
        </w:tc>
        <w:tc>
          <w:tcPr>
            <w:tcW w:type="dxa" w:w="7800"/>
            <w:vAlign w:val="top"/>
          </w:tcPr>
          <w:p>
            <w:pPr>
              <w:pStyle w:val="TableText"/>
              <w:keepNext w:val="0"/>
              <w:keepLines/>
            </w:pPr>
            <w:r>
              <w:rPr>
                <w:b w:val="0"/>
              </w:rPr>
              <w:t>Versi eksperimen. Setiap parameter dan strategi mempunyai versi immutable, periode evaluasi, dan benchmark yang ditetapkan sebelum pengujian.</w:t>
            </w:r>
          </w:p>
        </w:tc>
      </w:tr>
      <w:tr>
        <w:trPr>
          <w:cantSplit/>
        </w:trPr>
        <w:tc>
          <w:tcPr>
            <w:tcW w:type="dxa" w:w="1560"/>
            <w:vAlign w:val="top"/>
          </w:tcPr>
          <w:p>
            <w:pPr>
              <w:pStyle w:val="TableText"/>
              <w:keepNext w:val="0"/>
              <w:keepLines/>
            </w:pPr>
            <w:r>
              <w:rPr>
                <w:b w:val="0"/>
              </w:rPr>
              <w:t>PM-STR-04</w:t>
              <w:br/>
              <w:t>P1</w:t>
            </w:r>
          </w:p>
        </w:tc>
        <w:tc>
          <w:tcPr>
            <w:tcW w:type="dxa" w:w="7800"/>
            <w:vAlign w:val="top"/>
          </w:tcPr>
          <w:p>
            <w:pPr>
              <w:pStyle w:val="TableText"/>
              <w:keepNext w:val="0"/>
              <w:keepLines/>
            </w:pPr>
            <w:r>
              <w:rPr>
                <w:b w:val="0"/>
              </w:rPr>
              <w:t>Sinyal masa depan. Kontrak plugin mendukung weather/copy/LP dengan dependensi, feature flag, data rights, dan acceptance gate masing-masing; tidak otomatis mendapat akses LIVE.</w:t>
            </w:r>
          </w:p>
        </w:tc>
      </w:tr>
    </w:tbl>
    <w:p>
      <w:pPr>
        <w:spacing w:after="60" w:before="0" w:line="240" w:lineRule="auto"/>
      </w:pPr>
      <w:r>
        <w:rPr>
          <w:sz w:val="4"/>
        </w:rPr>
      </w:r>
    </w:p>
    <w:p>
      <w:pPr>
        <w:pStyle w:val="Heading2"/>
      </w:pPr>
      <w:r>
        <w:t>Modal dan pengendalian risiko • RISK</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1560"/>
        <w:gridCol w:w="7800"/>
      </w:tblGrid>
      <w:tr>
        <w:trPr>
          <w:cantSplit/>
          <w:tblHeader/>
        </w:trPr>
        <w:tc>
          <w:tcPr>
            <w:tcW w:type="dxa" w:w="1560"/>
            <w:vAlign w:val="top"/>
            <w:shd w:fill="E8EEF5" w:val="clear"/>
          </w:tcPr>
          <w:p>
            <w:pPr>
              <w:pStyle w:val="TableText"/>
              <w:keepNext w:val="0"/>
              <w:keepLines/>
            </w:pPr>
            <w:r>
              <w:rPr>
                <w:b/>
              </w:rPr>
              <w:t>ID / prioritas</w:t>
            </w:r>
          </w:p>
        </w:tc>
        <w:tc>
          <w:tcPr>
            <w:tcW w:type="dxa" w:w="7800"/>
            <w:vAlign w:val="top"/>
            <w:shd w:fill="E8EEF5" w:val="clear"/>
          </w:tcPr>
          <w:p>
            <w:pPr>
              <w:pStyle w:val="TableText"/>
              <w:keepNext w:val="0"/>
              <w:keepLines/>
            </w:pPr>
            <w:r>
              <w:rPr>
                <w:b/>
              </w:rPr>
              <w:t>Kebutuhan</w:t>
            </w:r>
          </w:p>
        </w:tc>
      </w:tr>
      <w:tr>
        <w:trPr>
          <w:cantSplit/>
        </w:trPr>
        <w:tc>
          <w:tcPr>
            <w:tcW w:type="dxa" w:w="1560"/>
            <w:vAlign w:val="top"/>
          </w:tcPr>
          <w:p>
            <w:pPr>
              <w:pStyle w:val="TableText"/>
              <w:keepNext w:val="0"/>
              <w:keepLines/>
            </w:pPr>
            <w:r>
              <w:rPr>
                <w:b w:val="0"/>
              </w:rPr>
              <w:t>PM-RISK-01</w:t>
              <w:br/>
              <w:t>P0</w:t>
            </w:r>
          </w:p>
        </w:tc>
        <w:tc>
          <w:tcPr>
            <w:tcW w:type="dxa" w:w="7800"/>
            <w:vAlign w:val="top"/>
          </w:tcPr>
          <w:p>
            <w:pPr>
              <w:pStyle w:val="TableText"/>
              <w:keepNext w:val="0"/>
              <w:keepLines/>
            </w:pPr>
            <w:r>
              <w:rPr>
                <w:b w:val="0"/>
              </w:rPr>
              <w:t>Batas eksposur. Batasi notional per order, per market, kelompok event berkorelasi, dan seluruh portfolio; hitung posisi plus open order plus reservasi.</w:t>
            </w:r>
          </w:p>
        </w:tc>
      </w:tr>
      <w:tr>
        <w:trPr>
          <w:cantSplit/>
        </w:trPr>
        <w:tc>
          <w:tcPr>
            <w:tcW w:type="dxa" w:w="1560"/>
            <w:vAlign w:val="top"/>
          </w:tcPr>
          <w:p>
            <w:pPr>
              <w:pStyle w:val="TableText"/>
              <w:keepNext w:val="0"/>
              <w:keepLines/>
            </w:pPr>
            <w:r>
              <w:rPr>
                <w:b w:val="0"/>
              </w:rPr>
              <w:t>PM-RISK-02</w:t>
              <w:br/>
              <w:t>P0</w:t>
            </w:r>
          </w:p>
        </w:tc>
        <w:tc>
          <w:tcPr>
            <w:tcW w:type="dxa" w:w="7800"/>
            <w:vAlign w:val="top"/>
          </w:tcPr>
          <w:p>
            <w:pPr>
              <w:pStyle w:val="TableText"/>
              <w:keepNext w:val="0"/>
              <w:keepLines/>
            </w:pPr>
            <w:r>
              <w:rPr>
                <w:b w:val="0"/>
              </w:rPr>
              <w:t>Reservasi atomik. Risk check dan reservasi kas/shares/policy_version ditulis atomik; reservasi tidak dilepas selama status submit belum diketahui.</w:t>
            </w:r>
          </w:p>
        </w:tc>
      </w:tr>
      <w:tr>
        <w:trPr>
          <w:cantSplit/>
        </w:trPr>
        <w:tc>
          <w:tcPr>
            <w:tcW w:type="dxa" w:w="1560"/>
            <w:vAlign w:val="top"/>
          </w:tcPr>
          <w:p>
            <w:pPr>
              <w:pStyle w:val="TableText"/>
              <w:keepNext w:val="0"/>
              <w:keepLines/>
            </w:pPr>
            <w:r>
              <w:rPr>
                <w:b w:val="0"/>
              </w:rPr>
              <w:t>PM-RISK-03</w:t>
              <w:br/>
              <w:t>P0</w:t>
            </w:r>
          </w:p>
        </w:tc>
        <w:tc>
          <w:tcPr>
            <w:tcW w:type="dxa" w:w="7800"/>
            <w:vAlign w:val="top"/>
          </w:tcPr>
          <w:p>
            <w:pPr>
              <w:pStyle w:val="TableText"/>
              <w:keepNext w:val="0"/>
              <w:keepLines/>
            </w:pPr>
            <w:r>
              <w:rPr>
                <w:b w:val="0"/>
              </w:rPr>
              <w:t>Batas kerugian. Gunakan equity konservatif yang disesuaikan deposit/withdrawal; breach harian/drawdown bertahan setelah restart sampai prosedur resume.</w:t>
            </w:r>
          </w:p>
        </w:tc>
      </w:tr>
      <w:tr>
        <w:trPr>
          <w:cantSplit/>
        </w:trPr>
        <w:tc>
          <w:tcPr>
            <w:tcW w:type="dxa" w:w="1560"/>
            <w:vAlign w:val="top"/>
          </w:tcPr>
          <w:p>
            <w:pPr>
              <w:pStyle w:val="TableText"/>
              <w:keepNext w:val="0"/>
              <w:keepLines/>
            </w:pPr>
            <w:r>
              <w:rPr>
                <w:b w:val="0"/>
              </w:rPr>
              <w:t>PM-RISK-04</w:t>
              <w:br/>
              <w:t>P0</w:t>
            </w:r>
          </w:p>
        </w:tc>
        <w:tc>
          <w:tcPr>
            <w:tcW w:type="dxa" w:w="7800"/>
            <w:vAlign w:val="top"/>
          </w:tcPr>
          <w:p>
            <w:pPr>
              <w:pStyle w:val="TableText"/>
              <w:keepNext w:val="0"/>
              <w:keepLines/>
            </w:pPr>
            <w:r>
              <w:rPr>
                <w:b w:val="0"/>
              </w:rPr>
              <w:t>Likuiditas dan ukuran. Harga/tick/min_size/depth/slippage harus lulus; quantity dibulatkan ke bawah. Jika minimum bursa melanggar batas modal, abstain.</w:t>
            </w:r>
          </w:p>
        </w:tc>
      </w:tr>
      <w:tr>
        <w:trPr>
          <w:cantSplit/>
        </w:trPr>
        <w:tc>
          <w:tcPr>
            <w:tcW w:type="dxa" w:w="1560"/>
            <w:vAlign w:val="top"/>
          </w:tcPr>
          <w:p>
            <w:pPr>
              <w:pStyle w:val="TableText"/>
              <w:keepNext w:val="0"/>
              <w:keepLines/>
            </w:pPr>
            <w:r>
              <w:rPr>
                <w:b w:val="0"/>
              </w:rPr>
              <w:t>PM-RISK-05</w:t>
              <w:br/>
              <w:t>P0</w:t>
            </w:r>
          </w:p>
        </w:tc>
        <w:tc>
          <w:tcPr>
            <w:tcW w:type="dxa" w:w="7800"/>
            <w:vAlign w:val="top"/>
          </w:tcPr>
          <w:p>
            <w:pPr>
              <w:pStyle w:val="TableText"/>
              <w:keepNext w:val="0"/>
              <w:keepLines/>
            </w:pPr>
            <w:r>
              <w:rPr>
                <w:b w:val="0"/>
              </w:rPr>
              <w:t>Kill switch. PAUSE_ENTRIES menolak entry; CANCEL_OPEN membatalkan order; FLATTEN adalah aksi terpisah dengan batas harga dan posisi aktual.</w:t>
            </w:r>
          </w:p>
        </w:tc>
      </w:tr>
      <w:tr>
        <w:trPr>
          <w:cantSplit/>
        </w:trPr>
        <w:tc>
          <w:tcPr>
            <w:tcW w:type="dxa" w:w="1560"/>
            <w:vAlign w:val="top"/>
          </w:tcPr>
          <w:p>
            <w:pPr>
              <w:pStyle w:val="TableText"/>
              <w:keepNext w:val="0"/>
              <w:keepLines/>
            </w:pPr>
            <w:r>
              <w:rPr>
                <w:b w:val="0"/>
              </w:rPr>
              <w:t>PM-RISK-06</w:t>
              <w:br/>
              <w:t>P0</w:t>
            </w:r>
          </w:p>
        </w:tc>
        <w:tc>
          <w:tcPr>
            <w:tcW w:type="dxa" w:w="7800"/>
            <w:vAlign w:val="top"/>
          </w:tcPr>
          <w:p>
            <w:pPr>
              <w:pStyle w:val="TableText"/>
              <w:keepNext w:val="0"/>
              <w:keepLines/>
            </w:pPr>
            <w:r>
              <w:rPr>
                <w:b w:val="0"/>
              </w:rPr>
              <w:t>Jalur pengurangan risiko. SELL hanya memakai shares terverifikasi dan reservasi; tidak membuka short atau menganggap reduce-only native tersedia.</w:t>
            </w:r>
          </w:p>
        </w:tc>
      </w:tr>
      <w:tr>
        <w:trPr>
          <w:cantSplit/>
        </w:trPr>
        <w:tc>
          <w:tcPr>
            <w:tcW w:type="dxa" w:w="1560"/>
            <w:vAlign w:val="top"/>
          </w:tcPr>
          <w:p>
            <w:pPr>
              <w:pStyle w:val="TableText"/>
              <w:keepNext w:val="0"/>
              <w:keepLines/>
            </w:pPr>
            <w:r>
              <w:rPr>
                <w:b w:val="0"/>
              </w:rPr>
              <w:t>PM-RISK-07</w:t>
              <w:br/>
              <w:t>P0</w:t>
            </w:r>
          </w:p>
        </w:tc>
        <w:tc>
          <w:tcPr>
            <w:tcW w:type="dxa" w:w="7800"/>
            <w:vAlign w:val="top"/>
          </w:tcPr>
          <w:p>
            <w:pPr>
              <w:pStyle w:val="TableText"/>
              <w:keepNext w:val="0"/>
              <w:keepLines/>
            </w:pPr>
            <w:r>
              <w:rPr>
                <w:b w:val="0"/>
              </w:rPr>
              <w:t>Mandat immutable. Agent dapat mengusulkan perubahan strategi, tetapi tidak dapat menaikkan limit, memperpanjang mandat, mengaktifkan LIVE, atau mengubah signer.</w:t>
            </w:r>
          </w:p>
        </w:tc>
      </w:tr>
    </w:tbl>
    <w:p>
      <w:pPr>
        <w:spacing w:after="60" w:before="0" w:line="240" w:lineRule="auto"/>
      </w:pPr>
      <w:r>
        <w:rPr>
          <w:sz w:val="4"/>
        </w:rPr>
      </w:r>
    </w:p>
    <w:p>
      <w:pPr>
        <w:pStyle w:val="Heading2"/>
      </w:pPr>
      <w:r>
        <w:t>Eksekusi dan lifecycle • EXE</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1560"/>
        <w:gridCol w:w="7800"/>
      </w:tblGrid>
      <w:tr>
        <w:trPr>
          <w:cantSplit/>
          <w:tblHeader/>
        </w:trPr>
        <w:tc>
          <w:tcPr>
            <w:tcW w:type="dxa" w:w="1560"/>
            <w:vAlign w:val="top"/>
            <w:shd w:fill="E8EEF5" w:val="clear"/>
          </w:tcPr>
          <w:p>
            <w:pPr>
              <w:pStyle w:val="TableText"/>
              <w:keepNext w:val="0"/>
              <w:keepLines/>
            </w:pPr>
            <w:r>
              <w:rPr>
                <w:b/>
              </w:rPr>
              <w:t>ID / prioritas</w:t>
            </w:r>
          </w:p>
        </w:tc>
        <w:tc>
          <w:tcPr>
            <w:tcW w:type="dxa" w:w="7800"/>
            <w:vAlign w:val="top"/>
            <w:shd w:fill="E8EEF5" w:val="clear"/>
          </w:tcPr>
          <w:p>
            <w:pPr>
              <w:pStyle w:val="TableText"/>
              <w:keepNext w:val="0"/>
              <w:keepLines/>
            </w:pPr>
            <w:r>
              <w:rPr>
                <w:b/>
              </w:rPr>
              <w:t>Kebutuhan</w:t>
            </w:r>
          </w:p>
        </w:tc>
      </w:tr>
      <w:tr>
        <w:trPr>
          <w:cantSplit/>
        </w:trPr>
        <w:tc>
          <w:tcPr>
            <w:tcW w:type="dxa" w:w="1560"/>
            <w:vAlign w:val="top"/>
          </w:tcPr>
          <w:p>
            <w:pPr>
              <w:pStyle w:val="TableText"/>
              <w:keepNext w:val="0"/>
              <w:keepLines/>
            </w:pPr>
            <w:r>
              <w:rPr>
                <w:b w:val="0"/>
              </w:rPr>
              <w:t>PM-EXE-01</w:t>
              <w:br/>
              <w:t>P0</w:t>
            </w:r>
          </w:p>
        </w:tc>
        <w:tc>
          <w:tcPr>
            <w:tcW w:type="dxa" w:w="7800"/>
            <w:vAlign w:val="top"/>
          </w:tcPr>
          <w:p>
            <w:pPr>
              <w:pStyle w:val="TableText"/>
              <w:keepNext w:val="0"/>
              <w:keepLines/>
            </w:pPr>
            <w:r>
              <w:rPr>
                <w:b w:val="0"/>
              </w:rPr>
              <w:t>Satu pintu order. Semua entry point, termasuk chat, UI, cron dan plugin, membuat TradeIntent; hanya execution service memegang signing capability.</w:t>
            </w:r>
          </w:p>
        </w:tc>
      </w:tr>
      <w:tr>
        <w:trPr>
          <w:cantSplit/>
        </w:trPr>
        <w:tc>
          <w:tcPr>
            <w:tcW w:type="dxa" w:w="1560"/>
            <w:vAlign w:val="top"/>
          </w:tcPr>
          <w:p>
            <w:pPr>
              <w:pStyle w:val="TableText"/>
              <w:keepNext w:val="0"/>
              <w:keepLines/>
            </w:pPr>
            <w:r>
              <w:rPr>
                <w:b w:val="0"/>
              </w:rPr>
              <w:t>PM-EXE-02</w:t>
              <w:br/>
              <w:t>P0</w:t>
            </w:r>
          </w:p>
        </w:tc>
        <w:tc>
          <w:tcPr>
            <w:tcW w:type="dxa" w:w="7800"/>
            <w:vAlign w:val="top"/>
          </w:tcPr>
          <w:p>
            <w:pPr>
              <w:pStyle w:val="TableText"/>
              <w:keepNext w:val="0"/>
              <w:keepLines/>
            </w:pPr>
            <w:r>
              <w:rPr>
                <w:b w:val="0"/>
              </w:rPr>
              <w:t>Adapter venue. Gunakan SDK resmi yang dipin; cocokkan wallet/signature type, chain, collateral, allowance dan order version terhadap deployment aktual.</w:t>
            </w:r>
          </w:p>
        </w:tc>
      </w:tr>
      <w:tr>
        <w:trPr>
          <w:cantSplit/>
        </w:trPr>
        <w:tc>
          <w:tcPr>
            <w:tcW w:type="dxa" w:w="1560"/>
            <w:vAlign w:val="top"/>
          </w:tcPr>
          <w:p>
            <w:pPr>
              <w:pStyle w:val="TableText"/>
              <w:keepNext w:val="0"/>
              <w:keepLines/>
            </w:pPr>
            <w:r>
              <w:rPr>
                <w:b w:val="0"/>
              </w:rPr>
              <w:t>PM-EXE-03</w:t>
              <w:br/>
              <w:t>P0</w:t>
            </w:r>
          </w:p>
        </w:tc>
        <w:tc>
          <w:tcPr>
            <w:tcW w:type="dxa" w:w="7800"/>
            <w:vAlign w:val="top"/>
          </w:tcPr>
          <w:p>
            <w:pPr>
              <w:pStyle w:val="TableText"/>
              <w:keepNext w:val="0"/>
              <w:keepLines/>
            </w:pPr>
            <w:r>
              <w:rPr>
                <w:b w:val="0"/>
              </w:rPr>
              <w:t>Idempotensi intent. Simpan intent_id, dedupe_key, payload_hash dan signed order hash sebelum jaringan; satu logical intent tidak dikirim sebagai order baru saat timeout.</w:t>
            </w:r>
          </w:p>
        </w:tc>
      </w:tr>
      <w:tr>
        <w:trPr>
          <w:cantSplit/>
        </w:trPr>
        <w:tc>
          <w:tcPr>
            <w:tcW w:type="dxa" w:w="1560"/>
            <w:vAlign w:val="top"/>
          </w:tcPr>
          <w:p>
            <w:pPr>
              <w:pStyle w:val="TableText"/>
              <w:keepNext w:val="0"/>
              <w:keepLines/>
            </w:pPr>
            <w:r>
              <w:rPr>
                <w:b w:val="0"/>
              </w:rPr>
              <w:t>PM-EXE-04</w:t>
              <w:br/>
              <w:t>P0</w:t>
            </w:r>
          </w:p>
        </w:tc>
        <w:tc>
          <w:tcPr>
            <w:tcW w:type="dxa" w:w="7800"/>
            <w:vAlign w:val="top"/>
          </w:tcPr>
          <w:p>
            <w:pPr>
              <w:pStyle w:val="TableText"/>
              <w:keepNext w:val="0"/>
              <w:keepLines/>
            </w:pPr>
            <w:r>
              <w:rPr>
                <w:b w:val="0"/>
              </w:rPr>
              <w:t>Status tidak diketahui. Timeout atau koneksi putus setelah submit menghasilkan SUBMISSION_UNKNOWN; lakukan lookup dan rekonsiliasi, bukan retry buta.</w:t>
            </w:r>
          </w:p>
        </w:tc>
      </w:tr>
      <w:tr>
        <w:trPr>
          <w:cantSplit/>
        </w:trPr>
        <w:tc>
          <w:tcPr>
            <w:tcW w:type="dxa" w:w="1560"/>
            <w:vAlign w:val="top"/>
          </w:tcPr>
          <w:p>
            <w:pPr>
              <w:pStyle w:val="TableText"/>
              <w:keepNext w:val="0"/>
              <w:keepLines/>
            </w:pPr>
            <w:r>
              <w:rPr>
                <w:b w:val="0"/>
              </w:rPr>
              <w:t>PM-EXE-05</w:t>
              <w:br/>
              <w:t>P0</w:t>
            </w:r>
          </w:p>
        </w:tc>
        <w:tc>
          <w:tcPr>
            <w:tcW w:type="dxa" w:w="7800"/>
            <w:vAlign w:val="top"/>
          </w:tcPr>
          <w:p>
            <w:pPr>
              <w:pStyle w:val="TableText"/>
              <w:keepNext w:val="0"/>
              <w:keepLines/>
            </w:pPr>
            <w:r>
              <w:rPr>
                <w:b w:val="0"/>
              </w:rPr>
              <w:t>Cancel dan replace. Cancel acknowledgment dan fill terakhir direkonsiliasi sebelum replace; quantity baru hanya sisa yang masih diinginkan dan aman.</w:t>
            </w:r>
          </w:p>
        </w:tc>
      </w:tr>
      <w:tr>
        <w:trPr>
          <w:cantSplit/>
        </w:trPr>
        <w:tc>
          <w:tcPr>
            <w:tcW w:type="dxa" w:w="1560"/>
            <w:vAlign w:val="top"/>
          </w:tcPr>
          <w:p>
            <w:pPr>
              <w:pStyle w:val="TableText"/>
              <w:keepNext w:val="0"/>
              <w:keepLines/>
            </w:pPr>
            <w:r>
              <w:rPr>
                <w:b w:val="0"/>
              </w:rPr>
              <w:t>PM-EXE-06</w:t>
              <w:br/>
              <w:t>P0</w:t>
            </w:r>
          </w:p>
        </w:tc>
        <w:tc>
          <w:tcPr>
            <w:tcW w:type="dxa" w:w="7800"/>
            <w:vAlign w:val="top"/>
          </w:tcPr>
          <w:p>
            <w:pPr>
              <w:pStyle w:val="TableText"/>
              <w:keepNext w:val="0"/>
              <w:keepLines/>
            </w:pPr>
            <w:r>
              <w:rPr>
                <w:b w:val="0"/>
              </w:rPr>
              <w:t>Fill dan penutupan. Update posisi hanya berdasarkan fill atau settlement terverifikasi; ACK/open/FOK rejected bukan closed position.</w:t>
            </w:r>
          </w:p>
        </w:tc>
      </w:tr>
      <w:tr>
        <w:trPr>
          <w:cantSplit/>
        </w:trPr>
        <w:tc>
          <w:tcPr>
            <w:tcW w:type="dxa" w:w="1560"/>
            <w:vAlign w:val="top"/>
          </w:tcPr>
          <w:p>
            <w:pPr>
              <w:pStyle w:val="TableText"/>
              <w:keepNext w:val="0"/>
              <w:keepLines/>
            </w:pPr>
            <w:r>
              <w:rPr>
                <w:b w:val="0"/>
              </w:rPr>
              <w:t>PM-EXE-07</w:t>
              <w:br/>
              <w:t>P0</w:t>
            </w:r>
          </w:p>
        </w:tc>
        <w:tc>
          <w:tcPr>
            <w:tcW w:type="dxa" w:w="7800"/>
            <w:vAlign w:val="top"/>
          </w:tcPr>
          <w:p>
            <w:pPr>
              <w:pStyle w:val="TableText"/>
              <w:keepNext w:val="0"/>
              <w:keepLines/>
            </w:pPr>
            <w:r>
              <w:rPr>
                <w:b w:val="0"/>
              </w:rPr>
              <w:t>Stream dan heartbeat. Pisahkan health stream, heartbeat order, dan koneksi proses; gunakan heartbeat yang didukung venue dan recovery snapshot.</w:t>
            </w:r>
          </w:p>
        </w:tc>
      </w:tr>
      <w:tr>
        <w:trPr>
          <w:cantSplit/>
        </w:trPr>
        <w:tc>
          <w:tcPr>
            <w:tcW w:type="dxa" w:w="1560"/>
            <w:vAlign w:val="top"/>
          </w:tcPr>
          <w:p>
            <w:pPr>
              <w:pStyle w:val="TableText"/>
              <w:keepNext w:val="0"/>
              <w:keepLines/>
            </w:pPr>
            <w:r>
              <w:rPr>
                <w:b w:val="0"/>
              </w:rPr>
              <w:t>PM-EXE-08</w:t>
              <w:br/>
              <w:t>P0</w:t>
            </w:r>
          </w:p>
        </w:tc>
        <w:tc>
          <w:tcPr>
            <w:tcW w:type="dxa" w:w="7800"/>
            <w:vAlign w:val="top"/>
          </w:tcPr>
          <w:p>
            <w:pPr>
              <w:pStyle w:val="TableText"/>
              <w:keepNext w:val="0"/>
              <w:keepLines/>
            </w:pPr>
            <w:r>
              <w:rPr>
                <w:b w:val="0"/>
              </w:rPr>
              <w:t>Settlement. Simpan dispute/resolved/redeemable/redeemed secara terpisah; redemption hanya setelah finalitas dan transaksi terkonfirmasi, terikat mandat.</w:t>
            </w:r>
          </w:p>
        </w:tc>
      </w:tr>
    </w:tbl>
    <w:p>
      <w:pPr>
        <w:spacing w:after="60" w:before="0" w:line="240" w:lineRule="auto"/>
      </w:pPr>
      <w:r>
        <w:rPr>
          <w:sz w:val="4"/>
        </w:rPr>
      </w:r>
    </w:p>
    <w:p>
      <w:pPr>
        <w:pStyle w:val="Heading2"/>
      </w:pPr>
      <w:r>
        <w:t>Ledger dan rekonsiliasi • LED</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1560"/>
        <w:gridCol w:w="7800"/>
      </w:tblGrid>
      <w:tr>
        <w:trPr>
          <w:cantSplit/>
          <w:tblHeader/>
        </w:trPr>
        <w:tc>
          <w:tcPr>
            <w:tcW w:type="dxa" w:w="1560"/>
            <w:vAlign w:val="top"/>
            <w:shd w:fill="E8EEF5" w:val="clear"/>
          </w:tcPr>
          <w:p>
            <w:pPr>
              <w:pStyle w:val="TableText"/>
              <w:keepNext w:val="0"/>
              <w:keepLines/>
            </w:pPr>
            <w:r>
              <w:rPr>
                <w:b/>
              </w:rPr>
              <w:t>ID / prioritas</w:t>
            </w:r>
          </w:p>
        </w:tc>
        <w:tc>
          <w:tcPr>
            <w:tcW w:type="dxa" w:w="7800"/>
            <w:vAlign w:val="top"/>
            <w:shd w:fill="E8EEF5" w:val="clear"/>
          </w:tcPr>
          <w:p>
            <w:pPr>
              <w:pStyle w:val="TableText"/>
              <w:keepNext w:val="0"/>
              <w:keepLines/>
            </w:pPr>
            <w:r>
              <w:rPr>
                <w:b/>
              </w:rPr>
              <w:t>Kebutuhan</w:t>
            </w:r>
          </w:p>
        </w:tc>
      </w:tr>
      <w:tr>
        <w:trPr>
          <w:cantSplit/>
        </w:trPr>
        <w:tc>
          <w:tcPr>
            <w:tcW w:type="dxa" w:w="1560"/>
            <w:vAlign w:val="top"/>
          </w:tcPr>
          <w:p>
            <w:pPr>
              <w:pStyle w:val="TableText"/>
              <w:keepNext w:val="0"/>
              <w:keepLines/>
            </w:pPr>
            <w:r>
              <w:rPr>
                <w:b w:val="0"/>
              </w:rPr>
              <w:t>PM-LED-01</w:t>
              <w:br/>
              <w:t>P0</w:t>
            </w:r>
          </w:p>
        </w:tc>
        <w:tc>
          <w:tcPr>
            <w:tcW w:type="dxa" w:w="7800"/>
            <w:vAlign w:val="top"/>
          </w:tcPr>
          <w:p>
            <w:pPr>
              <w:pStyle w:val="TableText"/>
              <w:keepNext w:val="0"/>
              <w:keepLines/>
            </w:pPr>
            <w:r>
              <w:rPr>
                <w:b w:val="0"/>
              </w:rPr>
              <w:t>Event durable. Order, fill, reservasi, fee, transfer dan koreksi menjadi event append-only; proyeksi dapat dibangun ulang.</w:t>
            </w:r>
          </w:p>
        </w:tc>
      </w:tr>
      <w:tr>
        <w:trPr>
          <w:cantSplit/>
        </w:trPr>
        <w:tc>
          <w:tcPr>
            <w:tcW w:type="dxa" w:w="1560"/>
            <w:vAlign w:val="top"/>
          </w:tcPr>
          <w:p>
            <w:pPr>
              <w:pStyle w:val="TableText"/>
              <w:keepNext w:val="0"/>
              <w:keepLines/>
            </w:pPr>
            <w:r>
              <w:rPr>
                <w:b w:val="0"/>
              </w:rPr>
              <w:t>PM-LED-02</w:t>
              <w:br/>
              <w:t>P0</w:t>
            </w:r>
          </w:p>
        </w:tc>
        <w:tc>
          <w:tcPr>
            <w:tcW w:type="dxa" w:w="7800"/>
            <w:vAlign w:val="top"/>
          </w:tcPr>
          <w:p>
            <w:pPr>
              <w:pStyle w:val="TableText"/>
              <w:keepNext w:val="0"/>
              <w:keepLines/>
            </w:pPr>
            <w:r>
              <w:rPr>
                <w:b w:val="0"/>
              </w:rPr>
              <w:t>Akuntansi numerik. Gunakan integer unit aset atau decimal eksak; pisahkan ledger cash, shares, cost basis, realized, unrealized dan biaya operasi.</w:t>
            </w:r>
          </w:p>
        </w:tc>
      </w:tr>
      <w:tr>
        <w:trPr>
          <w:cantSplit/>
        </w:trPr>
        <w:tc>
          <w:tcPr>
            <w:tcW w:type="dxa" w:w="1560"/>
            <w:vAlign w:val="top"/>
          </w:tcPr>
          <w:p>
            <w:pPr>
              <w:pStyle w:val="TableText"/>
              <w:keepNext w:val="0"/>
              <w:keepLines/>
            </w:pPr>
            <w:r>
              <w:rPr>
                <w:b w:val="0"/>
              </w:rPr>
              <w:t>PM-LED-03</w:t>
              <w:br/>
              <w:t>P0</w:t>
            </w:r>
          </w:p>
        </w:tc>
        <w:tc>
          <w:tcPr>
            <w:tcW w:type="dxa" w:w="7800"/>
            <w:vAlign w:val="top"/>
          </w:tcPr>
          <w:p>
            <w:pPr>
              <w:pStyle w:val="TableText"/>
              <w:keepNext w:val="0"/>
              <w:keepLines/>
            </w:pPr>
            <w:r>
              <w:rPr>
                <w:b w:val="0"/>
              </w:rPr>
              <w:t>Rekonsiliasi berkala. Bandingkan local orders/fills/positions/balances dengan venue dan chain; drift material menahan entry baru.</w:t>
            </w:r>
          </w:p>
        </w:tc>
      </w:tr>
      <w:tr>
        <w:trPr>
          <w:cantSplit/>
        </w:trPr>
        <w:tc>
          <w:tcPr>
            <w:tcW w:type="dxa" w:w="1560"/>
            <w:vAlign w:val="top"/>
          </w:tcPr>
          <w:p>
            <w:pPr>
              <w:pStyle w:val="TableText"/>
              <w:keepNext w:val="0"/>
              <w:keepLines/>
            </w:pPr>
            <w:r>
              <w:rPr>
                <w:b w:val="0"/>
              </w:rPr>
              <w:t>PM-LED-04</w:t>
              <w:br/>
              <w:t>P0</w:t>
            </w:r>
          </w:p>
        </w:tc>
        <w:tc>
          <w:tcPr>
            <w:tcW w:type="dxa" w:w="7800"/>
            <w:vAlign w:val="top"/>
          </w:tcPr>
          <w:p>
            <w:pPr>
              <w:pStyle w:val="TableText"/>
              <w:keepNext w:val="0"/>
              <w:keepLines/>
            </w:pPr>
            <w:r>
              <w:rPr>
                <w:b w:val="0"/>
              </w:rPr>
              <w:t>Laporan performa. Pisahkan PAPER/SHADOW/LIVE dan PnL trading/net ekonomi; profit tidak dicatat hanya karena ada sinyal.</w:t>
            </w:r>
          </w:p>
        </w:tc>
      </w:tr>
      <w:tr>
        <w:trPr>
          <w:cantSplit/>
        </w:trPr>
        <w:tc>
          <w:tcPr>
            <w:tcW w:type="dxa" w:w="1560"/>
            <w:vAlign w:val="top"/>
          </w:tcPr>
          <w:p>
            <w:pPr>
              <w:pStyle w:val="TableText"/>
              <w:keepNext w:val="0"/>
              <w:keepLines/>
            </w:pPr>
            <w:r>
              <w:rPr>
                <w:b w:val="0"/>
              </w:rPr>
              <w:t>PM-LED-05</w:t>
              <w:br/>
              <w:t>P1</w:t>
            </w:r>
          </w:p>
        </w:tc>
        <w:tc>
          <w:tcPr>
            <w:tcW w:type="dxa" w:w="7800"/>
            <w:vAlign w:val="top"/>
          </w:tcPr>
          <w:p>
            <w:pPr>
              <w:pStyle w:val="TableText"/>
              <w:keepNext w:val="0"/>
              <w:keepLines/>
            </w:pPr>
            <w:r>
              <w:rPr>
                <w:b w:val="0"/>
              </w:rPr>
              <w:t>Ekspor dan audit. Ekspor keputusan, fills, PnL dan konfigurasi teredaksi dalam CSV/JSON; provenance serta koreksi tetap terhubung.</w:t>
            </w:r>
          </w:p>
        </w:tc>
      </w:tr>
    </w:tbl>
    <w:p>
      <w:pPr>
        <w:spacing w:after="60" w:before="0" w:line="240" w:lineRule="auto"/>
      </w:pPr>
      <w:r>
        <w:rPr>
          <w:sz w:val="4"/>
        </w:rPr>
      </w:r>
    </w:p>
    <w:p>
      <w:pPr>
        <w:pStyle w:val="Heading2"/>
      </w:pPr>
      <w:r>
        <w:t>Produk, keamanan, dan operasi • OPS</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1560"/>
        <w:gridCol w:w="7800"/>
      </w:tblGrid>
      <w:tr>
        <w:trPr>
          <w:cantSplit/>
          <w:tblHeader/>
        </w:trPr>
        <w:tc>
          <w:tcPr>
            <w:tcW w:type="dxa" w:w="1560"/>
            <w:vAlign w:val="top"/>
            <w:shd w:fill="E8EEF5" w:val="clear"/>
          </w:tcPr>
          <w:p>
            <w:pPr>
              <w:pStyle w:val="TableText"/>
              <w:keepNext w:val="0"/>
              <w:keepLines/>
            </w:pPr>
            <w:r>
              <w:rPr>
                <w:b/>
              </w:rPr>
              <w:t>ID / prioritas</w:t>
            </w:r>
          </w:p>
        </w:tc>
        <w:tc>
          <w:tcPr>
            <w:tcW w:type="dxa" w:w="7800"/>
            <w:vAlign w:val="top"/>
            <w:shd w:fill="E8EEF5" w:val="clear"/>
          </w:tcPr>
          <w:p>
            <w:pPr>
              <w:pStyle w:val="TableText"/>
              <w:keepNext w:val="0"/>
              <w:keepLines/>
            </w:pPr>
            <w:r>
              <w:rPr>
                <w:b/>
              </w:rPr>
              <w:t>Kebutuhan</w:t>
            </w:r>
          </w:p>
        </w:tc>
      </w:tr>
      <w:tr>
        <w:trPr>
          <w:cantSplit/>
        </w:trPr>
        <w:tc>
          <w:tcPr>
            <w:tcW w:type="dxa" w:w="1560"/>
            <w:vAlign w:val="top"/>
          </w:tcPr>
          <w:p>
            <w:pPr>
              <w:pStyle w:val="TableText"/>
              <w:keepNext w:val="0"/>
              <w:keepLines/>
            </w:pPr>
            <w:r>
              <w:rPr>
                <w:b w:val="0"/>
              </w:rPr>
              <w:t>PM-OPS-01</w:t>
              <w:br/>
              <w:t>P0</w:t>
            </w:r>
          </w:p>
        </w:tc>
        <w:tc>
          <w:tcPr>
            <w:tcW w:type="dxa" w:w="7800"/>
            <w:vAlign w:val="top"/>
          </w:tcPr>
          <w:p>
            <w:pPr>
              <w:pStyle w:val="TableText"/>
              <w:keepNext w:val="0"/>
              <w:keepLines/>
            </w:pPr>
            <w:r>
              <w:rPr>
                <w:b w:val="0"/>
              </w:rPr>
              <w:t>Akses dashboard. Dashboard responsif untuk tablet Android; login pemilik, session aman, CSRF dan audit aksi; signer/DB tidak dipublikasikan.</w:t>
            </w:r>
          </w:p>
        </w:tc>
      </w:tr>
      <w:tr>
        <w:trPr>
          <w:cantSplit/>
        </w:trPr>
        <w:tc>
          <w:tcPr>
            <w:tcW w:type="dxa" w:w="1560"/>
            <w:vAlign w:val="top"/>
          </w:tcPr>
          <w:p>
            <w:pPr>
              <w:pStyle w:val="TableText"/>
              <w:keepNext w:val="0"/>
              <w:keepLines/>
            </w:pPr>
            <w:r>
              <w:rPr>
                <w:b w:val="0"/>
              </w:rPr>
              <w:t>PM-OPS-02</w:t>
              <w:br/>
              <w:t>P1</w:t>
            </w:r>
          </w:p>
        </w:tc>
        <w:tc>
          <w:tcPr>
            <w:tcW w:type="dxa" w:w="7800"/>
            <w:vAlign w:val="top"/>
          </w:tcPr>
          <w:p>
            <w:pPr>
              <w:pStyle w:val="TableText"/>
              <w:keepNext w:val="0"/>
              <w:keepLines/>
            </w:pPr>
            <w:r>
              <w:rPr>
                <w:b w:val="0"/>
              </w:rPr>
              <w:t>Observabilitas pengguna. Tampilkan mode, stale data, mandat, saldo bebas/terkunci, posisi, orders, keputusan dan biaya AI; alasan NO_TRADE dapat dibaca.</w:t>
            </w:r>
          </w:p>
        </w:tc>
      </w:tr>
      <w:tr>
        <w:trPr>
          <w:cantSplit/>
        </w:trPr>
        <w:tc>
          <w:tcPr>
            <w:tcW w:type="dxa" w:w="1560"/>
            <w:vAlign w:val="top"/>
          </w:tcPr>
          <w:p>
            <w:pPr>
              <w:pStyle w:val="TableText"/>
              <w:keepNext w:val="0"/>
              <w:keepLines/>
            </w:pPr>
            <w:r>
              <w:rPr>
                <w:b w:val="0"/>
              </w:rPr>
              <w:t>PM-OPS-03</w:t>
              <w:br/>
              <w:t>P0</w:t>
            </w:r>
          </w:p>
        </w:tc>
        <w:tc>
          <w:tcPr>
            <w:tcW w:type="dxa" w:w="7800"/>
            <w:vAlign w:val="top"/>
          </w:tcPr>
          <w:p>
            <w:pPr>
              <w:pStyle w:val="TableText"/>
              <w:keepNext w:val="0"/>
              <w:keepLines/>
            </w:pPr>
            <w:r>
              <w:rPr>
                <w:b w:val="0"/>
              </w:rPr>
              <w:t>Isolasi secret. Secret trading hanya pada executor; gateway/LLM/log/backup umum tidak menerima key; dependency dan artefak rilis dipindai.</w:t>
            </w:r>
          </w:p>
        </w:tc>
      </w:tr>
      <w:tr>
        <w:trPr>
          <w:cantSplit/>
        </w:trPr>
        <w:tc>
          <w:tcPr>
            <w:tcW w:type="dxa" w:w="1560"/>
            <w:vAlign w:val="top"/>
          </w:tcPr>
          <w:p>
            <w:pPr>
              <w:pStyle w:val="TableText"/>
              <w:keepNext w:val="0"/>
              <w:keepLines/>
            </w:pPr>
            <w:r>
              <w:rPr>
                <w:b w:val="0"/>
              </w:rPr>
              <w:t>PM-OPS-04</w:t>
              <w:br/>
              <w:t>P0</w:t>
            </w:r>
          </w:p>
        </w:tc>
        <w:tc>
          <w:tcPr>
            <w:tcW w:type="dxa" w:w="7800"/>
            <w:vAlign w:val="top"/>
          </w:tcPr>
          <w:p>
            <w:pPr>
              <w:pStyle w:val="TableText"/>
              <w:keepNext w:val="0"/>
              <w:keepLines/>
            </w:pPr>
            <w:r>
              <w:rPr>
                <w:b w:val="0"/>
              </w:rPr>
              <w:t>Persistence dan restart. Startup selalu RECOVERING sampai ledger, venue dan mandat selaras; satu executor aktif per wallet memakai fencing.</w:t>
            </w:r>
          </w:p>
        </w:tc>
      </w:tr>
      <w:tr>
        <w:trPr>
          <w:cantSplit/>
        </w:trPr>
        <w:tc>
          <w:tcPr>
            <w:tcW w:type="dxa" w:w="1560"/>
            <w:vAlign w:val="top"/>
          </w:tcPr>
          <w:p>
            <w:pPr>
              <w:pStyle w:val="TableText"/>
              <w:keepNext w:val="0"/>
              <w:keepLines/>
            </w:pPr>
            <w:r>
              <w:rPr>
                <w:b w:val="0"/>
              </w:rPr>
              <w:t>PM-OPS-05</w:t>
              <w:br/>
              <w:t>P0</w:t>
            </w:r>
          </w:p>
        </w:tc>
        <w:tc>
          <w:tcPr>
            <w:tcW w:type="dxa" w:w="7800"/>
            <w:vAlign w:val="top"/>
          </w:tcPr>
          <w:p>
            <w:pPr>
              <w:pStyle w:val="TableText"/>
              <w:keepNext w:val="0"/>
              <w:keepLines/>
            </w:pPr>
            <w:r>
              <w:rPr>
                <w:b w:val="0"/>
              </w:rPr>
              <w:t>Backup dan pemulihan. Backup ledger serta konfigurasi terenkripsi di luar VPS; prosedur restore diuji terhadap RPO/RTO yang disepakati.</w:t>
            </w:r>
          </w:p>
        </w:tc>
      </w:tr>
      <w:tr>
        <w:trPr>
          <w:cantSplit/>
        </w:trPr>
        <w:tc>
          <w:tcPr>
            <w:tcW w:type="dxa" w:w="1560"/>
            <w:vAlign w:val="top"/>
          </w:tcPr>
          <w:p>
            <w:pPr>
              <w:pStyle w:val="TableText"/>
              <w:keepNext w:val="0"/>
              <w:keepLines/>
            </w:pPr>
            <w:r>
              <w:rPr>
                <w:b w:val="0"/>
              </w:rPr>
              <w:t>PM-OPS-06</w:t>
              <w:br/>
              <w:t>P0</w:t>
            </w:r>
          </w:p>
        </w:tc>
        <w:tc>
          <w:tcPr>
            <w:tcW w:type="dxa" w:w="7800"/>
            <w:vAlign w:val="top"/>
          </w:tcPr>
          <w:p>
            <w:pPr>
              <w:pStyle w:val="TableText"/>
              <w:keepNext w:val="0"/>
              <w:keepLines/>
            </w:pPr>
            <w:r>
              <w:rPr>
                <w:b w:val="0"/>
              </w:rPr>
              <w:t>Monitoring dan biaya. Health, readiness, lag, queue age, fee mismatch, unknown orders, clock drift, dan biaya provider memiliki metrik serta alert terdeduplikasi.</w:t>
            </w:r>
          </w:p>
        </w:tc>
      </w:tr>
      <w:tr>
        <w:trPr>
          <w:cantSplit/>
        </w:trPr>
        <w:tc>
          <w:tcPr>
            <w:tcW w:type="dxa" w:w="1560"/>
            <w:vAlign w:val="top"/>
          </w:tcPr>
          <w:p>
            <w:pPr>
              <w:pStyle w:val="TableText"/>
              <w:keepNext w:val="0"/>
              <w:keepLines/>
            </w:pPr>
            <w:r>
              <w:rPr>
                <w:b w:val="0"/>
              </w:rPr>
              <w:t>PM-OPS-07</w:t>
              <w:br/>
              <w:t>P0</w:t>
            </w:r>
          </w:p>
        </w:tc>
        <w:tc>
          <w:tcPr>
            <w:tcW w:type="dxa" w:w="7800"/>
            <w:vAlign w:val="top"/>
          </w:tcPr>
          <w:p>
            <w:pPr>
              <w:pStyle w:val="TableText"/>
              <w:keepNext w:val="0"/>
              <w:keepLines/>
            </w:pPr>
            <w:r>
              <w:rPr>
                <w:b w:val="0"/>
              </w:rPr>
              <w:t>Rilis dan rollback. Rilis memakai immutable image/manifest, migrasi teruji, dan rollout PAPER dahulu; agent tidak memasang update dirinya sendiri.</w:t>
            </w:r>
          </w:p>
        </w:tc>
      </w:tr>
    </w:tbl>
    <w:p>
      <w:pPr>
        <w:spacing w:after="60" w:before="0" w:line="240" w:lineRule="auto"/>
      </w:pPr>
      <w:r>
        <w:rPr>
          <w:sz w:val="4"/>
        </w:rPr>
      </w:r>
    </w:p>
    <w:p>
      <w:pPr>
        <w:pStyle w:val="Heading2"/>
      </w:pPr>
      <w:r>
        <w:t>Verifikasi dan kelulusan • VAL</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1560"/>
        <w:gridCol w:w="7800"/>
      </w:tblGrid>
      <w:tr>
        <w:trPr>
          <w:cantSplit/>
          <w:tblHeader/>
        </w:trPr>
        <w:tc>
          <w:tcPr>
            <w:tcW w:type="dxa" w:w="1560"/>
            <w:vAlign w:val="top"/>
            <w:shd w:fill="E8EEF5" w:val="clear"/>
          </w:tcPr>
          <w:p>
            <w:pPr>
              <w:pStyle w:val="TableText"/>
              <w:keepNext w:val="0"/>
              <w:keepLines/>
            </w:pPr>
            <w:r>
              <w:rPr>
                <w:b/>
              </w:rPr>
              <w:t>ID / prioritas</w:t>
            </w:r>
          </w:p>
        </w:tc>
        <w:tc>
          <w:tcPr>
            <w:tcW w:type="dxa" w:w="7800"/>
            <w:vAlign w:val="top"/>
            <w:shd w:fill="E8EEF5" w:val="clear"/>
          </w:tcPr>
          <w:p>
            <w:pPr>
              <w:pStyle w:val="TableText"/>
              <w:keepNext w:val="0"/>
              <w:keepLines/>
            </w:pPr>
            <w:r>
              <w:rPr>
                <w:b/>
              </w:rPr>
              <w:t>Kebutuhan</w:t>
            </w:r>
          </w:p>
        </w:tc>
      </w:tr>
      <w:tr>
        <w:trPr>
          <w:cantSplit/>
        </w:trPr>
        <w:tc>
          <w:tcPr>
            <w:tcW w:type="dxa" w:w="1560"/>
            <w:vAlign w:val="top"/>
          </w:tcPr>
          <w:p>
            <w:pPr>
              <w:pStyle w:val="TableText"/>
              <w:keepNext w:val="0"/>
              <w:keepLines/>
            </w:pPr>
            <w:r>
              <w:rPr>
                <w:b w:val="0"/>
              </w:rPr>
              <w:t>PM-VAL-01</w:t>
              <w:br/>
              <w:t>P0</w:t>
            </w:r>
          </w:p>
        </w:tc>
        <w:tc>
          <w:tcPr>
            <w:tcW w:type="dxa" w:w="7800"/>
            <w:vAlign w:val="top"/>
          </w:tcPr>
          <w:p>
            <w:pPr>
              <w:pStyle w:val="TableText"/>
              <w:keepNext w:val="0"/>
              <w:keepLines/>
            </w:pPr>
            <w:r>
              <w:rPr>
                <w:b w:val="0"/>
              </w:rPr>
              <w:t>Tes kontrak dan properti. Uji invariants kas/shares/limits/idempotensi dan adapter terhadap fixture serta read-only API terkini; tidak mengandalkan mock saja.</w:t>
            </w:r>
          </w:p>
        </w:tc>
      </w:tr>
      <w:tr>
        <w:trPr>
          <w:cantSplit/>
        </w:trPr>
        <w:tc>
          <w:tcPr>
            <w:tcW w:type="dxa" w:w="1560"/>
            <w:vAlign w:val="top"/>
          </w:tcPr>
          <w:p>
            <w:pPr>
              <w:pStyle w:val="TableText"/>
              <w:keepNext w:val="0"/>
              <w:keepLines/>
            </w:pPr>
            <w:r>
              <w:rPr>
                <w:b w:val="0"/>
              </w:rPr>
              <w:t>PM-VAL-02</w:t>
              <w:br/>
              <w:t>P0</w:t>
            </w:r>
          </w:p>
        </w:tc>
        <w:tc>
          <w:tcPr>
            <w:tcW w:type="dxa" w:w="7800"/>
            <w:vAlign w:val="top"/>
          </w:tcPr>
          <w:p>
            <w:pPr>
              <w:pStyle w:val="TableText"/>
              <w:keepNext w:val="0"/>
              <w:keepLines/>
            </w:pPr>
            <w:r>
              <w:rPr>
                <w:b w:val="0"/>
              </w:rPr>
              <w:t>Evaluasi temporal. Pisahkan train/validation/holdout menurut waktu dan event; semua fitur memiliki cutoff; calibrator dipasang hanya pada train.</w:t>
            </w:r>
          </w:p>
        </w:tc>
      </w:tr>
      <w:tr>
        <w:trPr>
          <w:cantSplit/>
        </w:trPr>
        <w:tc>
          <w:tcPr>
            <w:tcW w:type="dxa" w:w="1560"/>
            <w:vAlign w:val="top"/>
          </w:tcPr>
          <w:p>
            <w:pPr>
              <w:pStyle w:val="TableText"/>
              <w:keepNext w:val="0"/>
              <w:keepLines/>
            </w:pPr>
            <w:r>
              <w:rPr>
                <w:b w:val="0"/>
              </w:rPr>
              <w:t>PM-VAL-03</w:t>
              <w:br/>
              <w:t>P0</w:t>
            </w:r>
          </w:p>
        </w:tc>
        <w:tc>
          <w:tcPr>
            <w:tcW w:type="dxa" w:w="7800"/>
            <w:vAlign w:val="top"/>
          </w:tcPr>
          <w:p>
            <w:pPr>
              <w:pStyle w:val="TableText"/>
              <w:keepNext w:val="0"/>
              <w:keepLines/>
            </w:pPr>
            <w:r>
              <w:rPr>
                <w:b w:val="0"/>
              </w:rPr>
              <w:t>Simulasi eksekusi. Paper engine memakai bid/ask/depth, latency, queue assumption, fee, partial fill dan cancel race; ketidaktersediaan data diberi label.</w:t>
            </w:r>
          </w:p>
        </w:tc>
      </w:tr>
      <w:tr>
        <w:trPr>
          <w:cantSplit/>
        </w:trPr>
        <w:tc>
          <w:tcPr>
            <w:tcW w:type="dxa" w:w="1560"/>
            <w:vAlign w:val="top"/>
          </w:tcPr>
          <w:p>
            <w:pPr>
              <w:pStyle w:val="TableText"/>
              <w:keepNext w:val="0"/>
              <w:keepLines/>
            </w:pPr>
            <w:r>
              <w:rPr>
                <w:b w:val="0"/>
              </w:rPr>
              <w:t>PM-VAL-04</w:t>
              <w:br/>
              <w:t>P0</w:t>
            </w:r>
          </w:p>
        </w:tc>
        <w:tc>
          <w:tcPr>
            <w:tcW w:type="dxa" w:w="7800"/>
            <w:vAlign w:val="top"/>
          </w:tcPr>
          <w:p>
            <w:pPr>
              <w:pStyle w:val="TableText"/>
              <w:keepNext w:val="0"/>
              <w:keepLines/>
            </w:pPr>
            <w:r>
              <w:rPr>
                <w:b w:val="0"/>
              </w:rPr>
              <w:t>Evaluasi strategi. Laporkan Brier, log loss, calibration, benchmark pasar, net PnL, drawdown, fill ratio, biaya serta jumlah event independen.</w:t>
            </w:r>
          </w:p>
        </w:tc>
      </w:tr>
      <w:tr>
        <w:trPr>
          <w:cantSplit/>
        </w:trPr>
        <w:tc>
          <w:tcPr>
            <w:tcW w:type="dxa" w:w="1560"/>
            <w:vAlign w:val="top"/>
          </w:tcPr>
          <w:p>
            <w:pPr>
              <w:pStyle w:val="TableText"/>
              <w:keepNext w:val="0"/>
              <w:keepLines/>
            </w:pPr>
            <w:r>
              <w:rPr>
                <w:b w:val="0"/>
              </w:rPr>
              <w:t>PM-VAL-05</w:t>
              <w:br/>
              <w:t>P0</w:t>
            </w:r>
          </w:p>
        </w:tc>
        <w:tc>
          <w:tcPr>
            <w:tcW w:type="dxa" w:w="7800"/>
            <w:vAlign w:val="top"/>
          </w:tcPr>
          <w:p>
            <w:pPr>
              <w:pStyle w:val="TableText"/>
              <w:keepNext w:val="0"/>
              <w:keepLines/>
            </w:pPr>
            <w:r>
              <w:rPr>
                <w:b w:val="0"/>
              </w:rPr>
              <w:t>Promosi bertahap. RESEARCH/PAPER/SHADOW/micro-LIVE/autonomous-LIVE mempunyai gate berbeda; kenaikan modal perlu keputusan pemilik dan bukti operasi/strategi.</w:t>
            </w:r>
          </w:p>
        </w:tc>
      </w:tr>
    </w:tbl>
    <w:p>
      <w:pPr>
        <w:spacing w:after="60" w:before="0" w:line="240" w:lineRule="auto"/>
      </w:pPr>
      <w:r>
        <w:rPr>
          <w:sz w:val="4"/>
        </w:rPr>
      </w:r>
    </w:p>
    <w:p>
      <w:pPr>
        <w:pStyle w:val="Heading1"/>
      </w:pPr>
      <w:r>
        <w:t>P6. Kebijakan awal modal dan operasional</w:t>
      </w:r>
    </w:p>
    <w:p>
      <w:pPr>
        <w:spacing w:before="120" w:after="200"/>
        <w:shd w:fill="F0F5FA" w:val="clear"/>
      </w:pPr>
      <w:r>
        <w:rPr>
          <w:b/>
        </w:rPr>
        <w:t>Parameter percobaan, bukan rekomendasi hasil investasi</w:t>
        <w:br/>
      </w:r>
      <w:r>
        <w:t>Nilai di bawah adalah default desain konservatif yang belum dioptimalkan atau dibuktikan menguntungkan. Pemilik wajib menentukan approved capital cap dan budget AI. Null tidak boleh berubah otomatis menjadi seluruh saldo wallet atau budget tak terbatas.</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2520"/>
        <w:gridCol w:w="1680"/>
        <w:gridCol w:w="5160"/>
      </w:tblGrid>
      <w:tr>
        <w:trPr>
          <w:cantSplit/>
          <w:tblHeader/>
        </w:trPr>
        <w:tc>
          <w:tcPr>
            <w:tcW w:type="dxa" w:w="2520"/>
            <w:vAlign w:val="top"/>
            <w:shd w:fill="E8EEF5" w:val="clear"/>
          </w:tcPr>
          <w:p>
            <w:pPr>
              <w:pStyle w:val="TableText"/>
              <w:keepNext w:val="0"/>
              <w:keepLines/>
            </w:pPr>
            <w:r>
              <w:rPr>
                <w:b/>
              </w:rPr>
              <w:t>Parameter</w:t>
            </w:r>
          </w:p>
        </w:tc>
        <w:tc>
          <w:tcPr>
            <w:tcW w:type="dxa" w:w="1680"/>
            <w:vAlign w:val="top"/>
            <w:shd w:fill="E8EEF5" w:val="clear"/>
          </w:tcPr>
          <w:p>
            <w:pPr>
              <w:pStyle w:val="TableText"/>
              <w:keepNext w:val="0"/>
              <w:keepLines/>
            </w:pPr>
            <w:r>
              <w:rPr>
                <w:b/>
              </w:rPr>
              <w:t>Nilai awal</w:t>
            </w:r>
          </w:p>
        </w:tc>
        <w:tc>
          <w:tcPr>
            <w:tcW w:type="dxa" w:w="5160"/>
            <w:vAlign w:val="top"/>
            <w:shd w:fill="E8EEF5" w:val="clear"/>
          </w:tcPr>
          <w:p>
            <w:pPr>
              <w:pStyle w:val="TableText"/>
              <w:keepNext w:val="0"/>
              <w:keepLines/>
            </w:pPr>
            <w:r>
              <w:rPr>
                <w:b/>
              </w:rPr>
              <w:t>Arti / batas</w:t>
            </w:r>
          </w:p>
        </w:tc>
      </w:tr>
      <w:tr>
        <w:trPr>
          <w:cantSplit/>
        </w:trPr>
        <w:tc>
          <w:tcPr>
            <w:tcW w:type="dxa" w:w="2520"/>
            <w:vAlign w:val="top"/>
          </w:tcPr>
          <w:p>
            <w:pPr>
              <w:pStyle w:val="TableText"/>
              <w:keepNext w:val="0"/>
              <w:keepLines/>
            </w:pPr>
            <w:r>
              <w:rPr>
                <w:b w:val="0"/>
              </w:rPr>
              <w:t>execution.mode</w:t>
            </w:r>
          </w:p>
        </w:tc>
        <w:tc>
          <w:tcPr>
            <w:tcW w:type="dxa" w:w="1680"/>
            <w:vAlign w:val="top"/>
          </w:tcPr>
          <w:p>
            <w:pPr>
              <w:pStyle w:val="TableText"/>
              <w:keepNext w:val="0"/>
              <w:keepLines/>
            </w:pPr>
            <w:r>
              <w:rPr>
                <w:b w:val="0"/>
              </w:rPr>
              <w:t>PAPER</w:t>
            </w:r>
          </w:p>
        </w:tc>
        <w:tc>
          <w:tcPr>
            <w:tcW w:type="dxa" w:w="5160"/>
            <w:vAlign w:val="top"/>
          </w:tcPr>
          <w:p>
            <w:pPr>
              <w:pStyle w:val="TableText"/>
              <w:keepNext w:val="0"/>
              <w:keepLines/>
            </w:pPr>
            <w:r>
              <w:rPr>
                <w:b w:val="0"/>
              </w:rPr>
              <w:t>Satu sumber mode; flag DRY_RUN lama hanya adapter kompatibilitas, tidak menjadi otoritas.</w:t>
            </w:r>
          </w:p>
        </w:tc>
      </w:tr>
      <w:tr>
        <w:trPr>
          <w:cantSplit/>
        </w:trPr>
        <w:tc>
          <w:tcPr>
            <w:tcW w:type="dxa" w:w="2520"/>
            <w:vAlign w:val="top"/>
          </w:tcPr>
          <w:p>
            <w:pPr>
              <w:pStyle w:val="TableText"/>
              <w:keepNext w:val="0"/>
              <w:keepLines/>
            </w:pPr>
            <w:r>
              <w:rPr>
                <w:b w:val="0"/>
              </w:rPr>
              <w:t>capital.usd_cap</w:t>
            </w:r>
          </w:p>
        </w:tc>
        <w:tc>
          <w:tcPr>
            <w:tcW w:type="dxa" w:w="1680"/>
            <w:vAlign w:val="top"/>
          </w:tcPr>
          <w:p>
            <w:pPr>
              <w:pStyle w:val="TableText"/>
              <w:keepNext w:val="0"/>
              <w:keepLines/>
            </w:pPr>
            <w:r>
              <w:rPr>
                <w:b w:val="0"/>
              </w:rPr>
              <w:t>null</w:t>
            </w:r>
          </w:p>
        </w:tc>
        <w:tc>
          <w:tcPr>
            <w:tcW w:type="dxa" w:w="5160"/>
            <w:vAlign w:val="top"/>
          </w:tcPr>
          <w:p>
            <w:pPr>
              <w:pStyle w:val="TableText"/>
              <w:keepNext w:val="0"/>
              <w:keepLines/>
            </w:pPr>
            <w:r>
              <w:rPr>
                <w:b w:val="0"/>
              </w:rPr>
              <w:t>Wajib diisi pemilik sebelum LIVE; bukan seluruh saldo wallet otomatis.</w:t>
            </w:r>
          </w:p>
        </w:tc>
      </w:tr>
      <w:tr>
        <w:trPr>
          <w:cantSplit/>
        </w:trPr>
        <w:tc>
          <w:tcPr>
            <w:tcW w:type="dxa" w:w="2520"/>
            <w:vAlign w:val="top"/>
          </w:tcPr>
          <w:p>
            <w:pPr>
              <w:pStyle w:val="TableText"/>
              <w:keepNext w:val="0"/>
              <w:keepLines/>
            </w:pPr>
            <w:r>
              <w:rPr>
                <w:b w:val="0"/>
              </w:rPr>
              <w:t>max_order_pct</w:t>
            </w:r>
          </w:p>
        </w:tc>
        <w:tc>
          <w:tcPr>
            <w:tcW w:type="dxa" w:w="1680"/>
            <w:vAlign w:val="top"/>
          </w:tcPr>
          <w:p>
            <w:pPr>
              <w:pStyle w:val="TableText"/>
              <w:keepNext w:val="0"/>
              <w:keepLines/>
            </w:pPr>
            <w:r>
              <w:rPr>
                <w:b w:val="0"/>
              </w:rPr>
              <w:t>0.5%</w:t>
            </w:r>
          </w:p>
        </w:tc>
        <w:tc>
          <w:tcPr>
            <w:tcW w:type="dxa" w:w="5160"/>
            <w:vAlign w:val="top"/>
          </w:tcPr>
          <w:p>
            <w:pPr>
              <w:pStyle w:val="TableText"/>
              <w:keepNext w:val="0"/>
              <w:keepLines/>
            </w:pPr>
            <w:r>
              <w:rPr>
                <w:b w:val="0"/>
              </w:rPr>
              <w:t>Dari approved capital cap; termasuk worst-case biaya.</w:t>
            </w:r>
          </w:p>
        </w:tc>
      </w:tr>
      <w:tr>
        <w:trPr>
          <w:cantSplit/>
        </w:trPr>
        <w:tc>
          <w:tcPr>
            <w:tcW w:type="dxa" w:w="2520"/>
            <w:vAlign w:val="top"/>
          </w:tcPr>
          <w:p>
            <w:pPr>
              <w:pStyle w:val="TableText"/>
              <w:keepNext w:val="0"/>
              <w:keepLines/>
            </w:pPr>
            <w:r>
              <w:rPr>
                <w:b w:val="0"/>
              </w:rPr>
              <w:t>max_market_pct</w:t>
            </w:r>
          </w:p>
        </w:tc>
        <w:tc>
          <w:tcPr>
            <w:tcW w:type="dxa" w:w="1680"/>
            <w:vAlign w:val="top"/>
          </w:tcPr>
          <w:p>
            <w:pPr>
              <w:pStyle w:val="TableText"/>
              <w:keepNext w:val="0"/>
              <w:keepLines/>
            </w:pPr>
            <w:r>
              <w:rPr>
                <w:b w:val="0"/>
              </w:rPr>
              <w:t>2%</w:t>
            </w:r>
          </w:p>
        </w:tc>
        <w:tc>
          <w:tcPr>
            <w:tcW w:type="dxa" w:w="5160"/>
            <w:vAlign w:val="top"/>
          </w:tcPr>
          <w:p>
            <w:pPr>
              <w:pStyle w:val="TableText"/>
              <w:keepNext w:val="0"/>
              <w:keepLines/>
            </w:pPr>
            <w:r>
              <w:rPr>
                <w:b w:val="0"/>
              </w:rPr>
              <w:t>Posisi + resting orders + reservasi pada market yang sama.</w:t>
            </w:r>
          </w:p>
        </w:tc>
      </w:tr>
      <w:tr>
        <w:trPr>
          <w:cantSplit/>
        </w:trPr>
        <w:tc>
          <w:tcPr>
            <w:tcW w:type="dxa" w:w="2520"/>
            <w:vAlign w:val="top"/>
          </w:tcPr>
          <w:p>
            <w:pPr>
              <w:pStyle w:val="TableText"/>
              <w:keepNext w:val="0"/>
              <w:keepLines/>
            </w:pPr>
            <w:r>
              <w:rPr>
                <w:b w:val="0"/>
              </w:rPr>
              <w:t>max_event_group_pct</w:t>
            </w:r>
          </w:p>
        </w:tc>
        <w:tc>
          <w:tcPr>
            <w:tcW w:type="dxa" w:w="1680"/>
            <w:vAlign w:val="top"/>
          </w:tcPr>
          <w:p>
            <w:pPr>
              <w:pStyle w:val="TableText"/>
              <w:keepNext w:val="0"/>
              <w:keepLines/>
            </w:pPr>
            <w:r>
              <w:rPr>
                <w:b w:val="0"/>
              </w:rPr>
              <w:t>5%</w:t>
            </w:r>
          </w:p>
        </w:tc>
        <w:tc>
          <w:tcPr>
            <w:tcW w:type="dxa" w:w="5160"/>
            <w:vAlign w:val="top"/>
          </w:tcPr>
          <w:p>
            <w:pPr>
              <w:pStyle w:val="TableText"/>
              <w:keepNext w:val="0"/>
              <w:keepLines/>
            </w:pPr>
            <w:r>
              <w:rPr>
                <w:b w:val="0"/>
              </w:rPr>
              <w:t>Eksposur yang berkorelasi; unknown group memakai kelompok konservatif bersama.</w:t>
            </w:r>
          </w:p>
        </w:tc>
      </w:tr>
      <w:tr>
        <w:trPr>
          <w:cantSplit/>
        </w:trPr>
        <w:tc>
          <w:tcPr>
            <w:tcW w:type="dxa" w:w="2520"/>
            <w:vAlign w:val="top"/>
          </w:tcPr>
          <w:p>
            <w:pPr>
              <w:pStyle w:val="TableText"/>
              <w:keepNext w:val="0"/>
              <w:keepLines/>
            </w:pPr>
            <w:r>
              <w:rPr>
                <w:b w:val="0"/>
              </w:rPr>
              <w:t>max_portfolio_pct</w:t>
            </w:r>
          </w:p>
        </w:tc>
        <w:tc>
          <w:tcPr>
            <w:tcW w:type="dxa" w:w="1680"/>
            <w:vAlign w:val="top"/>
          </w:tcPr>
          <w:p>
            <w:pPr>
              <w:pStyle w:val="TableText"/>
              <w:keepNext w:val="0"/>
              <w:keepLines/>
            </w:pPr>
            <w:r>
              <w:rPr>
                <w:b w:val="0"/>
              </w:rPr>
              <w:t>10%</w:t>
            </w:r>
          </w:p>
        </w:tc>
        <w:tc>
          <w:tcPr>
            <w:tcW w:type="dxa" w:w="5160"/>
            <w:vAlign w:val="top"/>
          </w:tcPr>
          <w:p>
            <w:pPr>
              <w:pStyle w:val="TableText"/>
              <w:keepNext w:val="0"/>
              <w:keepLines/>
            </w:pPr>
            <w:r>
              <w:rPr>
                <w:b w:val="0"/>
              </w:rPr>
              <w:t>Jumlah biaya modal yang berisiko; tanpa offset probabilistik antar market.</w:t>
            </w:r>
          </w:p>
        </w:tc>
      </w:tr>
      <w:tr>
        <w:trPr>
          <w:cantSplit/>
        </w:trPr>
        <w:tc>
          <w:tcPr>
            <w:tcW w:type="dxa" w:w="2520"/>
            <w:vAlign w:val="top"/>
          </w:tcPr>
          <w:p>
            <w:pPr>
              <w:pStyle w:val="TableText"/>
              <w:keepNext w:val="0"/>
              <w:keepLines/>
            </w:pPr>
            <w:r>
              <w:rPr>
                <w:b w:val="0"/>
              </w:rPr>
              <w:t>daily_loss_stop_pct</w:t>
            </w:r>
          </w:p>
        </w:tc>
        <w:tc>
          <w:tcPr>
            <w:tcW w:type="dxa" w:w="1680"/>
            <w:vAlign w:val="top"/>
          </w:tcPr>
          <w:p>
            <w:pPr>
              <w:pStyle w:val="TableText"/>
              <w:keepNext w:val="0"/>
              <w:keepLines/>
            </w:pPr>
            <w:r>
              <w:rPr>
                <w:b w:val="0"/>
              </w:rPr>
              <w:t>2%</w:t>
            </w:r>
          </w:p>
        </w:tc>
        <w:tc>
          <w:tcPr>
            <w:tcW w:type="dxa" w:w="5160"/>
            <w:vAlign w:val="top"/>
          </w:tcPr>
          <w:p>
            <w:pPr>
              <w:pStyle w:val="TableText"/>
              <w:keepNext w:val="0"/>
              <w:keepLines/>
            </w:pPr>
            <w:r>
              <w:rPr>
                <w:b w:val="0"/>
              </w:rPr>
              <w:t>Dari equity awal hari UTC yang disesuaikan arus modal; breach latched.</w:t>
            </w:r>
          </w:p>
        </w:tc>
      </w:tr>
      <w:tr>
        <w:trPr>
          <w:cantSplit/>
        </w:trPr>
        <w:tc>
          <w:tcPr>
            <w:tcW w:type="dxa" w:w="2520"/>
            <w:vAlign w:val="top"/>
          </w:tcPr>
          <w:p>
            <w:pPr>
              <w:pStyle w:val="TableText"/>
              <w:keepNext w:val="0"/>
              <w:keepLines/>
            </w:pPr>
            <w:r>
              <w:rPr>
                <w:b w:val="0"/>
              </w:rPr>
              <w:t>drawdown_stop_pct</w:t>
            </w:r>
          </w:p>
        </w:tc>
        <w:tc>
          <w:tcPr>
            <w:tcW w:type="dxa" w:w="1680"/>
            <w:vAlign w:val="top"/>
          </w:tcPr>
          <w:p>
            <w:pPr>
              <w:pStyle w:val="TableText"/>
              <w:keepNext w:val="0"/>
              <w:keepLines/>
            </w:pPr>
            <w:r>
              <w:rPr>
                <w:b w:val="0"/>
              </w:rPr>
              <w:t>5%</w:t>
            </w:r>
          </w:p>
        </w:tc>
        <w:tc>
          <w:tcPr>
            <w:tcW w:type="dxa" w:w="5160"/>
            <w:vAlign w:val="top"/>
          </w:tcPr>
          <w:p>
            <w:pPr>
              <w:pStyle w:val="TableText"/>
              <w:keepNext w:val="0"/>
              <w:keepLines/>
            </w:pPr>
            <w:r>
              <w:rPr>
                <w:b w:val="0"/>
              </w:rPr>
              <w:t>Dari high-water mark equity yang disesuaikan arus modal; breach latched.</w:t>
            </w:r>
          </w:p>
        </w:tc>
      </w:tr>
      <w:tr>
        <w:trPr>
          <w:cantSplit/>
        </w:trPr>
        <w:tc>
          <w:tcPr>
            <w:tcW w:type="dxa" w:w="2520"/>
            <w:vAlign w:val="top"/>
          </w:tcPr>
          <w:p>
            <w:pPr>
              <w:pStyle w:val="TableText"/>
              <w:keepNext w:val="0"/>
              <w:keepLines/>
            </w:pPr>
            <w:r>
              <w:rPr>
                <w:b w:val="0"/>
              </w:rPr>
              <w:t>max_open_orders</w:t>
            </w:r>
          </w:p>
        </w:tc>
        <w:tc>
          <w:tcPr>
            <w:tcW w:type="dxa" w:w="1680"/>
            <w:vAlign w:val="top"/>
          </w:tcPr>
          <w:p>
            <w:pPr>
              <w:pStyle w:val="TableText"/>
              <w:keepNext w:val="0"/>
              <w:keepLines/>
            </w:pPr>
            <w:r>
              <w:rPr>
                <w:b w:val="0"/>
              </w:rPr>
              <w:t>10</w:t>
            </w:r>
          </w:p>
        </w:tc>
        <w:tc>
          <w:tcPr>
            <w:tcW w:type="dxa" w:w="5160"/>
            <w:vAlign w:val="top"/>
          </w:tcPr>
          <w:p>
            <w:pPr>
              <w:pStyle w:val="TableText"/>
              <w:keepNext w:val="0"/>
              <w:keepLines/>
            </w:pPr>
            <w:r>
              <w:rPr>
                <w:b w:val="0"/>
              </w:rPr>
              <w:t>Termasuk status submission/cancel unknown; tidak menghitung hanya ACK open.</w:t>
            </w:r>
          </w:p>
        </w:tc>
      </w:tr>
      <w:tr>
        <w:trPr>
          <w:cantSplit/>
        </w:trPr>
        <w:tc>
          <w:tcPr>
            <w:tcW w:type="dxa" w:w="2520"/>
            <w:vAlign w:val="top"/>
          </w:tcPr>
          <w:p>
            <w:pPr>
              <w:pStyle w:val="TableText"/>
              <w:keepNext w:val="0"/>
              <w:keepLines/>
            </w:pPr>
            <w:r>
              <w:rPr>
                <w:b w:val="0"/>
              </w:rPr>
              <w:t>min_edge_after_cost</w:t>
            </w:r>
          </w:p>
        </w:tc>
        <w:tc>
          <w:tcPr>
            <w:tcW w:type="dxa" w:w="1680"/>
            <w:vAlign w:val="top"/>
          </w:tcPr>
          <w:p>
            <w:pPr>
              <w:pStyle w:val="TableText"/>
              <w:keepNext w:val="0"/>
              <w:keepLines/>
            </w:pPr>
            <w:r>
              <w:rPr>
                <w:b w:val="0"/>
              </w:rPr>
              <w:t>0.03 per share</w:t>
            </w:r>
          </w:p>
        </w:tc>
        <w:tc>
          <w:tcPr>
            <w:tcW w:type="dxa" w:w="5160"/>
            <w:vAlign w:val="top"/>
          </w:tcPr>
          <w:p>
            <w:pPr>
              <w:pStyle w:val="TableText"/>
              <w:keepNext w:val="0"/>
              <w:keepLines/>
            </w:pPr>
            <w:r>
              <w:rPr>
                <w:b w:val="0"/>
              </w:rPr>
              <w:t>Buffer awal eksperimen untuk pasar payout 1; parameter desain, bukan edge terbukti.</w:t>
            </w:r>
          </w:p>
        </w:tc>
      </w:tr>
      <w:tr>
        <w:trPr>
          <w:cantSplit/>
        </w:trPr>
        <w:tc>
          <w:tcPr>
            <w:tcW w:type="dxa" w:w="2520"/>
            <w:vAlign w:val="top"/>
          </w:tcPr>
          <w:p>
            <w:pPr>
              <w:pStyle w:val="TableText"/>
              <w:keepNext w:val="0"/>
              <w:keepLines/>
            </w:pPr>
            <w:r>
              <w:rPr>
                <w:b w:val="0"/>
              </w:rPr>
              <w:t>book_max_age_ms</w:t>
            </w:r>
          </w:p>
        </w:tc>
        <w:tc>
          <w:tcPr>
            <w:tcW w:type="dxa" w:w="1680"/>
            <w:vAlign w:val="top"/>
          </w:tcPr>
          <w:p>
            <w:pPr>
              <w:pStyle w:val="TableText"/>
              <w:keepNext w:val="0"/>
              <w:keepLines/>
            </w:pPr>
            <w:r>
              <w:rPr>
                <w:b w:val="0"/>
              </w:rPr>
              <w:t>2000</w:t>
            </w:r>
          </w:p>
        </w:tc>
        <w:tc>
          <w:tcPr>
            <w:tcW w:type="dxa" w:w="5160"/>
            <w:vAlign w:val="top"/>
          </w:tcPr>
          <w:p>
            <w:pPr>
              <w:pStyle w:val="TableText"/>
              <w:keepNext w:val="0"/>
              <w:keepLines/>
            </w:pPr>
            <w:r>
              <w:rPr>
                <w:b w:val="0"/>
              </w:rPr>
              <w:t>Age snapshot/stream untuk rilis directional; bukan standar HFT.</w:t>
            </w:r>
          </w:p>
        </w:tc>
      </w:tr>
      <w:tr>
        <w:trPr>
          <w:cantSplit/>
        </w:trPr>
        <w:tc>
          <w:tcPr>
            <w:tcW w:type="dxa" w:w="2520"/>
            <w:vAlign w:val="top"/>
          </w:tcPr>
          <w:p>
            <w:pPr>
              <w:pStyle w:val="TableText"/>
              <w:keepNext w:val="0"/>
              <w:keepLines/>
            </w:pPr>
            <w:r>
              <w:rPr>
                <w:b w:val="0"/>
              </w:rPr>
              <w:t>metadata_max_age_s</w:t>
            </w:r>
          </w:p>
        </w:tc>
        <w:tc>
          <w:tcPr>
            <w:tcW w:type="dxa" w:w="1680"/>
            <w:vAlign w:val="top"/>
          </w:tcPr>
          <w:p>
            <w:pPr>
              <w:pStyle w:val="TableText"/>
              <w:keepNext w:val="0"/>
              <w:keepLines/>
            </w:pPr>
            <w:r>
              <w:rPr>
                <w:b w:val="0"/>
              </w:rPr>
              <w:t>60</w:t>
            </w:r>
          </w:p>
        </w:tc>
        <w:tc>
          <w:tcPr>
            <w:tcW w:type="dxa" w:w="5160"/>
            <w:vAlign w:val="top"/>
          </w:tcPr>
          <w:p>
            <w:pPr>
              <w:pStyle w:val="TableText"/>
              <w:keepNext w:val="0"/>
              <w:keepLines/>
            </w:pPr>
            <w:r>
              <w:rPr>
                <w:b w:val="0"/>
              </w:rPr>
              <w:t>Refresh saat tick/status/fee berubah dan validasi lagi sebelum submit.</w:t>
            </w:r>
          </w:p>
        </w:tc>
      </w:tr>
      <w:tr>
        <w:trPr>
          <w:cantSplit/>
        </w:trPr>
        <w:tc>
          <w:tcPr>
            <w:tcW w:type="dxa" w:w="2520"/>
            <w:vAlign w:val="top"/>
          </w:tcPr>
          <w:p>
            <w:pPr>
              <w:pStyle w:val="TableText"/>
              <w:keepNext w:val="0"/>
              <w:keepLines/>
            </w:pPr>
            <w:r>
              <w:rPr>
                <w:b w:val="0"/>
              </w:rPr>
              <w:t>forecast_max_age_s</w:t>
            </w:r>
          </w:p>
        </w:tc>
        <w:tc>
          <w:tcPr>
            <w:tcW w:type="dxa" w:w="1680"/>
            <w:vAlign w:val="top"/>
          </w:tcPr>
          <w:p>
            <w:pPr>
              <w:pStyle w:val="TableText"/>
              <w:keepNext w:val="0"/>
              <w:keepLines/>
            </w:pPr>
            <w:r>
              <w:rPr>
                <w:b w:val="0"/>
              </w:rPr>
              <w:t>900</w:t>
            </w:r>
          </w:p>
        </w:tc>
        <w:tc>
          <w:tcPr>
            <w:tcW w:type="dxa" w:w="5160"/>
            <w:vAlign w:val="top"/>
          </w:tcPr>
          <w:p>
            <w:pPr>
              <w:pStyle w:val="TableText"/>
              <w:keepNext w:val="0"/>
              <w:keepLines/>
            </w:pPr>
            <w:r>
              <w:rPr>
                <w:b w:val="0"/>
              </w:rPr>
              <w:t>Batas atas; event baru atau rules berubah membatalkan lebih awal.</w:t>
            </w:r>
          </w:p>
        </w:tc>
      </w:tr>
      <w:tr>
        <w:trPr>
          <w:cantSplit/>
        </w:trPr>
        <w:tc>
          <w:tcPr>
            <w:tcW w:type="dxa" w:w="2520"/>
            <w:vAlign w:val="top"/>
          </w:tcPr>
          <w:p>
            <w:pPr>
              <w:pStyle w:val="TableText"/>
              <w:keepNext w:val="0"/>
              <w:keepLines/>
            </w:pPr>
            <w:r>
              <w:rPr>
                <w:b w:val="0"/>
              </w:rPr>
              <w:t>clock_skew_max_ms</w:t>
            </w:r>
          </w:p>
        </w:tc>
        <w:tc>
          <w:tcPr>
            <w:tcW w:type="dxa" w:w="1680"/>
            <w:vAlign w:val="top"/>
          </w:tcPr>
          <w:p>
            <w:pPr>
              <w:pStyle w:val="TableText"/>
              <w:keepNext w:val="0"/>
              <w:keepLines/>
            </w:pPr>
            <w:r>
              <w:rPr>
                <w:b w:val="0"/>
              </w:rPr>
              <w:t>1000</w:t>
            </w:r>
          </w:p>
        </w:tc>
        <w:tc>
          <w:tcPr>
            <w:tcW w:type="dxa" w:w="5160"/>
            <w:vAlign w:val="top"/>
          </w:tcPr>
          <w:p>
            <w:pPr>
              <w:pStyle w:val="TableText"/>
              <w:keepNext w:val="0"/>
              <w:keepLines/>
            </w:pPr>
            <w:r>
              <w:rPr>
                <w:b w:val="0"/>
              </w:rPr>
              <w:t>Breach menahan submit; timestamp bukti tetap UTC.</w:t>
            </w:r>
          </w:p>
        </w:tc>
      </w:tr>
      <w:tr>
        <w:trPr>
          <w:cantSplit/>
        </w:trPr>
        <w:tc>
          <w:tcPr>
            <w:tcW w:type="dxa" w:w="2520"/>
            <w:vAlign w:val="top"/>
          </w:tcPr>
          <w:p>
            <w:pPr>
              <w:pStyle w:val="TableText"/>
              <w:keepNext w:val="0"/>
              <w:keepLines/>
            </w:pPr>
            <w:r>
              <w:rPr>
                <w:b w:val="0"/>
              </w:rPr>
              <w:t>max_slippage_abs</w:t>
            </w:r>
          </w:p>
        </w:tc>
        <w:tc>
          <w:tcPr>
            <w:tcW w:type="dxa" w:w="1680"/>
            <w:vAlign w:val="top"/>
          </w:tcPr>
          <w:p>
            <w:pPr>
              <w:pStyle w:val="TableText"/>
              <w:keepNext w:val="0"/>
              <w:keepLines/>
            </w:pPr>
            <w:r>
              <w:rPr>
                <w:b w:val="0"/>
              </w:rPr>
              <w:t>0.01</w:t>
            </w:r>
          </w:p>
        </w:tc>
        <w:tc>
          <w:tcPr>
            <w:tcW w:type="dxa" w:w="5160"/>
            <w:vAlign w:val="top"/>
          </w:tcPr>
          <w:p>
            <w:pPr>
              <w:pStyle w:val="TableText"/>
              <w:keepNext w:val="0"/>
              <w:keepLines/>
            </w:pPr>
            <w:r>
              <w:rPr>
                <w:b w:val="0"/>
              </w:rPr>
              <w:t>Batas harga absolut per share pada entry; depth dapat menghasilkan batas lebih ketat.</w:t>
            </w:r>
          </w:p>
        </w:tc>
      </w:tr>
      <w:tr>
        <w:trPr>
          <w:cantSplit/>
        </w:trPr>
        <w:tc>
          <w:tcPr>
            <w:tcW w:type="dxa" w:w="2520"/>
            <w:vAlign w:val="top"/>
          </w:tcPr>
          <w:p>
            <w:pPr>
              <w:pStyle w:val="TableText"/>
              <w:keepNext w:val="0"/>
              <w:keepLines/>
            </w:pPr>
            <w:r>
              <w:rPr>
                <w:b w:val="0"/>
              </w:rPr>
              <w:t>research_concurrency</w:t>
            </w:r>
          </w:p>
        </w:tc>
        <w:tc>
          <w:tcPr>
            <w:tcW w:type="dxa" w:w="1680"/>
            <w:vAlign w:val="top"/>
          </w:tcPr>
          <w:p>
            <w:pPr>
              <w:pStyle w:val="TableText"/>
              <w:keepNext w:val="0"/>
              <w:keepLines/>
            </w:pPr>
            <w:r>
              <w:rPr>
                <w:b w:val="0"/>
              </w:rPr>
              <w:t>2</w:t>
            </w:r>
          </w:p>
        </w:tc>
        <w:tc>
          <w:tcPr>
            <w:tcW w:type="dxa" w:w="5160"/>
            <w:vAlign w:val="top"/>
          </w:tcPr>
          <w:p>
            <w:pPr>
              <w:pStyle w:val="TableText"/>
              <w:keepNext w:val="0"/>
              <w:keepLines/>
            </w:pPr>
            <w:r>
              <w:rPr>
                <w:b w:val="0"/>
              </w:rPr>
              <w:t>Jangan menghambat executor; provider budget diisi pemilik.</w:t>
            </w:r>
          </w:p>
        </w:tc>
      </w:tr>
      <w:tr>
        <w:trPr>
          <w:cantSplit/>
        </w:trPr>
        <w:tc>
          <w:tcPr>
            <w:tcW w:type="dxa" w:w="2520"/>
            <w:vAlign w:val="top"/>
          </w:tcPr>
          <w:p>
            <w:pPr>
              <w:pStyle w:val="TableText"/>
              <w:keepNext w:val="0"/>
              <w:keepLines/>
            </w:pPr>
            <w:r>
              <w:rPr>
                <w:b w:val="0"/>
              </w:rPr>
              <w:t>daily_ai_budget_usd</w:t>
            </w:r>
          </w:p>
        </w:tc>
        <w:tc>
          <w:tcPr>
            <w:tcW w:type="dxa" w:w="1680"/>
            <w:vAlign w:val="top"/>
          </w:tcPr>
          <w:p>
            <w:pPr>
              <w:pStyle w:val="TableText"/>
              <w:keepNext w:val="0"/>
              <w:keepLines/>
            </w:pPr>
            <w:r>
              <w:rPr>
                <w:b w:val="0"/>
              </w:rPr>
              <w:t>null</w:t>
            </w:r>
          </w:p>
        </w:tc>
        <w:tc>
          <w:tcPr>
            <w:tcW w:type="dxa" w:w="5160"/>
            <w:vAlign w:val="top"/>
          </w:tcPr>
          <w:p>
            <w:pPr>
              <w:pStyle w:val="TableText"/>
              <w:keepNext w:val="0"/>
              <w:keepLines/>
            </w:pPr>
            <w:r>
              <w:rPr>
                <w:b w:val="0"/>
              </w:rPr>
              <w:t>Wajib untuk operasi terjadwal; harga provider disimpan per versi rate card.</w:t>
            </w:r>
          </w:p>
        </w:tc>
      </w:tr>
      <w:tr>
        <w:trPr>
          <w:cantSplit/>
        </w:trPr>
        <w:tc>
          <w:tcPr>
            <w:tcW w:type="dxa" w:w="2520"/>
            <w:vAlign w:val="top"/>
          </w:tcPr>
          <w:p>
            <w:pPr>
              <w:pStyle w:val="TableText"/>
              <w:keepNext w:val="0"/>
              <w:keepLines/>
            </w:pPr>
            <w:r>
              <w:rPr>
                <w:b w:val="0"/>
              </w:rPr>
              <w:t>intent_ttl_s</w:t>
            </w:r>
          </w:p>
        </w:tc>
        <w:tc>
          <w:tcPr>
            <w:tcW w:type="dxa" w:w="1680"/>
            <w:vAlign w:val="top"/>
          </w:tcPr>
          <w:p>
            <w:pPr>
              <w:pStyle w:val="TableText"/>
              <w:keepNext w:val="0"/>
              <w:keepLines/>
            </w:pPr>
            <w:r>
              <w:rPr>
                <w:b w:val="0"/>
              </w:rPr>
              <w:t>30</w:t>
            </w:r>
          </w:p>
        </w:tc>
        <w:tc>
          <w:tcPr>
            <w:tcW w:type="dxa" w:w="5160"/>
            <w:vAlign w:val="top"/>
          </w:tcPr>
          <w:p>
            <w:pPr>
              <w:pStyle w:val="TableText"/>
              <w:keepNext w:val="0"/>
              <w:keepLines/>
            </w:pPr>
            <w:r>
              <w:rPr>
                <w:b w:val="0"/>
              </w:rPr>
              <w:t>Intent kedaluwarsa ditolak; unknown submission tetap direkonsiliasi.</w:t>
            </w:r>
          </w:p>
        </w:tc>
      </w:tr>
      <w:tr>
        <w:trPr>
          <w:cantSplit/>
        </w:trPr>
        <w:tc>
          <w:tcPr>
            <w:tcW w:type="dxa" w:w="2520"/>
            <w:vAlign w:val="top"/>
          </w:tcPr>
          <w:p>
            <w:pPr>
              <w:pStyle w:val="TableText"/>
              <w:keepNext w:val="0"/>
              <w:keepLines/>
            </w:pPr>
            <w:r>
              <w:rPr>
                <w:b w:val="0"/>
              </w:rPr>
              <w:t>risk_decision_ttl_ms</w:t>
            </w:r>
          </w:p>
        </w:tc>
        <w:tc>
          <w:tcPr>
            <w:tcW w:type="dxa" w:w="1680"/>
            <w:vAlign w:val="top"/>
          </w:tcPr>
          <w:p>
            <w:pPr>
              <w:pStyle w:val="TableText"/>
              <w:keepNext w:val="0"/>
              <w:keepLines/>
            </w:pPr>
            <w:r>
              <w:rPr>
                <w:b w:val="0"/>
              </w:rPr>
              <w:t>1000</w:t>
            </w:r>
          </w:p>
        </w:tc>
        <w:tc>
          <w:tcPr>
            <w:tcW w:type="dxa" w:w="5160"/>
            <w:vAlign w:val="top"/>
          </w:tcPr>
          <w:p>
            <w:pPr>
              <w:pStyle w:val="TableText"/>
              <w:keepNext w:val="0"/>
              <w:keepLines/>
            </w:pPr>
            <w:r>
              <w:rPr>
                <w:b w:val="0"/>
              </w:rPr>
              <w:t>Validitas izin; executor juga memeriksa hash policy, lease, balance dan quote.</w:t>
            </w:r>
          </w:p>
        </w:tc>
      </w:tr>
      <w:tr>
        <w:trPr>
          <w:cantSplit/>
        </w:trPr>
        <w:tc>
          <w:tcPr>
            <w:tcW w:type="dxa" w:w="2520"/>
            <w:vAlign w:val="top"/>
          </w:tcPr>
          <w:p>
            <w:pPr>
              <w:pStyle w:val="TableText"/>
              <w:keepNext w:val="0"/>
              <w:keepLines/>
            </w:pPr>
            <w:r>
              <w:rPr>
                <w:b w:val="0"/>
              </w:rPr>
              <w:t>reconcile_interval_s</w:t>
            </w:r>
          </w:p>
        </w:tc>
        <w:tc>
          <w:tcPr>
            <w:tcW w:type="dxa" w:w="1680"/>
            <w:vAlign w:val="top"/>
          </w:tcPr>
          <w:p>
            <w:pPr>
              <w:pStyle w:val="TableText"/>
              <w:keepNext w:val="0"/>
              <w:keepLines/>
            </w:pPr>
            <w:r>
              <w:rPr>
                <w:b w:val="0"/>
              </w:rPr>
              <w:t>15</w:t>
            </w:r>
          </w:p>
        </w:tc>
        <w:tc>
          <w:tcPr>
            <w:tcW w:type="dxa" w:w="5160"/>
            <w:vAlign w:val="top"/>
          </w:tcPr>
          <w:p>
            <w:pPr>
              <w:pStyle w:val="TableText"/>
              <w:keepNext w:val="0"/>
              <w:keepLines/>
            </w:pPr>
            <w:r>
              <w:rPr>
                <w:b w:val="0"/>
              </w:rPr>
              <w:t>Target desain saat sehat; startup/reconnect/unknown memicu segera.</w:t>
            </w:r>
          </w:p>
        </w:tc>
      </w:tr>
      <w:tr>
        <w:trPr>
          <w:cantSplit/>
        </w:trPr>
        <w:tc>
          <w:tcPr>
            <w:tcW w:type="dxa" w:w="2520"/>
            <w:vAlign w:val="top"/>
          </w:tcPr>
          <w:p>
            <w:pPr>
              <w:pStyle w:val="TableText"/>
              <w:keepNext w:val="0"/>
              <w:keepLines/>
            </w:pPr>
            <w:r>
              <w:rPr>
                <w:b w:val="0"/>
              </w:rPr>
              <w:t>cash_drift_tolerance</w:t>
            </w:r>
          </w:p>
        </w:tc>
        <w:tc>
          <w:tcPr>
            <w:tcW w:type="dxa" w:w="1680"/>
            <w:vAlign w:val="top"/>
          </w:tcPr>
          <w:p>
            <w:pPr>
              <w:pStyle w:val="TableText"/>
              <w:keepNext w:val="0"/>
              <w:keepLines/>
            </w:pPr>
            <w:r>
              <w:rPr>
                <w:b w:val="0"/>
              </w:rPr>
              <w:t>0.01 USD-equivalent</w:t>
            </w:r>
          </w:p>
        </w:tc>
        <w:tc>
          <w:tcPr>
            <w:tcW w:type="dxa" w:w="5160"/>
            <w:vAlign w:val="top"/>
          </w:tcPr>
          <w:p>
            <w:pPr>
              <w:pStyle w:val="TableText"/>
              <w:keepNext w:val="0"/>
              <w:keepLines/>
            </w:pPr>
            <w:r>
              <w:rPr>
                <w:b w:val="0"/>
              </w:rPr>
              <w:t>Tidak boleh dipakai untuk memaafkan unknown fill/order; fee rounding tetap presisi aset.</w:t>
            </w:r>
          </w:p>
        </w:tc>
      </w:tr>
      <w:tr>
        <w:trPr>
          <w:cantSplit/>
        </w:trPr>
        <w:tc>
          <w:tcPr>
            <w:tcW w:type="dxa" w:w="2520"/>
            <w:vAlign w:val="top"/>
          </w:tcPr>
          <w:p>
            <w:pPr>
              <w:pStyle w:val="TableText"/>
              <w:keepNext w:val="0"/>
              <w:keepLines/>
            </w:pPr>
            <w:r>
              <w:rPr>
                <w:b w:val="0"/>
              </w:rPr>
              <w:t>share_drift_tolerance</w:t>
            </w:r>
          </w:p>
        </w:tc>
        <w:tc>
          <w:tcPr>
            <w:tcW w:type="dxa" w:w="1680"/>
            <w:vAlign w:val="top"/>
          </w:tcPr>
          <w:p>
            <w:pPr>
              <w:pStyle w:val="TableText"/>
              <w:keepNext w:val="0"/>
              <w:keepLines/>
            </w:pPr>
            <w:r>
              <w:rPr>
                <w:b w:val="0"/>
              </w:rPr>
              <w:t>1 base unit aset</w:t>
            </w:r>
          </w:p>
        </w:tc>
        <w:tc>
          <w:tcPr>
            <w:tcW w:type="dxa" w:w="5160"/>
            <w:vAlign w:val="top"/>
          </w:tcPr>
          <w:p>
            <w:pPr>
              <w:pStyle w:val="TableText"/>
              <w:keepNext w:val="0"/>
              <w:keepLines/>
            </w:pPr>
            <w:r>
              <w:rPr>
                <w:b w:val="0"/>
              </w:rPr>
              <w:t>Asset decimals dari registry; drift lebih besar menahan entry.</w:t>
            </w:r>
          </w:p>
        </w:tc>
      </w:tr>
      <w:tr>
        <w:trPr>
          <w:cantSplit/>
        </w:trPr>
        <w:tc>
          <w:tcPr>
            <w:tcW w:type="dxa" w:w="2520"/>
            <w:vAlign w:val="top"/>
          </w:tcPr>
          <w:p>
            <w:pPr>
              <w:pStyle w:val="TableText"/>
              <w:keepNext w:val="0"/>
              <w:keepLines/>
            </w:pPr>
            <w:r>
              <w:rPr>
                <w:b w:val="0"/>
              </w:rPr>
              <w:t>retention.financial</w:t>
            </w:r>
          </w:p>
        </w:tc>
        <w:tc>
          <w:tcPr>
            <w:tcW w:type="dxa" w:w="1680"/>
            <w:vAlign w:val="top"/>
          </w:tcPr>
          <w:p>
            <w:pPr>
              <w:pStyle w:val="TableText"/>
              <w:keepNext w:val="0"/>
              <w:keepLines/>
            </w:pPr>
            <w:r>
              <w:rPr>
                <w:b w:val="0"/>
              </w:rPr>
              <w:t>365 hari minimum</w:t>
            </w:r>
          </w:p>
        </w:tc>
        <w:tc>
          <w:tcPr>
            <w:tcW w:type="dxa" w:w="5160"/>
            <w:vAlign w:val="top"/>
          </w:tcPr>
          <w:p>
            <w:pPr>
              <w:pStyle w:val="TableText"/>
              <w:keepNext w:val="0"/>
              <w:keepLines/>
            </w:pPr>
            <w:r>
              <w:rPr>
                <w:b w:val="0"/>
              </w:rPr>
              <w:t>Log order/fill/policy dan provenance ringkas; raw book 30 hari rolling.</w:t>
            </w:r>
          </w:p>
        </w:tc>
      </w:tr>
      <w:tr>
        <w:trPr>
          <w:cantSplit/>
        </w:trPr>
        <w:tc>
          <w:tcPr>
            <w:tcW w:type="dxa" w:w="2520"/>
            <w:vAlign w:val="top"/>
          </w:tcPr>
          <w:p>
            <w:pPr>
              <w:pStyle w:val="TableText"/>
              <w:keepNext w:val="0"/>
              <w:keepLines/>
            </w:pPr>
            <w:r>
              <w:rPr>
                <w:b w:val="0"/>
              </w:rPr>
              <w:t>backup.rpo/rto</w:t>
            </w:r>
          </w:p>
        </w:tc>
        <w:tc>
          <w:tcPr>
            <w:tcW w:type="dxa" w:w="1680"/>
            <w:vAlign w:val="top"/>
          </w:tcPr>
          <w:p>
            <w:pPr>
              <w:pStyle w:val="TableText"/>
              <w:keepNext w:val="0"/>
              <w:keepLines/>
            </w:pPr>
            <w:r>
              <w:rPr>
                <w:b w:val="0"/>
              </w:rPr>
              <w:t>15 menit / 60 menit</w:t>
            </w:r>
          </w:p>
        </w:tc>
        <w:tc>
          <w:tcPr>
            <w:tcW w:type="dxa" w:w="5160"/>
            <w:vAlign w:val="top"/>
          </w:tcPr>
          <w:p>
            <w:pPr>
              <w:pStyle w:val="TableText"/>
              <w:keepNext w:val="0"/>
              <w:keepLines/>
            </w:pPr>
            <w:r>
              <w:rPr>
                <w:b w:val="0"/>
              </w:rPr>
              <w:t>Target off-host restore, bukan klaim hasil benchmark; venue reconciliation wajib.</w:t>
            </w:r>
          </w:p>
        </w:tc>
      </w:tr>
    </w:tbl>
    <w:p>
      <w:pPr>
        <w:spacing w:after="60" w:before="0" w:line="240" w:lineRule="auto"/>
      </w:pPr>
      <w:r>
        <w:rPr>
          <w:sz w:val="4"/>
        </w:rPr>
      </w:r>
    </w:p>
    <w:p>
      <w:pPr/>
      <w:r>
        <w:t>Contoh hipotetis: jika approved capital cap adalah 1.000 unit nilai USD, batas all-in satu order adalah 5, satu market 20, satu kelompok event 50, dan total 100. Ini contoh aritmetika kebijakan, bukan usulan jumlah deposit. Apabila min_size bursa memerlukan biaya di atas batas order, bot harus abstain.</w:t>
      </w:r>
    </w:p>
    <w:p>
      <w:pPr/>
      <w:r>
        <w:t>Eksposur menggunakan modal yang masih berisiko pada inventory, open order dan reservation, bukan hanya nilai order yang sudah ACK. Kelompok korelasi tidak boleh menyamarkan beberapa market pada peristiwa yang sama. Stop harian/drawdown memakai equity konservatif dan penyesuaian cash flow, lalu tetap terkunci setelah restart.</w:t>
      </w:r>
    </w:p>
    <w:p>
      <w:pPr>
        <w:pStyle w:val="Heading1"/>
      </w:pPr>
      <w:r>
        <w:t>P7. Kualitas, metrik, dan batas klaim</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Metrik</w:t>
            </w:r>
          </w:p>
        </w:tc>
        <w:tc>
          <w:tcPr>
            <w:tcW w:type="dxa" w:w="4680"/>
            <w:vAlign w:val="top"/>
            <w:shd w:fill="E8EEF5" w:val="clear"/>
          </w:tcPr>
          <w:p>
            <w:pPr>
              <w:pStyle w:val="TableText"/>
              <w:keepNext w:val="0"/>
              <w:keepLines/>
            </w:pPr>
            <w:r>
              <w:rPr>
                <w:b/>
              </w:rPr>
              <w:t>Definisi / target desain</w:t>
            </w:r>
          </w:p>
        </w:tc>
      </w:tr>
      <w:tr>
        <w:trPr>
          <w:cantSplit/>
        </w:trPr>
        <w:tc>
          <w:tcPr>
            <w:tcW w:type="dxa" w:w="4680"/>
            <w:vAlign w:val="top"/>
          </w:tcPr>
          <w:p>
            <w:pPr>
              <w:pStyle w:val="TableText"/>
              <w:keepNext w:val="0"/>
              <w:keepLines/>
            </w:pPr>
            <w:r>
              <w:rPr>
                <w:b w:val="0"/>
              </w:rPr>
              <w:t>Coverage audit</w:t>
            </w:r>
          </w:p>
        </w:tc>
        <w:tc>
          <w:tcPr>
            <w:tcW w:type="dxa" w:w="4680"/>
            <w:vAlign w:val="top"/>
          </w:tcPr>
          <w:p>
            <w:pPr>
              <w:pStyle w:val="TableText"/>
              <w:keepNext w:val="0"/>
              <w:keepLines/>
            </w:pPr>
            <w:r>
              <w:rPr>
                <w:b w:val="0"/>
              </w:rPr>
              <w:t>100% order/fill/intent terkait ID dan policy version; kelengkapan sumber diukur terhadap seluruh forecast yang dipakai.</w:t>
            </w:r>
          </w:p>
        </w:tc>
      </w:tr>
      <w:tr>
        <w:trPr>
          <w:cantSplit/>
        </w:trPr>
        <w:tc>
          <w:tcPr>
            <w:tcW w:type="dxa" w:w="4680"/>
            <w:vAlign w:val="top"/>
          </w:tcPr>
          <w:p>
            <w:pPr>
              <w:pStyle w:val="TableText"/>
              <w:keepNext w:val="0"/>
              <w:keepLines/>
            </w:pPr>
            <w:r>
              <w:rPr>
                <w:b w:val="0"/>
              </w:rPr>
              <w:t>Order integrity</w:t>
            </w:r>
          </w:p>
        </w:tc>
        <w:tc>
          <w:tcPr>
            <w:tcW w:type="dxa" w:w="4680"/>
            <w:vAlign w:val="top"/>
          </w:tcPr>
          <w:p>
            <w:pPr>
              <w:pStyle w:val="TableText"/>
              <w:keepNext w:val="0"/>
              <w:keepLines/>
            </w:pPr>
            <w:r>
              <w:rPr>
                <w:b w:val="0"/>
              </w:rPr>
              <w:t>0 duplicate economic execution pada fault suite; 0 unexplained financial drift saat promosi; cancel failure selalu terlihat.</w:t>
            </w:r>
          </w:p>
        </w:tc>
      </w:tr>
      <w:tr>
        <w:trPr>
          <w:cantSplit/>
        </w:trPr>
        <w:tc>
          <w:tcPr>
            <w:tcW w:type="dxa" w:w="4680"/>
            <w:vAlign w:val="top"/>
          </w:tcPr>
          <w:p>
            <w:pPr>
              <w:pStyle w:val="TableText"/>
              <w:keepNext w:val="0"/>
              <w:keepLines/>
            </w:pPr>
            <w:r>
              <w:rPr>
                <w:b w:val="0"/>
              </w:rPr>
              <w:t>Kontrol cepat</w:t>
            </w:r>
          </w:p>
        </w:tc>
        <w:tc>
          <w:tcPr>
            <w:tcW w:type="dxa" w:w="4680"/>
            <w:vAlign w:val="top"/>
          </w:tcPr>
          <w:p>
            <w:pPr>
              <w:pStyle w:val="TableText"/>
              <w:keepNext w:val="0"/>
              <w:keepLines/>
            </w:pPr>
            <w:r>
              <w:rPr>
                <w:b w:val="0"/>
              </w:rPr>
              <w:t>Pause berlaku pada authorization baru ≤1 detik; risk decision lokal p95 &lt;250 ms. Ini tidak menjamin order in-flight batal.</w:t>
            </w:r>
          </w:p>
        </w:tc>
      </w:tr>
      <w:tr>
        <w:trPr>
          <w:cantSplit/>
        </w:trPr>
        <w:tc>
          <w:tcPr>
            <w:tcW w:type="dxa" w:w="4680"/>
            <w:vAlign w:val="top"/>
          </w:tcPr>
          <w:p>
            <w:pPr>
              <w:pStyle w:val="TableText"/>
              <w:keepNext w:val="0"/>
              <w:keepLines/>
            </w:pPr>
            <w:r>
              <w:rPr>
                <w:b w:val="0"/>
              </w:rPr>
              <w:t>Ketersediaan</w:t>
            </w:r>
          </w:p>
        </w:tc>
        <w:tc>
          <w:tcPr>
            <w:tcW w:type="dxa" w:w="4680"/>
            <w:vAlign w:val="top"/>
          </w:tcPr>
          <w:p>
            <w:pPr>
              <w:pStyle w:val="TableText"/>
              <w:keepNext w:val="0"/>
              <w:keepLines/>
            </w:pPr>
            <w:r>
              <w:rPr>
                <w:b w:val="0"/>
              </w:rPr>
              <w:t>Target readiness layanan 99,5% per 30 hari; laporkan dependensi venue/provider secara terpisah, bukan menghapus downtime dari pengalaman pengguna.</w:t>
            </w:r>
          </w:p>
        </w:tc>
      </w:tr>
      <w:tr>
        <w:trPr>
          <w:cantSplit/>
        </w:trPr>
        <w:tc>
          <w:tcPr>
            <w:tcW w:type="dxa" w:w="4680"/>
            <w:vAlign w:val="top"/>
          </w:tcPr>
          <w:p>
            <w:pPr>
              <w:pStyle w:val="TableText"/>
              <w:keepNext w:val="0"/>
              <w:keepLines/>
            </w:pPr>
            <w:r>
              <w:rPr>
                <w:b w:val="0"/>
              </w:rPr>
              <w:t>Respons produk</w:t>
            </w:r>
          </w:p>
        </w:tc>
        <w:tc>
          <w:tcPr>
            <w:tcW w:type="dxa" w:w="4680"/>
            <w:vAlign w:val="top"/>
          </w:tcPr>
          <w:p>
            <w:pPr>
              <w:pStyle w:val="TableText"/>
              <w:keepNext w:val="0"/>
              <w:keepLines/>
            </w:pPr>
            <w:r>
              <w:rPr>
                <w:b w:val="0"/>
              </w:rPr>
              <w:t>Dashboard utama p95 &lt;2 detik pada beban uji yang ditetapkan; angka belum diukur pada VPS pemilik.</w:t>
            </w:r>
          </w:p>
        </w:tc>
      </w:tr>
      <w:tr>
        <w:trPr>
          <w:cantSplit/>
        </w:trPr>
        <w:tc>
          <w:tcPr>
            <w:tcW w:type="dxa" w:w="4680"/>
            <w:vAlign w:val="top"/>
          </w:tcPr>
          <w:p>
            <w:pPr>
              <w:pStyle w:val="TableText"/>
              <w:keepNext w:val="0"/>
              <w:keepLines/>
            </w:pPr>
            <w:r>
              <w:rPr>
                <w:b w:val="0"/>
              </w:rPr>
              <w:t>Forecast</w:t>
            </w:r>
          </w:p>
        </w:tc>
        <w:tc>
          <w:tcPr>
            <w:tcW w:type="dxa" w:w="4680"/>
            <w:vAlign w:val="top"/>
          </w:tcPr>
          <w:p>
            <w:pPr>
              <w:pStyle w:val="TableText"/>
              <w:keepNext w:val="0"/>
              <w:keepLines/>
            </w:pPr>
            <w:r>
              <w:rPr>
                <w:b w:val="0"/>
              </w:rPr>
              <w:t>Brier dan log loss, diagram calibration, benchmark probability pasar pada timestamp yang sama; pisahkan model/calibrator/kelas event.</w:t>
            </w:r>
          </w:p>
        </w:tc>
      </w:tr>
      <w:tr>
        <w:trPr>
          <w:cantSplit/>
        </w:trPr>
        <w:tc>
          <w:tcPr>
            <w:tcW w:type="dxa" w:w="4680"/>
            <w:vAlign w:val="top"/>
          </w:tcPr>
          <w:p>
            <w:pPr>
              <w:pStyle w:val="TableText"/>
              <w:keepNext w:val="0"/>
              <w:keepLines/>
            </w:pPr>
            <w:r>
              <w:rPr>
                <w:b w:val="0"/>
              </w:rPr>
              <w:t>Ekonomi</w:t>
            </w:r>
          </w:p>
        </w:tc>
        <w:tc>
          <w:tcPr>
            <w:tcW w:type="dxa" w:w="4680"/>
            <w:vAlign w:val="top"/>
          </w:tcPr>
          <w:p>
            <w:pPr>
              <w:pStyle w:val="TableText"/>
              <w:keepNext w:val="0"/>
              <w:keepLines/>
            </w:pPr>
            <w:r>
              <w:rPr>
                <w:b w:val="0"/>
              </w:rPr>
              <w:t>Net PnL setelah biaya trading, slippage, LLM, data dan alokasi infrastruktur; drawdown, fill ratio, capital utilization, serta CI per event.</w:t>
            </w:r>
          </w:p>
        </w:tc>
      </w:tr>
      <w:tr>
        <w:trPr>
          <w:cantSplit/>
        </w:trPr>
        <w:tc>
          <w:tcPr>
            <w:tcW w:type="dxa" w:w="4680"/>
            <w:vAlign w:val="top"/>
          </w:tcPr>
          <w:p>
            <w:pPr>
              <w:pStyle w:val="TableText"/>
              <w:keepNext w:val="0"/>
              <w:keepLines/>
            </w:pPr>
            <w:r>
              <w:rPr>
                <w:b w:val="0"/>
              </w:rPr>
              <w:t>Pemulihan</w:t>
            </w:r>
          </w:p>
        </w:tc>
        <w:tc>
          <w:tcPr>
            <w:tcW w:type="dxa" w:w="4680"/>
            <w:vAlign w:val="top"/>
          </w:tcPr>
          <w:p>
            <w:pPr>
              <w:pStyle w:val="TableText"/>
              <w:keepNext w:val="0"/>
              <w:keepLines/>
            </w:pPr>
            <w:r>
              <w:rPr>
                <w:b w:val="0"/>
              </w:rPr>
              <w:t>Target backup off-host RPO ≤15 menit dan RTO ≤60 menit; diuji dengan restore, bukan keberadaan file backup saja.</w:t>
            </w:r>
          </w:p>
        </w:tc>
      </w:tr>
    </w:tbl>
    <w:p>
      <w:pPr>
        <w:spacing w:after="60" w:before="0" w:line="240" w:lineRule="auto"/>
      </w:pPr>
      <w:r>
        <w:rPr>
          <w:sz w:val="4"/>
        </w:rPr>
      </w:r>
    </w:p>
    <w:p>
      <w:pPr/>
      <w:r>
        <w:t>Brier = rata-rata (p − y)² untuk outcome biner. Log loss memberi penalti besar pada probabilitas salah yang terlalu yakin; clipping numerik kecil untuk perhitungan harus dilaporkan. Calibration menjawab apakah kelompok forecast 70% terjadi kira-kira 70%, bukan apakah model mempunyai win rate 70%. Perdagangan tetap bisa rugi meski skor probabilitas membaik karena harga dan biaya.</w:t>
      </w:r>
    </w:p>
    <w:p>
      <w:pPr>
        <w:pStyle w:val="SourceText"/>
      </w:pPr>
      <w:r>
        <w:t xml:space="preserve">Sumber: </w:t>
      </w:r>
      <w:hyperlink r:id="rId19">
        <w:r>
          <w:rPr>
            <w:color w:val="2E74B5"/>
            <w:u w:val="single"/>
          </w:rPr>
          <w:t>S23</w:t>
        </w:r>
      </w:hyperlink>
      <w:r>
        <w:t xml:space="preserve"> · </w:t>
      </w:r>
      <w:hyperlink r:id="rId20">
        <w:r>
          <w:rPr>
            <w:color w:val="2E74B5"/>
            <w:u w:val="single"/>
          </w:rPr>
          <w:t>S26</w:t>
        </w:r>
      </w:hyperlink>
    </w:p>
    <w:p>
      <w:pPr/>
      <w:r>
        <w:t>Backtest harus rolling-origin dengan feature cutoff dan pemisahan event. Model bahasa dapat telah mengetahui outcome sejarah dari pretraining; pembatasan retrieval saja tidak menghilangkan risiko itu. Karena itu SHADOW prospektif wajib. Banyak eksperimen meningkatkan risiko memilih kebetulan terbaik; catat seluruh versi dan hasil, bukan hanya strategi pemenang.</w:t>
      </w:r>
    </w:p>
    <w:p>
      <w:pPr>
        <w:pStyle w:val="SourceText"/>
      </w:pPr>
      <w:r>
        <w:t xml:space="preserve">Sumber: </w:t>
      </w:r>
      <w:hyperlink r:id="rId21">
        <w:r>
          <w:rPr>
            <w:color w:val="2E74B5"/>
            <w:u w:val="single"/>
          </w:rPr>
          <w:t>S24</w:t>
        </w:r>
      </w:hyperlink>
      <w:r>
        <w:t xml:space="preserve"> · </w:t>
      </w:r>
      <w:hyperlink r:id="rId22">
        <w:r>
          <w:rPr>
            <w:color w:val="2E74B5"/>
            <w:u w:val="single"/>
          </w:rPr>
          <w:t>S25</w:t>
        </w:r>
      </w:hyperlink>
      <w:r>
        <w:t xml:space="preserve"> · </w:t>
      </w:r>
      <w:hyperlink r:id="rId23">
        <w:r>
          <w:rPr>
            <w:color w:val="2E74B5"/>
            <w:u w:val="single"/>
          </w:rPr>
          <w:t>S27</w:t>
        </w:r>
      </w:hyperlink>
    </w:p>
    <w:p>
      <w:pPr>
        <w:pStyle w:val="Heading1"/>
      </w:pPr>
      <w:r>
        <w:t>P8. Gate rilis dan roadmap</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1500"/>
        <w:gridCol w:w="6300"/>
        <w:gridCol w:w="1560"/>
      </w:tblGrid>
      <w:tr>
        <w:trPr>
          <w:cantSplit/>
          <w:tblHeader/>
        </w:trPr>
        <w:tc>
          <w:tcPr>
            <w:tcW w:type="dxa" w:w="1500"/>
            <w:vAlign w:val="top"/>
            <w:shd w:fill="E8EEF5" w:val="clear"/>
          </w:tcPr>
          <w:p>
            <w:pPr>
              <w:pStyle w:val="TableText"/>
              <w:keepNext w:val="0"/>
              <w:keepLines/>
            </w:pPr>
            <w:r>
              <w:rPr>
                <w:b/>
              </w:rPr>
              <w:t>Gate</w:t>
            </w:r>
          </w:p>
        </w:tc>
        <w:tc>
          <w:tcPr>
            <w:tcW w:type="dxa" w:w="6300"/>
            <w:vAlign w:val="top"/>
            <w:shd w:fill="E8EEF5" w:val="clear"/>
          </w:tcPr>
          <w:p>
            <w:pPr>
              <w:pStyle w:val="TableText"/>
              <w:keepNext w:val="0"/>
              <w:keepLines/>
            </w:pPr>
            <w:r>
              <w:rPr>
                <w:b/>
              </w:rPr>
              <w:t>Bukti kelulusan</w:t>
            </w:r>
          </w:p>
        </w:tc>
        <w:tc>
          <w:tcPr>
            <w:tcW w:type="dxa" w:w="1560"/>
            <w:vAlign w:val="top"/>
            <w:shd w:fill="E8EEF5" w:val="clear"/>
          </w:tcPr>
          <w:p>
            <w:pPr>
              <w:pStyle w:val="TableText"/>
              <w:keepNext w:val="0"/>
              <w:keepLines/>
            </w:pPr>
            <w:r>
              <w:rPr>
                <w:b/>
              </w:rPr>
              <w:t>Pemilik keputusan</w:t>
            </w:r>
          </w:p>
        </w:tc>
      </w:tr>
      <w:tr>
        <w:trPr>
          <w:cantSplit/>
        </w:trPr>
        <w:tc>
          <w:tcPr>
            <w:tcW w:type="dxa" w:w="1500"/>
            <w:vAlign w:val="top"/>
          </w:tcPr>
          <w:p>
            <w:pPr>
              <w:pStyle w:val="TableText"/>
              <w:keepNext w:val="0"/>
              <w:keepLines/>
            </w:pPr>
            <w:r>
              <w:rPr>
                <w:b w:val="0"/>
              </w:rPr>
              <w:t>G0 — Baseline</w:t>
            </w:r>
          </w:p>
        </w:tc>
        <w:tc>
          <w:tcPr>
            <w:tcW w:type="dxa" w:w="6300"/>
            <w:vAlign w:val="top"/>
          </w:tcPr>
          <w:p>
            <w:pPr>
              <w:pStyle w:val="TableText"/>
              <w:keepNext w:val="0"/>
              <w:keepLines/>
            </w:pPr>
            <w:r>
              <w:rPr>
                <w:b w:val="0"/>
              </w:rPr>
              <w:t>Pin SDK/commit/image; inventaris jalur order; lisensi, akses akun, asset registry, wallet type, provider capability dan budget dicatat. Belum dikerjakan; keputusan implementasi dibekukan.</w:t>
            </w:r>
          </w:p>
        </w:tc>
        <w:tc>
          <w:tcPr>
            <w:tcW w:type="dxa" w:w="1560"/>
            <w:vAlign w:val="top"/>
          </w:tcPr>
          <w:p>
            <w:pPr>
              <w:pStyle w:val="TableText"/>
              <w:keepNext w:val="0"/>
              <w:keepLines/>
            </w:pPr>
            <w:r>
              <w:rPr>
                <w:b w:val="0"/>
              </w:rPr>
              <w:t>Tech lead + pemilik</w:t>
            </w:r>
          </w:p>
        </w:tc>
      </w:tr>
      <w:tr>
        <w:trPr>
          <w:cantSplit/>
        </w:trPr>
        <w:tc>
          <w:tcPr>
            <w:tcW w:type="dxa" w:w="1500"/>
            <w:vAlign w:val="top"/>
          </w:tcPr>
          <w:p>
            <w:pPr>
              <w:pStyle w:val="TableText"/>
              <w:keepNext w:val="0"/>
              <w:keepLines/>
            </w:pPr>
            <w:r>
              <w:rPr>
                <w:b w:val="0"/>
              </w:rPr>
              <w:t>G1 — Kontrak</w:t>
            </w:r>
          </w:p>
        </w:tc>
        <w:tc>
          <w:tcPr>
            <w:tcW w:type="dxa" w:w="6300"/>
            <w:vAlign w:val="top"/>
          </w:tcPr>
          <w:p>
            <w:pPr>
              <w:pStyle w:val="TableText"/>
              <w:keepNext w:val="0"/>
              <w:keepLines/>
            </w:pPr>
            <w:r>
              <w:rPr>
                <w:b w:val="0"/>
              </w:rPr>
              <w:t>Semua tes P0 deterministik lulus; fixture SDK dan read-only contract check sesuai; tidak ada jalur signer di luar executor. Tidak mengirim dana nyata.</w:t>
            </w:r>
          </w:p>
        </w:tc>
        <w:tc>
          <w:tcPr>
            <w:tcW w:type="dxa" w:w="1560"/>
            <w:vAlign w:val="top"/>
          </w:tcPr>
          <w:p>
            <w:pPr>
              <w:pStyle w:val="TableText"/>
              <w:keepNext w:val="0"/>
              <w:keepLines/>
            </w:pPr>
            <w:r>
              <w:rPr>
                <w:b w:val="0"/>
              </w:rPr>
              <w:t>Engineering</w:t>
            </w:r>
          </w:p>
        </w:tc>
      </w:tr>
      <w:tr>
        <w:trPr>
          <w:cantSplit/>
        </w:trPr>
        <w:tc>
          <w:tcPr>
            <w:tcW w:type="dxa" w:w="1500"/>
            <w:vAlign w:val="top"/>
          </w:tcPr>
          <w:p>
            <w:pPr>
              <w:pStyle w:val="TableText"/>
              <w:keepNext w:val="0"/>
              <w:keepLines/>
            </w:pPr>
            <w:r>
              <w:rPr>
                <w:b w:val="0"/>
              </w:rPr>
              <w:t>G2 — Pemulihan</w:t>
            </w:r>
          </w:p>
        </w:tc>
        <w:tc>
          <w:tcPr>
            <w:tcW w:type="dxa" w:w="6300"/>
            <w:vAlign w:val="top"/>
          </w:tcPr>
          <w:p>
            <w:pPr>
              <w:pStyle w:val="TableText"/>
              <w:keepNext w:val="0"/>
              <w:keepLines/>
            </w:pPr>
            <w:r>
              <w:rPr>
                <w:b w:val="0"/>
              </w:rPr>
              <w:t>Crash/timeout/partial-fill/cancel race, disk/DB, prompt injection, restore dan fencing lulus; zero unresolved critical/high exploitable findings pada jalur aktif. PAPER/SHADOW boleh berjalan terjadwal.</w:t>
            </w:r>
          </w:p>
        </w:tc>
        <w:tc>
          <w:tcPr>
            <w:tcW w:type="dxa" w:w="1560"/>
            <w:vAlign w:val="top"/>
          </w:tcPr>
          <w:p>
            <w:pPr>
              <w:pStyle w:val="TableText"/>
              <w:keepNext w:val="0"/>
              <w:keepLines/>
            </w:pPr>
            <w:r>
              <w:rPr>
                <w:b w:val="0"/>
              </w:rPr>
              <w:t>Engineering + reviewer</w:t>
            </w:r>
          </w:p>
        </w:tc>
      </w:tr>
      <w:tr>
        <w:trPr>
          <w:cantSplit/>
        </w:trPr>
        <w:tc>
          <w:tcPr>
            <w:tcW w:type="dxa" w:w="1500"/>
            <w:vAlign w:val="top"/>
          </w:tcPr>
          <w:p>
            <w:pPr>
              <w:pStyle w:val="TableText"/>
              <w:keepNext w:val="0"/>
              <w:keepLines/>
            </w:pPr>
            <w:r>
              <w:rPr>
                <w:b w:val="0"/>
              </w:rPr>
              <w:t>G3 — Prospektif</w:t>
            </w:r>
          </w:p>
        </w:tc>
        <w:tc>
          <w:tcPr>
            <w:tcW w:type="dxa" w:w="6300"/>
            <w:vAlign w:val="top"/>
          </w:tcPr>
          <w:p>
            <w:pPr>
              <w:pStyle w:val="TableText"/>
              <w:keepNext w:val="0"/>
              <w:keepLines/>
            </w:pPr>
            <w:r>
              <w:rPr>
                <w:b w:val="0"/>
              </w:rPr>
              <w:t>Minimal 30 hari dan 100 event independen yang resolved untuk evaluasi awal; semua biaya dicatat, tidak ada drift finansial/unknown order yang belum terselesaikan. Batas observasi awal, bukan bukti statistik yang cukup dengan sendirinya.</w:t>
            </w:r>
          </w:p>
        </w:tc>
        <w:tc>
          <w:tcPr>
            <w:tcW w:type="dxa" w:w="1560"/>
            <w:vAlign w:val="top"/>
          </w:tcPr>
          <w:p>
            <w:pPr>
              <w:pStyle w:val="TableText"/>
              <w:keepNext w:val="0"/>
              <w:keepLines/>
            </w:pPr>
            <w:r>
              <w:rPr>
                <w:b w:val="0"/>
              </w:rPr>
              <w:t>Research + engineering</w:t>
            </w:r>
          </w:p>
        </w:tc>
      </w:tr>
      <w:tr>
        <w:trPr>
          <w:cantSplit/>
        </w:trPr>
        <w:tc>
          <w:tcPr>
            <w:tcW w:type="dxa" w:w="1500"/>
            <w:vAlign w:val="top"/>
          </w:tcPr>
          <w:p>
            <w:pPr>
              <w:pStyle w:val="TableText"/>
              <w:keepNext w:val="0"/>
              <w:keepLines/>
            </w:pPr>
            <w:r>
              <w:rPr>
                <w:b w:val="0"/>
              </w:rPr>
              <w:t>G4 — micro-LIVE</w:t>
            </w:r>
          </w:p>
        </w:tc>
        <w:tc>
          <w:tcPr>
            <w:tcW w:type="dxa" w:w="6300"/>
            <w:vAlign w:val="top"/>
          </w:tcPr>
          <w:p>
            <w:pPr>
              <w:pStyle w:val="TableText"/>
              <w:keepNext w:val="0"/>
              <w:keepLines/>
            </w:pPr>
            <w:r>
              <w:rPr>
                <w:b w:val="0"/>
              </w:rPr>
              <w:t>G0–G3 engineering lulus, akun eligible, mandat/budget terisi; pemilik menerima eksperimen eksekusi dengan cap kecil yang eksplisit. Validasi eksekusi nyata; tidak memberi label strategi menguntungkan.</w:t>
            </w:r>
          </w:p>
        </w:tc>
        <w:tc>
          <w:tcPr>
            <w:tcW w:type="dxa" w:w="1560"/>
            <w:vAlign w:val="top"/>
          </w:tcPr>
          <w:p>
            <w:pPr>
              <w:pStyle w:val="TableText"/>
              <w:keepNext w:val="0"/>
              <w:keepLines/>
            </w:pPr>
            <w:r>
              <w:rPr>
                <w:b w:val="0"/>
              </w:rPr>
              <w:t>Pemilik</w:t>
            </w:r>
          </w:p>
        </w:tc>
      </w:tr>
      <w:tr>
        <w:trPr>
          <w:cantSplit/>
        </w:trPr>
        <w:tc>
          <w:tcPr>
            <w:tcW w:type="dxa" w:w="1500"/>
            <w:vAlign w:val="top"/>
          </w:tcPr>
          <w:p>
            <w:pPr>
              <w:pStyle w:val="TableText"/>
              <w:keepNext w:val="0"/>
              <w:keepLines/>
            </w:pPr>
            <w:r>
              <w:rPr>
                <w:b w:val="0"/>
              </w:rPr>
              <w:t>G5 — Otonomi rutin</w:t>
            </w:r>
          </w:p>
        </w:tc>
        <w:tc>
          <w:tcPr>
            <w:tcW w:type="dxa" w:w="6300"/>
            <w:vAlign w:val="top"/>
          </w:tcPr>
          <w:p>
            <w:pPr>
              <w:pStyle w:val="TableText"/>
              <w:keepNext w:val="0"/>
              <w:keepLines/>
            </w:pPr>
            <w:r>
              <w:rPr>
                <w:b w:val="0"/>
              </w:rPr>
              <w:t>Operasi micro-LIVE bersih sesuai rencana uji; estimasi net edge prospektif tetap positif setelah biaya dan uji sensitivitas; lower bound CI 95% berbasis cluster event &gt; 0. Jika sampel/CI tidak memadai, tetap eksperimen/PAPER. Kenaikan cap selalu mandat baru.</w:t>
            </w:r>
          </w:p>
        </w:tc>
        <w:tc>
          <w:tcPr>
            <w:tcW w:type="dxa" w:w="1560"/>
            <w:vAlign w:val="top"/>
          </w:tcPr>
          <w:p>
            <w:pPr>
              <w:pStyle w:val="TableText"/>
              <w:keepNext w:val="0"/>
              <w:keepLines/>
            </w:pPr>
            <w:r>
              <w:rPr>
                <w:b w:val="0"/>
              </w:rPr>
              <w:t>Pemilik + research</w:t>
            </w:r>
          </w:p>
        </w:tc>
      </w:tr>
    </w:tbl>
    <w:p>
      <w:pPr>
        <w:spacing w:after="60" w:before="0" w:line="240" w:lineRule="auto"/>
      </w:pPr>
      <w:r>
        <w:rPr>
          <w:sz w:val="4"/>
        </w:rPr>
      </w:r>
    </w:p>
    <w:p>
      <w:pPr/>
      <w:r>
        <w:t>CI net edge dihitung dengan pengelompokan event, bukan menganggap 100 fill dari market yang sama sebagai 100 observasi independen. Metode CI, minimum effect, aturan penghentian dan sensitivitas biaya dipraregistrasikan. Jika estimasi tidak stabil atau terlalu sedikit cluster, status tetap inconclusive. Kelulusan engineering tidak dapat menggantikan bukti ekonomi.</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Urutan kerja</w:t>
            </w:r>
          </w:p>
        </w:tc>
        <w:tc>
          <w:tcPr>
            <w:tcW w:type="dxa" w:w="4680"/>
            <w:vAlign w:val="top"/>
            <w:shd w:fill="E8EEF5" w:val="clear"/>
          </w:tcPr>
          <w:p>
            <w:pPr>
              <w:pStyle w:val="TableText"/>
              <w:keepNext w:val="0"/>
              <w:keepLines/>
            </w:pPr>
            <w:r>
              <w:rPr>
                <w:b/>
              </w:rPr>
              <w:t>Hasil konkret / dependensi</w:t>
            </w:r>
          </w:p>
        </w:tc>
      </w:tr>
      <w:tr>
        <w:trPr>
          <w:cantSplit/>
        </w:trPr>
        <w:tc>
          <w:tcPr>
            <w:tcW w:type="dxa" w:w="4680"/>
            <w:vAlign w:val="top"/>
          </w:tcPr>
          <w:p>
            <w:pPr>
              <w:pStyle w:val="TableText"/>
              <w:keepNext w:val="0"/>
              <w:keepLines/>
            </w:pPr>
            <w:r>
              <w:rPr>
                <w:b w:val="0"/>
              </w:rPr>
              <w:t>1 • Fondasi fork</w:t>
            </w:r>
          </w:p>
        </w:tc>
        <w:tc>
          <w:tcPr>
            <w:tcW w:type="dxa" w:w="4680"/>
            <w:vAlign w:val="top"/>
          </w:tcPr>
          <w:p>
            <w:pPr>
              <w:pStyle w:val="TableText"/>
              <w:keepNext w:val="0"/>
              <w:keepLines/>
            </w:pPr>
            <w:r>
              <w:rPr>
                <w:b w:val="0"/>
              </w:rPr>
              <w:t>Manifest, inventaris tool, default PAPER, capability provider/SDK, asset registry. Estimasi 1–2 engineer-week.</w:t>
            </w:r>
          </w:p>
        </w:tc>
      </w:tr>
      <w:tr>
        <w:trPr>
          <w:cantSplit/>
        </w:trPr>
        <w:tc>
          <w:tcPr>
            <w:tcW w:type="dxa" w:w="4680"/>
            <w:vAlign w:val="top"/>
          </w:tcPr>
          <w:p>
            <w:pPr>
              <w:pStyle w:val="TableText"/>
              <w:keepNext w:val="0"/>
              <w:keepLines/>
            </w:pPr>
            <w:r>
              <w:rPr>
                <w:b w:val="0"/>
              </w:rPr>
              <w:t>2 • Safety core</w:t>
            </w:r>
          </w:p>
        </w:tc>
        <w:tc>
          <w:tcPr>
            <w:tcW w:type="dxa" w:w="4680"/>
            <w:vAlign w:val="top"/>
          </w:tcPr>
          <w:p>
            <w:pPr>
              <w:pStyle w:val="TableText"/>
              <w:keepNext w:val="0"/>
              <w:keepLines/>
            </w:pPr>
            <w:r>
              <w:rPr>
                <w:b w:val="0"/>
              </w:rPr>
              <w:t>Intent, risk reservation, executor tunggal, order lifecycle, ledger dan reconciliation. Estimasi 3–5 engineer-week.</w:t>
            </w:r>
          </w:p>
        </w:tc>
      </w:tr>
      <w:tr>
        <w:trPr>
          <w:cantSplit/>
        </w:trPr>
        <w:tc>
          <w:tcPr>
            <w:tcW w:type="dxa" w:w="4680"/>
            <w:vAlign w:val="top"/>
          </w:tcPr>
          <w:p>
            <w:pPr>
              <w:pStyle w:val="TableText"/>
              <w:keepNext w:val="0"/>
              <w:keepLines/>
            </w:pPr>
            <w:r>
              <w:rPr>
                <w:b w:val="0"/>
              </w:rPr>
              <w:t>3 • Intelligence &amp; UI</w:t>
            </w:r>
          </w:p>
        </w:tc>
        <w:tc>
          <w:tcPr>
            <w:tcW w:type="dxa" w:w="4680"/>
            <w:vAlign w:val="top"/>
          </w:tcPr>
          <w:p>
            <w:pPr>
              <w:pStyle w:val="TableText"/>
              <w:keepNext w:val="0"/>
              <w:keepLines/>
            </w:pPr>
            <w:r>
              <w:rPr>
                <w:b w:val="0"/>
              </w:rPr>
              <w:t>Evidence pipeline, forecast schema, strategi pertama, dashboard minimum dan cost metering. Estimasi 2–3 engineer-week; sebagian paralel sesudah kontrak stabil.</w:t>
            </w:r>
          </w:p>
        </w:tc>
      </w:tr>
      <w:tr>
        <w:trPr>
          <w:cantSplit/>
        </w:trPr>
        <w:tc>
          <w:tcPr>
            <w:tcW w:type="dxa" w:w="4680"/>
            <w:vAlign w:val="top"/>
          </w:tcPr>
          <w:p>
            <w:pPr>
              <w:pStyle w:val="TableText"/>
              <w:keepNext w:val="0"/>
              <w:keepLines/>
            </w:pPr>
            <w:r>
              <w:rPr>
                <w:b w:val="0"/>
              </w:rPr>
              <w:t>4 • Verifikasi &amp; operasi</w:t>
            </w:r>
          </w:p>
        </w:tc>
        <w:tc>
          <w:tcPr>
            <w:tcW w:type="dxa" w:w="4680"/>
            <w:vAlign w:val="top"/>
          </w:tcPr>
          <w:p>
            <w:pPr>
              <w:pStyle w:val="TableText"/>
              <w:keepNext w:val="0"/>
              <w:keepLines/>
            </w:pPr>
            <w:r>
              <w:rPr>
                <w:b w:val="0"/>
              </w:rPr>
              <w:t>Fault suite, paper engine, secret isolation, deploy/restore dan gate report. Estimasi 2–3 engineer-week.</w:t>
            </w:r>
          </w:p>
        </w:tc>
      </w:tr>
      <w:tr>
        <w:trPr>
          <w:cantSplit/>
        </w:trPr>
        <w:tc>
          <w:tcPr>
            <w:tcW w:type="dxa" w:w="4680"/>
            <w:vAlign w:val="top"/>
          </w:tcPr>
          <w:p>
            <w:pPr>
              <w:pStyle w:val="TableText"/>
              <w:keepNext w:val="0"/>
              <w:keepLines/>
            </w:pPr>
            <w:r>
              <w:rPr>
                <w:b w:val="0"/>
              </w:rPr>
              <w:t>5 • Observasi prospektif</w:t>
            </w:r>
          </w:p>
        </w:tc>
        <w:tc>
          <w:tcPr>
            <w:tcW w:type="dxa" w:w="4680"/>
            <w:vAlign w:val="top"/>
          </w:tcPr>
          <w:p>
            <w:pPr>
              <w:pStyle w:val="TableText"/>
              <w:keepNext w:val="0"/>
              <w:keepLines/>
            </w:pPr>
            <w:r>
              <w:rPr>
                <w:b w:val="0"/>
              </w:rPr>
              <w:t>Minimal 30 hari dan kecukupan event/evidence; waktu kalender dapat jauh lebih lama pada market lambat. micro-LIVE sesuai mandat setelah syaratnya terpenuhi.</w:t>
            </w:r>
          </w:p>
        </w:tc>
      </w:tr>
    </w:tbl>
    <w:p>
      <w:pPr>
        <w:spacing w:after="60" w:before="0" w:line="240" w:lineRule="auto"/>
      </w:pPr>
      <w:r>
        <w:rPr>
          <w:sz w:val="4"/>
        </w:rPr>
      </w:r>
    </w:p>
    <w:p>
      <w:pPr/>
      <w:r>
        <w:t>Total awal 8–13 engineer-week adalah perkiraan perencanaan untuk satu engineer berpengalaman dengan dukungan review, bukan komitmen delivery. Kalender observasi dan pekerjaan yang muncul dari contract mismatch berada di luar kepastian estimasi. Setiap milestone menghasilkan artefak review: manifest, migration/ADR, test report, replay log, dashboard, atau runbook.</w:t>
      </w:r>
    </w:p>
    <w:p>
      <w:pPr>
        <w:pStyle w:val="Heading1"/>
      </w:pPr>
      <w:r>
        <w:t>P9. Risiko, biaya, dan keputusan terbuka</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Risiko</w:t>
            </w:r>
          </w:p>
        </w:tc>
        <w:tc>
          <w:tcPr>
            <w:tcW w:type="dxa" w:w="4680"/>
            <w:vAlign w:val="top"/>
            <w:shd w:fill="E8EEF5" w:val="clear"/>
          </w:tcPr>
          <w:p>
            <w:pPr>
              <w:pStyle w:val="TableText"/>
              <w:keepNext w:val="0"/>
              <w:keepLines/>
            </w:pPr>
            <w:r>
              <w:rPr>
                <w:b/>
              </w:rPr>
              <w:t>Respons produk</w:t>
            </w:r>
          </w:p>
        </w:tc>
      </w:tr>
      <w:tr>
        <w:trPr>
          <w:cantSplit/>
        </w:trPr>
        <w:tc>
          <w:tcPr>
            <w:tcW w:type="dxa" w:w="4680"/>
            <w:vAlign w:val="top"/>
          </w:tcPr>
          <w:p>
            <w:pPr>
              <w:pStyle w:val="TableText"/>
              <w:keepNext w:val="0"/>
              <w:keepLines/>
            </w:pPr>
            <w:r>
              <w:rPr>
                <w:b w:val="0"/>
              </w:rPr>
              <w:t>Edge tidak ada / berubah</w:t>
            </w:r>
          </w:p>
        </w:tc>
        <w:tc>
          <w:tcPr>
            <w:tcW w:type="dxa" w:w="4680"/>
            <w:vAlign w:val="top"/>
          </w:tcPr>
          <w:p>
            <w:pPr>
              <w:pStyle w:val="TableText"/>
              <w:keepNext w:val="0"/>
              <w:keepLines/>
            </w:pPr>
            <w:r>
              <w:rPr>
                <w:b w:val="0"/>
              </w:rPr>
              <w:t>Abstain, benchmark, monitoring calibration dan biaya; hentikan strategi bila bukti ekonomi tidak memadai.</w:t>
            </w:r>
          </w:p>
        </w:tc>
      </w:tr>
      <w:tr>
        <w:trPr>
          <w:cantSplit/>
        </w:trPr>
        <w:tc>
          <w:tcPr>
            <w:tcW w:type="dxa" w:w="4680"/>
            <w:vAlign w:val="top"/>
          </w:tcPr>
          <w:p>
            <w:pPr>
              <w:pStyle w:val="TableText"/>
              <w:keepNext w:val="0"/>
              <w:keepLines/>
            </w:pPr>
            <w:r>
              <w:rPr>
                <w:b w:val="0"/>
              </w:rPr>
              <w:t>Fill race / order unknown</w:t>
            </w:r>
          </w:p>
        </w:tc>
        <w:tc>
          <w:tcPr>
            <w:tcW w:type="dxa" w:w="4680"/>
            <w:vAlign w:val="top"/>
          </w:tcPr>
          <w:p>
            <w:pPr>
              <w:pStyle w:val="TableText"/>
              <w:keepNext w:val="0"/>
              <w:keepLines/>
            </w:pPr>
            <w:r>
              <w:rPr>
                <w:b w:val="0"/>
              </w:rPr>
              <w:t>Tahan reservasi, rekonsiliasi, single executor; jangan mengganti order hanya karena timeout.</w:t>
            </w:r>
          </w:p>
        </w:tc>
      </w:tr>
      <w:tr>
        <w:trPr>
          <w:cantSplit/>
        </w:trPr>
        <w:tc>
          <w:tcPr>
            <w:tcW w:type="dxa" w:w="4680"/>
            <w:vAlign w:val="top"/>
          </w:tcPr>
          <w:p>
            <w:pPr>
              <w:pStyle w:val="TableText"/>
              <w:keepNext w:val="0"/>
              <w:keepLines/>
            </w:pPr>
            <w:r>
              <w:rPr>
                <w:b w:val="0"/>
              </w:rPr>
              <w:t>Resolution/dispute</w:t>
            </w:r>
          </w:p>
        </w:tc>
        <w:tc>
          <w:tcPr>
            <w:tcW w:type="dxa" w:w="4680"/>
            <w:vAlign w:val="top"/>
          </w:tcPr>
          <w:p>
            <w:pPr>
              <w:pStyle w:val="TableText"/>
              <w:keepNext w:val="0"/>
              <w:keepLines/>
            </w:pPr>
            <w:r>
              <w:rPr>
                <w:b w:val="0"/>
              </w:rPr>
              <w:t>Baca aturan per kontrak, invalidasi perubahan, tandai dispute; outcome label hanya final sesuai resolusi.</w:t>
            </w:r>
          </w:p>
        </w:tc>
      </w:tr>
      <w:tr>
        <w:trPr>
          <w:cantSplit/>
        </w:trPr>
        <w:tc>
          <w:tcPr>
            <w:tcW w:type="dxa" w:w="4680"/>
            <w:vAlign w:val="top"/>
          </w:tcPr>
          <w:p>
            <w:pPr>
              <w:pStyle w:val="TableText"/>
              <w:keepNext w:val="0"/>
              <w:keepLines/>
            </w:pPr>
            <w:r>
              <w:rPr>
                <w:b w:val="0"/>
              </w:rPr>
              <w:t>Prompt injection / dependency</w:t>
            </w:r>
          </w:p>
        </w:tc>
        <w:tc>
          <w:tcPr>
            <w:tcW w:type="dxa" w:w="4680"/>
            <w:vAlign w:val="top"/>
          </w:tcPr>
          <w:p>
            <w:pPr>
              <w:pStyle w:val="TableText"/>
              <w:keepNext w:val="0"/>
              <w:keepLines/>
            </w:pPr>
            <w:r>
              <w:rPr>
                <w:b w:val="0"/>
              </w:rPr>
              <w:t>Pisahkan data dari instruksi dan signer; minimalkan tool serta dependency aktif; scan artefak dan uji serangan.</w:t>
            </w:r>
          </w:p>
        </w:tc>
      </w:tr>
      <w:tr>
        <w:trPr>
          <w:cantSplit/>
        </w:trPr>
        <w:tc>
          <w:tcPr>
            <w:tcW w:type="dxa" w:w="4680"/>
            <w:vAlign w:val="top"/>
          </w:tcPr>
          <w:p>
            <w:pPr>
              <w:pStyle w:val="TableText"/>
              <w:keepNext w:val="0"/>
              <w:keepLines/>
            </w:pPr>
            <w:r>
              <w:rPr>
                <w:b w:val="0"/>
              </w:rPr>
              <w:t>Venue blocked / offline</w:t>
            </w:r>
          </w:p>
        </w:tc>
        <w:tc>
          <w:tcPr>
            <w:tcW w:type="dxa" w:w="4680"/>
            <w:vAlign w:val="top"/>
          </w:tcPr>
          <w:p>
            <w:pPr>
              <w:pStyle w:val="TableText"/>
              <w:keepNext w:val="0"/>
              <w:keepLines/>
            </w:pPr>
            <w:r>
              <w:rPr>
                <w:b w:val="0"/>
              </w:rPr>
              <w:t>Gate akses, state BLOCKED/DEGRADED, jangan janjikan flatten; tampilkan posisi dan aksi yang belum berhasil.</w:t>
            </w:r>
          </w:p>
        </w:tc>
      </w:tr>
      <w:tr>
        <w:trPr>
          <w:cantSplit/>
        </w:trPr>
        <w:tc>
          <w:tcPr>
            <w:tcW w:type="dxa" w:w="4680"/>
            <w:vAlign w:val="top"/>
          </w:tcPr>
          <w:p>
            <w:pPr>
              <w:pStyle w:val="TableText"/>
              <w:keepNext w:val="0"/>
              <w:keepLines/>
            </w:pPr>
            <w:r>
              <w:rPr>
                <w:b w:val="0"/>
              </w:rPr>
              <w:t>VPS gagal / secret bocor</w:t>
            </w:r>
          </w:p>
        </w:tc>
        <w:tc>
          <w:tcPr>
            <w:tcW w:type="dxa" w:w="4680"/>
            <w:vAlign w:val="top"/>
          </w:tcPr>
          <w:p>
            <w:pPr>
              <w:pStyle w:val="TableText"/>
              <w:keepNext w:val="0"/>
              <w:keepLines/>
            </w:pPr>
            <w:r>
              <w:rPr>
                <w:b w:val="0"/>
              </w:rPr>
              <w:t>Backup terenkripsi di luar host, restore drill, dedicated wallet, prosedur rotasi dan penghentian entry.</w:t>
            </w:r>
          </w:p>
        </w:tc>
      </w:tr>
    </w:tbl>
    <w:p>
      <w:pPr>
        <w:spacing w:after="60" w:before="0" w:line="240" w:lineRule="auto"/>
      </w:pPr>
      <w:r>
        <w:rPr>
          <w:sz w:val="4"/>
        </w:rPr>
      </w:r>
    </w:p>
    <w:p>
      <w:pPr/>
      <w:r>
        <w:t>Biaya bulanan = VPS tambahan + database/backup + data berlisensi + Σ(token input × rate input + token output × rate output) + biaya transaksi aktual. Rate card dan kurs disimpan beserta tanggal; rancangan tidak mengarang harga provider atau anggaran pemilik. Pisahkan biaya trading dari biaya operasi agar strategi bermodal kecil tidak tampak menguntungkan hanya karena biaya AI diabaikan.</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BD5DF"/>
          <w:left w:val="single" w:sz="4" w:color="CBD5DF"/>
          <w:bottom w:val="single" w:sz="4" w:color="CBD5DF"/>
          <w:right w:val="single" w:sz="4" w:color="CBD5DF"/>
          <w:insideH w:val="single" w:sz="4" w:color="CBD5DF"/>
          <w:insideV w:val="single" w:sz="4" w:color="CBD5DF"/>
        </w:tblBorders>
      </w:tblPr>
      <w:tblGrid>
        <w:gridCol w:w="4680"/>
        <w:gridCol w:w="4680"/>
      </w:tblGrid>
      <w:tr>
        <w:trPr>
          <w:cantSplit/>
          <w:tblHeader/>
        </w:trPr>
        <w:tc>
          <w:tcPr>
            <w:tcW w:type="dxa" w:w="4680"/>
            <w:vAlign w:val="top"/>
            <w:shd w:fill="E8EEF5" w:val="clear"/>
          </w:tcPr>
          <w:p>
            <w:pPr>
              <w:pStyle w:val="TableText"/>
              <w:keepNext w:val="0"/>
              <w:keepLines/>
            </w:pPr>
            <w:r>
              <w:rPr>
                <w:b/>
              </w:rPr>
              <w:t>Keputusan belum diketahui</w:t>
            </w:r>
          </w:p>
        </w:tc>
        <w:tc>
          <w:tcPr>
            <w:tcW w:type="dxa" w:w="4680"/>
            <w:vAlign w:val="top"/>
            <w:shd w:fill="E8EEF5" w:val="clear"/>
          </w:tcPr>
          <w:p>
            <w:pPr>
              <w:pStyle w:val="TableText"/>
              <w:keepNext w:val="0"/>
              <w:keepLines/>
            </w:pPr>
            <w:r>
              <w:rPr>
                <w:b/>
              </w:rPr>
              <w:t>Default / waktu penyelesaian</w:t>
            </w:r>
          </w:p>
        </w:tc>
      </w:tr>
      <w:tr>
        <w:trPr>
          <w:cantSplit/>
        </w:trPr>
        <w:tc>
          <w:tcPr>
            <w:tcW w:type="dxa" w:w="4680"/>
            <w:vAlign w:val="top"/>
          </w:tcPr>
          <w:p>
            <w:pPr>
              <w:pStyle w:val="TableText"/>
              <w:keepNext w:val="0"/>
              <w:keepLines/>
            </w:pPr>
            <w:r>
              <w:rPr>
                <w:b w:val="0"/>
              </w:rPr>
              <w:t>Dana, wallet dan budget AI</w:t>
            </w:r>
          </w:p>
        </w:tc>
        <w:tc>
          <w:tcPr>
            <w:tcW w:type="dxa" w:w="4680"/>
            <w:vAlign w:val="top"/>
          </w:tcPr>
          <w:p>
            <w:pPr>
              <w:pStyle w:val="TableText"/>
              <w:keepNext w:val="0"/>
              <w:keepLines/>
            </w:pPr>
            <w:r>
              <w:rPr>
                <w:b w:val="0"/>
              </w:rPr>
              <w:t>Tidak diisi dalam dokumen; wajib mandat pemilik sebelum LIVE/riset berbayar terjadwal.</w:t>
            </w:r>
          </w:p>
        </w:tc>
      </w:tr>
      <w:tr>
        <w:trPr>
          <w:cantSplit/>
        </w:trPr>
        <w:tc>
          <w:tcPr>
            <w:tcW w:type="dxa" w:w="4680"/>
            <w:vAlign w:val="top"/>
          </w:tcPr>
          <w:p>
            <w:pPr>
              <w:pStyle w:val="TableText"/>
              <w:keepNext w:val="0"/>
              <w:keepLines/>
            </w:pPr>
            <w:r>
              <w:rPr>
                <w:b w:val="0"/>
              </w:rPr>
              <w:t>Akun dan lokasi eksekusi eligible</w:t>
            </w:r>
          </w:p>
        </w:tc>
        <w:tc>
          <w:tcPr>
            <w:tcW w:type="dxa" w:w="4680"/>
            <w:vAlign w:val="top"/>
          </w:tcPr>
          <w:p>
            <w:pPr>
              <w:pStyle w:val="TableText"/>
              <w:keepNext w:val="0"/>
              <w:keepLines/>
            </w:pPr>
            <w:r>
              <w:rPr>
                <w:b w:val="0"/>
              </w:rPr>
              <w:t>Verifikasi persyaratan pengguna serta geoblock dari host aktual sebelum LIVE; hasil IP bukan izin hukum menyeluruh.</w:t>
            </w:r>
          </w:p>
        </w:tc>
      </w:tr>
      <w:tr>
        <w:trPr>
          <w:cantSplit/>
        </w:trPr>
        <w:tc>
          <w:tcPr>
            <w:tcW w:type="dxa" w:w="4680"/>
            <w:vAlign w:val="top"/>
          </w:tcPr>
          <w:p>
            <w:pPr>
              <w:pStyle w:val="TableText"/>
              <w:keepNext w:val="0"/>
              <w:keepLines/>
            </w:pPr>
            <w:r>
              <w:rPr>
                <w:b w:val="0"/>
              </w:rPr>
              <w:t>SDK patch, tipe signer dan aset konversi</w:t>
            </w:r>
          </w:p>
        </w:tc>
        <w:tc>
          <w:tcPr>
            <w:tcW w:type="dxa" w:w="4680"/>
            <w:vAlign w:val="top"/>
          </w:tcPr>
          <w:p>
            <w:pPr>
              <w:pStyle w:val="TableText"/>
              <w:keepNext w:val="0"/>
              <w:keepLines/>
            </w:pPr>
            <w:r>
              <w:rPr>
                <w:b w:val="0"/>
              </w:rPr>
              <w:t>Pin dan uji di G0. pUSD diperlakukan aset tersendiri; funding/conversion tetap aksi terpisah di luar v1.</w:t>
            </w:r>
          </w:p>
        </w:tc>
      </w:tr>
      <w:tr>
        <w:trPr>
          <w:cantSplit/>
        </w:trPr>
        <w:tc>
          <w:tcPr>
            <w:tcW w:type="dxa" w:w="4680"/>
            <w:vAlign w:val="top"/>
          </w:tcPr>
          <w:p>
            <w:pPr>
              <w:pStyle w:val="TableText"/>
              <w:keepNext w:val="0"/>
              <w:keepLines/>
            </w:pPr>
            <w:r>
              <w:rPr>
                <w:b w:val="0"/>
              </w:rPr>
              <w:t>Kategori pasar dan sumber berita</w:t>
            </w:r>
          </w:p>
        </w:tc>
        <w:tc>
          <w:tcPr>
            <w:tcW w:type="dxa" w:w="4680"/>
            <w:vAlign w:val="top"/>
          </w:tcPr>
          <w:p>
            <w:pPr>
              <w:pStyle w:val="TableText"/>
              <w:keepNext w:val="0"/>
              <w:keepLines/>
            </w:pPr>
            <w:r>
              <w:rPr>
                <w:b w:val="0"/>
              </w:rPr>
              <w:t>Allowlist kecil dengan resolusi jelas dan hak data yang sesuai; ditetapkan sebelum eksperimen pertama.</w:t>
            </w:r>
          </w:p>
        </w:tc>
      </w:tr>
      <w:tr>
        <w:trPr>
          <w:cantSplit/>
        </w:trPr>
        <w:tc>
          <w:tcPr>
            <w:tcW w:type="dxa" w:w="4680"/>
            <w:vAlign w:val="top"/>
          </w:tcPr>
          <w:p>
            <w:pPr>
              <w:pStyle w:val="TableText"/>
              <w:keepNext w:val="0"/>
              <w:keepLines/>
            </w:pPr>
            <w:r>
              <w:rPr>
                <w:b w:val="0"/>
              </w:rPr>
              <w:t>Kapasitas VPS/domain</w:t>
            </w:r>
          </w:p>
        </w:tc>
        <w:tc>
          <w:tcPr>
            <w:tcW w:type="dxa" w:w="4680"/>
            <w:vAlign w:val="top"/>
          </w:tcPr>
          <w:p>
            <w:pPr>
              <w:pStyle w:val="TableText"/>
              <w:keepNext w:val="0"/>
              <w:keepLines/>
            </w:pPr>
            <w:r>
              <w:rPr>
                <w:b w:val="0"/>
              </w:rPr>
              <w:t>Ukur resource bebas, kompatibilitas runtime dan akses privat sebelum menentukan deployment.</w:t>
            </w:r>
          </w:p>
        </w:tc>
      </w:tr>
      <w:tr>
        <w:trPr>
          <w:cantSplit/>
        </w:trPr>
        <w:tc>
          <w:tcPr>
            <w:tcW w:type="dxa" w:w="4680"/>
            <w:vAlign w:val="top"/>
          </w:tcPr>
          <w:p>
            <w:pPr>
              <w:pStyle w:val="TableText"/>
              <w:keepNext w:val="0"/>
              <w:keepLines/>
            </w:pPr>
            <w:r>
              <w:rPr>
                <w:b w:val="0"/>
              </w:rPr>
              <w:t>Bukti profit / parameter terbaik</w:t>
            </w:r>
          </w:p>
        </w:tc>
        <w:tc>
          <w:tcPr>
            <w:tcW w:type="dxa" w:w="4680"/>
            <w:vAlign w:val="top"/>
          </w:tcPr>
          <w:p>
            <w:pPr>
              <w:pStyle w:val="TableText"/>
              <w:keepNext w:val="0"/>
              <w:keepLines/>
            </w:pPr>
            <w:r>
              <w:rPr>
                <w:b w:val="0"/>
              </w:rPr>
              <w:t>Belum ada; hanya dapat diisi setelah eksperimen prospektif dan laporan biaya/ketidakpastian.</w:t>
            </w:r>
          </w:p>
        </w:tc>
      </w:tr>
    </w:tbl>
    <w:p>
      <w:pPr>
        <w:spacing w:after="60" w:before="0" w:line="240" w:lineRule="auto"/>
      </w:pPr>
      <w:r>
        <w:rPr>
          <w:sz w:val="4"/>
        </w:rPr>
      </w:r>
    </w:p>
    <w:p>
      <w:pPr>
        <w:pStyle w:val="SourceText"/>
      </w:pPr>
      <w:r>
        <w:t xml:space="preserve">Sumber: </w:t>
      </w:r>
      <w:hyperlink r:id="rId24">
        <w:r>
          <w:rPr>
            <w:color w:val="2E74B5"/>
            <w:u w:val="single"/>
          </w:rPr>
          <w:t>S10</w:t>
        </w:r>
      </w:hyperlink>
      <w:r>
        <w:t xml:space="preserve"> · </w:t>
      </w:r>
      <w:hyperlink r:id="rId25">
        <w:r>
          <w:rPr>
            <w:color w:val="2E74B5"/>
            <w:u w:val="single"/>
          </w:rPr>
          <w:t>S18</w:t>
        </w:r>
      </w:hyperlink>
    </w:p>
    <w:p>
      <w:pPr/>
      <w:r>
        <w:t>Definition of Done dokumen: cakupan dan kebutuhan konsisten dengan Blueprint; setiap requirement memiliki owner modul dan test ID; semua temuan faktual memiliki sumber. Definition of Done implementasi berbeda: kode, laporan tes, observasi, dan mandat yang diminta gate benar-benar tersedia.</w:t>
      </w:r>
    </w:p>
    <w:p>
      <w:pPr>
        <w:pStyle w:val="Heading1"/>
      </w:pPr>
      <w:r>
        <w:t>P10. Referensi dan cara membaca bukti</w:t>
      </w:r>
    </w:p>
    <w:p>
      <w:pPr/>
      <w:r>
        <w:t>Sumber primer diperiksa untuk baseline 8 September 2026. Tautan kode dipin pada commit riset. Dokumentasi API dapat berubah; implementasi wajib mengulang contract check sebelum LIVE. Angka limit, SLO, roadmap dan gate dalam dokumen ini merupakan keputusan desain, bukan angka hasil penelitian atau benchmark.</w:t>
      </w:r>
    </w:p>
    <w:p>
      <w:pPr>
        <w:pStyle w:val="SourceText"/>
        <w:keepLines/>
      </w:pPr>
      <w:r>
        <w:rPr>
          <w:b/>
        </w:rPr>
        <w:t xml:space="preserve">S01  </w:t>
      </w:r>
      <w:hyperlink r:id="rId11">
        <w:r>
          <w:rPr>
            <w:color w:val="2E74B5"/>
            <w:u w:val="single"/>
          </w:rPr>
          <w:t>CloddsBot — LICENSE dan basis fork</w:t>
        </w:r>
      </w:hyperlink>
      <w:r>
        <w:t xml:space="preserve"> — GitHub / alsk1992. Lisensi MIT mengizinkan penggunaan dan modifikasi dengan kewajiban mempertahankan pemberitahuan lisensi/copyright.</w:t>
      </w:r>
    </w:p>
    <w:p>
      <w:pPr>
        <w:pStyle w:val="SourceText"/>
        <w:keepLines/>
      </w:pPr>
      <w:r>
        <w:rPr>
          <w:b/>
        </w:rPr>
        <w:t xml:space="preserve">S02  </w:t>
      </w:r>
      <w:hyperlink r:id="rId12">
        <w:r>
          <w:rPr>
            <w:color w:val="2E74B5"/>
            <w:u w:val="single"/>
          </w:rPr>
          <w:t>CloddsBot — package.json</w:t>
        </w:r>
      </w:hyperlink>
      <w:r>
        <w:t xml:space="preserve"> — GitHub / alsk1992. Versi 1.9.0; Node &gt;=22, TypeScript dan sejumlah integrasi. Package bukan bukti semua strategi siap LIVE.</w:t>
      </w:r>
    </w:p>
    <w:p>
      <w:pPr>
        <w:pStyle w:val="SourceText"/>
        <w:keepLines/>
      </w:pPr>
      <w:r>
        <w:rPr>
          <w:b/>
        </w:rPr>
        <w:t xml:space="preserve">S03  </w:t>
      </w:r>
      <w:hyperlink r:id="rId13">
        <w:r>
          <w:rPr>
            <w:color w:val="2E74B5"/>
            <w:u w:val="single"/>
          </w:rPr>
          <w:t>CloddsBot — execution/index.ts</w:t>
        </w:r>
      </w:hyperlink>
      <w:r>
        <w:t xml:space="preserve"> — GitHub / alsk1992. Helper fee memakai negRisk untuk menghasilkan 25 atau 0 bps, termasuk fallback nol; perlu diganti untuk kontrak fee terkini.</w:t>
      </w:r>
    </w:p>
    <w:p>
      <w:pPr>
        <w:pStyle w:val="SourceText"/>
        <w:keepLines/>
      </w:pPr>
      <w:r>
        <w:rPr>
          <w:b/>
        </w:rPr>
        <w:t xml:space="preserve">S04  </w:t>
      </w:r>
      <w:hyperlink r:id="rId14">
        <w:r>
          <w:rPr>
            <w:color w:val="2E74B5"/>
            <w:u w:val="single"/>
          </w:rPr>
          <w:t>CloddsBot — hft-divergence/strategy.ts</w:t>
        </w:r>
      </w:hyperlink>
      <w:r>
        <w:t xml:space="preserve"> — GitHub / alsk1992. Jalur cancel/fallback dan close posisi memerlukan rekonsiliasi fill; close lokal setelah sellLimit tidak cukup membuktikan penjualan selesai.</w:t>
      </w:r>
    </w:p>
    <w:p>
      <w:pPr>
        <w:pStyle w:val="SourceText"/>
        <w:keepLines/>
      </w:pPr>
      <w:r>
        <w:rPr>
          <w:b/>
        </w:rPr>
        <w:t xml:space="preserve">S05  </w:t>
      </w:r>
      <w:hyperlink r:id="rId15">
        <w:r>
          <w:rPr>
            <w:color w:val="2E74B5"/>
            <w:u w:val="single"/>
          </w:rPr>
          <w:t>CloddsBot — trading-polymarket skill</w:t>
        </w:r>
      </w:hyperlink>
      <w:r>
        <w:t xml:space="preserve"> — GitHub / alsk1992. dryRun bergantung pada DRY_RUN === true dalam string; nilai unset bukan default paper yang seragam.</w:t>
      </w:r>
    </w:p>
    <w:p>
      <w:pPr>
        <w:pStyle w:val="SourceText"/>
        <w:keepLines/>
      </w:pPr>
      <w:r>
        <w:rPr>
          <w:b/>
        </w:rPr>
        <w:t xml:space="preserve">S06  </w:t>
      </w:r>
      <w:hyperlink r:id="rId16">
        <w:r>
          <w:rPr>
            <w:color w:val="2E74B5"/>
            <w:u w:val="single"/>
          </w:rPr>
          <w:t>CloddsBot — provider interface</w:t>
        </w:r>
      </w:hyperlink>
      <w:r>
        <w:t xml:space="preserve"> — GitHub / alsk1992. Antarmuka provider dasar ada; kontrak structured output/tool calls dan normalisasi base URL harus diuji untuk kebutuhan baru.</w:t>
      </w:r>
    </w:p>
    <w:p>
      <w:pPr>
        <w:pStyle w:val="SourceText"/>
        <w:keepLines/>
      </w:pPr>
      <w:r>
        <w:rPr>
          <w:b/>
        </w:rPr>
        <w:t xml:space="preserve">S07  </w:t>
      </w:r>
      <w:hyperlink r:id="rId26">
        <w:r>
          <w:rPr>
            <w:color w:val="2E74B5"/>
            <w:u w:val="single"/>
          </w:rPr>
          <w:t>CloddsBot — order persistence</w:t>
        </w:r>
      </w:hyperlink>
      <w:r>
        <w:t xml:space="preserve"> — GitHub / alsk1992. Persistence TWAP/bracket tersedia; belum menjadi bukti ledger eksekusi umum yang menjamin invariants rancangan ini.</w:t>
      </w:r>
    </w:p>
    <w:p>
      <w:pPr>
        <w:pStyle w:val="SourceText"/>
        <w:keepLines/>
      </w:pPr>
      <w:r>
        <w:rPr>
          <w:b/>
        </w:rPr>
        <w:t xml:space="preserve">S09  </w:t>
      </w:r>
      <w:hyperlink r:id="rId17">
        <w:r>
          <w:rPr>
            <w:color w:val="2E74B5"/>
            <w:u w:val="single"/>
          </w:rPr>
          <w:t>Polymarket — TypeScript client</w:t>
        </w:r>
      </w:hyperlink>
      <w:r>
        <w:t xml:space="preserve"> — Polymarket. Dokumentasi menunjuk @polymarket/client sebagai SDK TypeScript resmi dengan public/secure clients.</w:t>
      </w:r>
    </w:p>
    <w:p>
      <w:pPr>
        <w:pStyle w:val="SourceText"/>
        <w:keepLines/>
      </w:pPr>
      <w:r>
        <w:rPr>
          <w:b/>
        </w:rPr>
        <w:t xml:space="preserve">S10  </w:t>
      </w:r>
      <w:hyperlink r:id="rId24">
        <w:r>
          <w:rPr>
            <w:color w:val="2E74B5"/>
            <w:u w:val="single"/>
          </w:rPr>
          <w:t>Polymarket — pUSD</w:t>
        </w:r>
      </w:hyperlink>
      <w:r>
        <w:t xml:space="preserve"> — Polymarket. pUSD merupakan collateral trading pada dokumentasi terkini. Jalur konversi dan identitas aset harus dikonfirmasi pada deployment.</w:t>
      </w:r>
    </w:p>
    <w:p>
      <w:pPr>
        <w:pStyle w:val="SourceText"/>
        <w:keepLines/>
      </w:pPr>
      <w:r>
        <w:rPr>
          <w:b/>
        </w:rPr>
        <w:t xml:space="preserve">S12  </w:t>
      </w:r>
      <w:hyperlink r:id="rId27">
        <w:r>
          <w:rPr>
            <w:color w:val="2E74B5"/>
            <w:u w:val="single"/>
          </w:rPr>
          <w:t>Polymarket — fees</w:t>
        </w:r>
      </w:hyperlink>
      <w:r>
        <w:t xml:space="preserve"> — Polymarket. Fee dipengaruhi konfigurasi pasar dan harga; contoh taker C × feeRate × p × (1-p).</w:t>
      </w:r>
    </w:p>
    <w:p>
      <w:pPr>
        <w:pStyle w:val="SourceText"/>
        <w:keepLines/>
      </w:pPr>
      <w:r>
        <w:rPr>
          <w:b/>
        </w:rPr>
        <w:t xml:space="preserve">S15  </w:t>
      </w:r>
      <w:hyperlink r:id="rId18">
        <w:r>
          <w:rPr>
            <w:color w:val="2E74B5"/>
            <w:u w:val="single"/>
          </w:rPr>
          <w:t>Polymarket — order lifecycle</w:t>
        </w:r>
      </w:hyperlink>
      <w:r>
        <w:t xml:space="preserve"> — Polymarket. Order acceptance, matching dan settlement adalah tahap berbeda; trade CONFIRMED/FAILED berbeda dari MATCHED/MINED/RETRYING.</w:t>
      </w:r>
    </w:p>
    <w:p>
      <w:pPr>
        <w:pStyle w:val="SourceText"/>
        <w:keepLines/>
      </w:pPr>
      <w:r>
        <w:rPr>
          <w:b/>
        </w:rPr>
        <w:t xml:space="preserve">S18  </w:t>
      </w:r>
      <w:hyperlink r:id="rId25">
        <w:r>
          <w:rPr>
            <w:color w:val="2E74B5"/>
            <w:u w:val="single"/>
          </w:rPr>
          <w:t>Polymarket — geographic restrictions</w:t>
        </w:r>
      </w:hyperlink>
      <w:r>
        <w:t xml:space="preserve"> — Polymarket. Endpoint geoblock menilai IP request; hasilnya bukan bukti lengkap kelayakan akun atau pengguna.</w:t>
      </w:r>
    </w:p>
    <w:p>
      <w:pPr>
        <w:pStyle w:val="SourceText"/>
        <w:keepLines/>
      </w:pPr>
      <w:r>
        <w:rPr>
          <w:b/>
        </w:rPr>
        <w:t xml:space="preserve">S22  </w:t>
      </w:r>
      <w:hyperlink r:id="rId28">
        <w:r>
          <w:rPr>
            <w:color w:val="2E74B5"/>
            <w:u w:val="single"/>
          </w:rPr>
          <w:t>OWASP — LLM prompt injection prevention</w:t>
        </w:r>
      </w:hyperlink>
      <w:r>
        <w:t xml:space="preserve"> — OWASP. Konten eksternal tak tepercaya memerlukan pemisahan instruksi, izin minimal, validasi output dan pertahanan berlapis.</w:t>
      </w:r>
    </w:p>
    <w:p>
      <w:pPr>
        <w:pStyle w:val="SourceText"/>
        <w:keepLines/>
      </w:pPr>
      <w:r>
        <w:rPr>
          <w:b/>
        </w:rPr>
        <w:t xml:space="preserve">S23  </w:t>
      </w:r>
      <w:hyperlink r:id="rId19">
        <w:r>
          <w:rPr>
            <w:color w:val="2E74B5"/>
            <w:u w:val="single"/>
          </w:rPr>
          <w:t>Gneiting &amp; Raftery (2007) — Proper scoring rules</w:t>
        </w:r>
      </w:hyperlink>
      <w:r>
        <w:t xml:space="preserve"> — Journal of the American Statistical Association. Proper scoring rules mendukung evaluasi probabilitas; calibration dan sharpness lebih informatif daripada confidence verbal.</w:t>
      </w:r>
    </w:p>
    <w:p>
      <w:pPr>
        <w:pStyle w:val="SourceText"/>
        <w:keepLines/>
      </w:pPr>
      <w:r>
        <w:rPr>
          <w:b/>
        </w:rPr>
        <w:t xml:space="preserve">S24  </w:t>
      </w:r>
      <w:hyperlink r:id="rId21">
        <w:r>
          <w:rPr>
            <w:color w:val="2E74B5"/>
            <w:u w:val="single"/>
          </w:rPr>
          <w:t>Hyndman &amp; Athanasopoulos — Time series cross-validation</w:t>
        </w:r>
      </w:hyperlink>
      <w:r>
        <w:t xml:space="preserve"> — Forecasting: Principles and Practice, edisi 3. Rolling-origin evaluation mempertahankan urutan waktu; observasi masa depan tidak boleh menjadi input masa lalu.</w:t>
      </w:r>
    </w:p>
    <w:p>
      <w:pPr>
        <w:pStyle w:val="SourceText"/>
        <w:keepLines/>
      </w:pPr>
      <w:r>
        <w:rPr>
          <w:b/>
        </w:rPr>
        <w:t xml:space="preserve">S25  </w:t>
      </w:r>
      <w:hyperlink r:id="rId22">
        <w:r>
          <w:rPr>
            <w:color w:val="2E74B5"/>
            <w:u w:val="single"/>
          </w:rPr>
          <w:t>Kapoor &amp; Narayanan (2022) — Leakage and reproducibility</w:t>
        </w:r>
      </w:hyperlink>
      <w:r>
        <w:t xml:space="preserve"> — arXiv / penulis. Kebocoran data dapat menggelembungkan hasil ML; pemisahan data saja tidak mengatasi semua jalur leakage.</w:t>
      </w:r>
    </w:p>
    <w:p>
      <w:pPr>
        <w:pStyle w:val="SourceText"/>
        <w:keepLines/>
      </w:pPr>
      <w:r>
        <w:rPr>
          <w:b/>
        </w:rPr>
        <w:t xml:space="preserve">S26  </w:t>
      </w:r>
      <w:hyperlink r:id="rId20">
        <w:r>
          <w:rPr>
            <w:color w:val="2E74B5"/>
            <w:u w:val="single"/>
          </w:rPr>
          <w:t>Dimitriadis, Gneiting &amp; Jordan — Stable reliability diagrams</w:t>
        </w:r>
      </w:hyperlink>
      <w:r>
        <w:t xml:space="preserve"> — arXiv / penulis; PNAS 2021. Diagram reliabilitas dan kalibrasi probabilitas memerlukan estimasi serta ketidakpastian yang tepat.</w:t>
      </w:r>
    </w:p>
    <w:p>
      <w:pPr>
        <w:pStyle w:val="SourceText"/>
        <w:keepLines/>
      </w:pPr>
      <w:r>
        <w:rPr>
          <w:b/>
        </w:rPr>
        <w:t xml:space="preserve">S27  </w:t>
      </w:r>
      <w:hyperlink r:id="rId23">
        <w:r>
          <w:rPr>
            <w:color w:val="2E74B5"/>
            <w:u w:val="single"/>
          </w:rPr>
          <w:t>Bailey et al. — The probability of backtest overfitting</w:t>
        </w:r>
      </w:hyperlink>
      <w:r>
        <w:t xml:space="preserve"> — Penulis / makalah riset. Pemilihan strategi dari banyak backtest dapat menimbulkan selection bias; hasil terbaik bukan bukti edge masa depan.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PRD v1.0 • Baseline riset 08 Sep 2026</w:t>
      <w:tab/>
    </w:r>
    <w: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POLYMARKET AI TRADER  /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1"/>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b w:val="0"/>
      <w:color w:val="2336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b w:val="0"/>
      <w:color w:val="607788"/>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Calibri" w:hAnsi="Calibri" w:eastAsia="Calibri"/>
      <w:b w:val="0"/>
      <w:color w:val="60778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2" w:lineRule="auto"/>
      <w:contextualSpacing/>
    </w:pPr>
    <w:rPr>
      <w:rFonts w:ascii="Calibri" w:hAnsi="Calibri" w:eastAsia="Calibri"/>
      <w:b/>
      <w:color w:val="163C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eastAsia="Calibri"/>
      <w:b w:val="0"/>
      <w:i/>
      <w:iCs/>
      <w:color w:val="526779"/>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eastAsia="Calibri"/>
      <w:b w:val="0"/>
      <w:bCs/>
      <w:color w:val="5267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59" w:lineRule="auto" w:after="60" w:before="0"/>
    </w:pPr>
    <w:rPr>
      <w:rFonts w:ascii="Calibri" w:hAnsi="Calibri" w:eastAsia="Calibri"/>
      <w:b w:val="0"/>
      <w:color w:val="233646"/>
      <w:sz w:val="20"/>
    </w:rPr>
  </w:style>
  <w:style w:type="paragraph" w:customStyle="1" w:styleId="SourceText">
    <w:name w:val="Source Text"/>
    <w:pPr>
      <w:spacing w:line="264" w:lineRule="auto" w:after="80" w:before="80"/>
    </w:pPr>
    <w:rPr>
      <w:rFonts w:ascii="Calibri" w:hAnsi="Calibri" w:eastAsia="Calibri"/>
      <w:b w:val="0"/>
      <w:color w:val="233646"/>
      <w:sz w:val="18"/>
    </w:rPr>
  </w:style>
  <w:style w:type="paragraph" w:customStyle="1" w:styleId="CodeText">
    <w:name w:val="Code Text"/>
    <w:pPr>
      <w:spacing w:line="252" w:lineRule="auto" w:after="80" w:before="0"/>
    </w:pPr>
    <w:rPr>
      <w:rFonts w:ascii="Consolas" w:hAnsi="Consolas" w:eastAsia="Consolas"/>
      <w:b w:val="0"/>
      <w:color w:val="233646"/>
      <w:sz w:val="18"/>
    </w:rPr>
  </w:style>
  <w:style w:type="paragraph" w:customStyle="1" w:styleId="MetaText">
    <w:name w:val="Meta Text"/>
    <w:pPr>
      <w:spacing w:line="276" w:lineRule="auto" w:after="80" w:before="0"/>
    </w:pPr>
    <w:rPr>
      <w:rFonts w:ascii="Calibri" w:hAnsi="Calibri" w:eastAsia="Calibri"/>
      <w:b w:val="0"/>
      <w:color w:val="2336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lsk1992/CloddsBot/blob/715fd4a6c06b4cd5bb38eee225dd09b3bc95c5e8/LICENSE" TargetMode="External"/><Relationship Id="rId12" Type="http://schemas.openxmlformats.org/officeDocument/2006/relationships/hyperlink" Target="https://github.com/alsk1992/CloddsBot/blob/715fd4a6c06b4cd5bb38eee225dd09b3bc95c5e8/package.json" TargetMode="External"/><Relationship Id="rId13" Type="http://schemas.openxmlformats.org/officeDocument/2006/relationships/hyperlink" Target="https://github.com/alsk1992/CloddsBot/blob/715fd4a6c06b4cd5bb38eee225dd09b3bc95c5e8/src/execution/index.ts" TargetMode="External"/><Relationship Id="rId14" Type="http://schemas.openxmlformats.org/officeDocument/2006/relationships/hyperlink" Target="https://github.com/alsk1992/CloddsBot/blob/715fd4a6c06b4cd5bb38eee225dd09b3bc95c5e8/src/strategies/hft-divergence/strategy.ts" TargetMode="External"/><Relationship Id="rId15" Type="http://schemas.openxmlformats.org/officeDocument/2006/relationships/hyperlink" Target="https://github.com/alsk1992/CloddsBot/blob/715fd4a6c06b4cd5bb38eee225dd09b3bc95c5e8/src/skills/bundled/trading-polymarket/index.ts" TargetMode="External"/><Relationship Id="rId16" Type="http://schemas.openxmlformats.org/officeDocument/2006/relationships/hyperlink" Target="https://github.com/alsk1992/CloddsBot/blob/715fd4a6c06b4cd5bb38eee225dd09b3bc95c5e8/src/providers/index.ts" TargetMode="External"/><Relationship Id="rId17" Type="http://schemas.openxmlformats.org/officeDocument/2006/relationships/hyperlink" Target="https://docs.polymarket.com/getting-started/typescript" TargetMode="External"/><Relationship Id="rId18" Type="http://schemas.openxmlformats.org/officeDocument/2006/relationships/hyperlink" Target="https://docs.polymarket.com/concepts/order-lifecycle" TargetMode="External"/><Relationship Id="rId19" Type="http://schemas.openxmlformats.org/officeDocument/2006/relationships/hyperlink" Target="https://sites.stat.washington.edu/raftery/Research/PDF/Gneiting2007jasa.pdf" TargetMode="External"/><Relationship Id="rId20" Type="http://schemas.openxmlformats.org/officeDocument/2006/relationships/hyperlink" Target="https://arxiv.org/abs/2008.03033" TargetMode="External"/><Relationship Id="rId21" Type="http://schemas.openxmlformats.org/officeDocument/2006/relationships/hyperlink" Target="https://otexts.com/fpp3/tscv.html" TargetMode="External"/><Relationship Id="rId22" Type="http://schemas.openxmlformats.org/officeDocument/2006/relationships/hyperlink" Target="https://arxiv.org/abs/2207.07048" TargetMode="External"/><Relationship Id="rId23" Type="http://schemas.openxmlformats.org/officeDocument/2006/relationships/hyperlink" Target="https://www.davidhbailey.com/dhbpapers/backtest-prob.pdf" TargetMode="External"/><Relationship Id="rId24" Type="http://schemas.openxmlformats.org/officeDocument/2006/relationships/hyperlink" Target="https://docs.polymarket.com/concepts/pusd" TargetMode="External"/><Relationship Id="rId25" Type="http://schemas.openxmlformats.org/officeDocument/2006/relationships/hyperlink" Target="https://docs.polymarket.com/api-reference/geoblock" TargetMode="External"/><Relationship Id="rId26" Type="http://schemas.openxmlformats.org/officeDocument/2006/relationships/hyperlink" Target="https://github.com/alsk1992/CloddsBot/blob/715fd4a6c06b4cd5bb38eee225dd09b3bc95c5e8/src/execution/order-persistence.ts" TargetMode="External"/><Relationship Id="rId27" Type="http://schemas.openxmlformats.org/officeDocument/2006/relationships/hyperlink" Target="https://docs.polymarket.com/trading/fees" TargetMode="External"/><Relationship Id="rId28" Type="http://schemas.openxmlformats.org/officeDocument/2006/relationships/hyperlink" Target="https://cheatsheetseries.owasp.org/cheatsheets/LLM_Prompt_Injection_Preven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Polymarket AI Trader — PRD</dc:title>
  <dc:subject>Rancangan fork CloddsBot berdasarkan riset primer</dc:subject>
  <dc:creator>Disusun untuk Crypty</dc:creator>
  <cp:keywords>Polymarket, CloddsBot, PRD, Blueprint, AI, risk, execution</cp:keywords>
  <dc:description>Rancangan v1.0; bukan bukti implementasi, audit keamanan lengkap, atau profitabilitas.</dc:description>
  <cp:lastModifiedBy/>
  <cp:revision>1</cp:revision>
  <dcterms:created xsi:type="dcterms:W3CDTF">2013-12-23T23:15:00Z</dcterms:created>
  <dcterms:modified xsi:type="dcterms:W3CDTF">2013-12-23T23:15:00Z</dcterms:modified>
  <cp:category/>
</cp:coreProperties>
</file>