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Revision Package v2</w:t>
      </w:r>
    </w:p>
    <w:p>
      <w:pPr>
        <w:spacing w:after="40"/>
        <w:jc w:val="center"/>
      </w:pPr>
      <w:r>
        <w:rPr>
          <w:i/>
          <w:iCs/>
          <w:color w:val="404040"/>
          <w:sz w:val="24"/>
          <w:szCs w:val="24"/>
        </w:rPr>
        <w:t xml:space="preserve">Ensemble QK-LSTM Memory Model for Forecasting Stock Market Prices</w:t>
      </w:r>
    </w:p>
    <w:p>
      <w:pPr>
        <w:spacing w:after="240"/>
        <w:jc w:val="center"/>
      </w:pPr>
      <w:r>
        <w:rPr>
          <w:color w:val="595959"/>
          <w:sz w:val="19"/>
          <w:szCs w:val="19"/>
        </w:rPr>
        <w:t xml:space="preserve">Checked against the latest manuscript upload · PREVIOUS → NEW for every outstanding item</w:t>
      </w:r>
    </w:p>
    <w:p>
      <w:pPr>
        <w:spacing w:after="120"/>
      </w:pPr>
      <w:r>
        <w:rPr>
          <w:b/>
          <w:bCs/>
          <w:color w:val="1E7B34"/>
          <w:sz w:val="20"/>
          <w:szCs w:val="20"/>
        </w:rPr>
        <w:t xml:space="preserve">Already fixed in this version (no action): </w:t>
      </w:r>
      <w:r>
        <w:rPr>
          <w:sz w:val="20"/>
          <w:szCs w:val="20"/>
        </w:rPr>
        <w:t xml:space="preserve">✓ Train/test split now matches baseline (Section 1.4).  ✓ MAE/RMSE/MAPE/R² formulas added (Section 2.9).</w:t>
      </w:r>
    </w:p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Below: red strikethrough = remove, green underline = insert. Locations use the current manuscript’s section numbers.</w:t>
      </w:r>
    </w:p>
    <w:p>
      <w:pPr>
        <w:pStyle w:val="Heading1"/>
      </w:pPr>
      <w:r>
        <w:t xml:space="preserve">Part 1 — Text Revisions (Previous → New)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1 — Objective 1.3.2.4 — wrong domain (“precipitation”)  [HIGH PRIORITY]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1.3.2, Specific Objectives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1.3.2.4 To evaluate the performance of the ensemble QK-LSTM model on univariate precipitation time series forecasting.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1.3.2.4 To evaluate the performance of the ensemble QK-LSTM model on univariate stock price time series forecasting for the VN-Index and VN-30 constituent stocks.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This is a stock-market study; “precipitation” was carried over from the adviser’s template and contradicts the entire paper. Most visible unfixed error — fix first.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2 — Purpose — subject-verb agreement (two errors in one sentence)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1.2, Purpose and Description (first two sentences)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This study aims to develops an ensemble Quantum Kernel Long Short-Term Memory (QK-LSTM) model... the model will effectively captures complex nonlinear patterns...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This study aims to develop an ensemble Quantum Kernel Long Short-Term Memory (QK-LSTM) model... the model effectively captures complex nonlinear patterns...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“aims to develops” → “aims to develop”; “will effectively captures” → “effectively captures.” Basic grammar errors a panel will notice immediately.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3 — Data source citation does not match the actual data used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2.1.1, VN-Index Dataset (last sentence)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All data referenced in this study were obtained from vietstock.vn, Vietnam's official financial data platform used by the baseline study [7], with coverage from listing dates through April 1, 2021.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All historical price data used in this study were obtained from Investing.com’s VN-Index and VN-30 historical data exports, covering listing dates through April 1, 2021. While the baseline study [7] sourced its data from vietstock.vn, the closing-price series were cross-checked against the baseline period to ensure comparability.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Your EDA statistics, the 2,804-session count, and the day-by-day closing prices in the manuscript match the Investing.com CSV exactly — not vietstock.vn. CONFIRM your real source before inserting; if you truly used vietstock.vn, re-verify the numbers instead.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4 — EDA — SMA window inconsistency (20-day vs. the 10-day used everywhere else)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2.2, Exploratory Data Analysis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Missing values arose only from the indicator warm-up windows: the first 19 sessions lack a 20-day SMA and the first 14 lack a 14-day RSI, totalling 33 missing cells out of 22,432.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Missing values arose only from the indicator warm-up windows: the first 9 sessions lack a 10-day SMA and the first 14 lack a 14-day RSI, totalling 23 missing cells out of 22,432.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Section 2.3.2.1 states a 10-day SMA was used (and Table 4 shows the first SMA on the 10th session), so “20-day SMA” here is wrong. Recomputed: 9 + 14 = 23 missing cells.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5 — SMA worked example — 11 values listed but only 10 summed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2.3.2.1, Example of 10-day SMA calculation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Closing prices: 517.05 + 532.53 + 534.46 + 533.34 + 520.90 + 515.06 + 498.31 + 508.61 + 512.33 + 505.42 + 487.13 = 5178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Closing prices: 517.05 + 532.53 + 534.46 + 533.34 + 520.90 + 515.06 + 498.31 + 508.61 + 512.33 + 505.42 = 5178.01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Verified against your CSV: 5178 (and the answer 517.8) is the sum of the FIRST 10 sessions only. The extra “+ 487.13” (the 11th session) was never actually included in the total.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6 — MACD — 12-period vs. 26-period descriptions are swapped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2.4.3, MACD worked example (the two bullet points)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● 12-period EMA (Fast Line) represents longer-term momentum. It roughly corresponds to one month of trading data... ● 26-period EMA (Slow Line) represents short-term momentum. It roughly corresponds to two weeks of trading data...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● 12-period EMA (Fast Line) represents shorter-term momentum. It roughly corresponds to two weeks of trading data... ● 26-period EMA (Slow Line) represents longer-term momentum. It roughly corresponds to one month of trading data...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The shorter window (12) is the fast/short-term line; the longer window (26) is the slow/long-term line. The “Fast/Slow Line” labels were already correct — only the descriptions were reversed.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7 — MACD — incorrect definition of EMA(t−1)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2.4.3, EMA recursive formula ‘Where’ list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Where: EMA(t−1) = is the previous closing price.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Where: EMA(t−1) = the previous period’s EMA value; Close(t−1) = the previous closing price.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EMA(t−1) is the prior EMA output, not the prior closing price — two distinct terms in the recursive formula that were conflated.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8 — MACD worked example — first-person “we” (Item 12: third-person POV)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2.4.3, just before the EMA bullets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To calculate the first MACD to illustrate how the formula works, we are going to use the closing price of 05/01/2010, which is 532.53, and an initial starting value is required, which is set to 0.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To calculate the first MACD and illustrate how the formula works, the closing price of 05/01/2010 (532.53) is used, with an initial starting value set to 0.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Item 12 requires third-person POV throughout; this is the only first-person lapse remaining in the manuscript.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9 — EarlyStopping — “batches” should be “epochs”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2.7, Model Training Process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...if the model’s errors don’t get smaller for 8 batches in a row, training stops early, and the model goes back to its best version.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...if the model’s errors don’t get smaller for 8 epochs in a row, training stops early, and the model goes back to its best version.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Keras’ patience parameter (and the baseline’s own description) counts epochs without improvement, not batches within an epoch.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10 — Figure reference mismatch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2.4, opening sentence (just before the Figure 2 caption, p.9)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Figure 1 illustrates the flow of information within an LSTM (Long Short-Term Memory) cell used in recurrent neural networks for time-series prediction tasks.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Figure 2 illustrates the flow of information within an LSTM (Long Short-Term Memory) cell used in recurrent neural networks for time-series prediction tasks.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Figure 1 is already the Methodology Flowchart (p.4). The image being described is captioned “Figure 2: LSTM ARCHITECTURE,” so the reference must say Figure 2.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11 — Leftover “validation set” wording — now contradicts your fixed split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Two spots: (a) Section 2 opening paragraph; (b) paragraph after the Figure 4 caption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(a) ...Ridge regression serving as the meta-learner to optimally weight the quantum and classical outputs based on validation data.   (b) Their out-of-fold predictions on the validation set are used to train the Ridge regression meta-learner.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(a) ...Ridge regression serving as the meta-learner to optimally weight the quantum and classical outputs based on out-of-fold cross-validation predictions from the training window.   (b) Their out-of-fold predictions, generated through time-series cross-validation within the training window, are used to train the Ridge regression meta-learner.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You fixed the split (no separate validation year) in Section 1.4 and the main 2.6 paragraph, but these two spots still say “validation set/data.” Update them so the whole paper is consistent.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12 — Evaluation metrics — add the sentence linking them to the baseline (Item 9, bullet 7)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2.8/2.9, immediately after the Aj formula and before the Error Metrics block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[The Aj formula is shown, and the MAE/RMSE/MAPE/R² formulas now follow, but nothing connects them to how the baseline study itself was evaluated.]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Insert: “The accuracy metric Aj follows the baseline study’s [7] own evaluation approach exactly, enabling direct comparison against its reported 93% figure. To give a fuller picture of forecast quality, this study supplements Aj with four standard error metrics not reported in [7] — MAE, RMSE, MAPE, and R² — defined below.”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The methodology overview promises these metrics and ties the work to the baseline; this one sentence satisfies the panel’s instruction to show how the metrics ‘apply to your baseline study.’</w:t>
      </w:r>
    </w:p>
    <w:p>
      <w:pPr>
        <w:shd w:fill="EDEDED" w:val="clear"/>
        <w:spacing w:after="80" w:before="320"/>
      </w:pPr>
      <w:r>
        <w:rPr>
          <w:b/>
          <w:bCs/>
          <w:color w:val="1F4E79"/>
          <w:sz w:val="24"/>
          <w:szCs w:val="24"/>
        </w:rPr>
        <w:t xml:space="preserve">Fix 13 — R² formula — denominator likely wrong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Location: Section 2.9, Error Metrics block</w:t>
      </w:r>
    </w:p>
    <w:p>
      <w:pPr>
        <w:spacing w:after="40"/>
      </w:pPr>
      <w:r>
        <w:rPr>
          <w:b/>
          <w:bCs/>
          <w:color w:val="C00000"/>
          <w:sz w:val="19"/>
          <w:szCs w:val="19"/>
        </w:rPr>
        <w:t xml:space="preserve">PREVIOUS:</w:t>
      </w:r>
    </w:p>
    <w:p>
      <w:pPr>
        <w:shd w:fill="FCE4E4" w:val="clear"/>
        <w:spacing w:after="100"/>
        <w:ind w:left="260"/>
      </w:pPr>
      <w:r>
        <w:rPr>
          <w:strike/>
          <w:color w:val="C00000"/>
          <w:sz w:val="20"/>
          <w:szCs w:val="20"/>
        </w:rPr>
        <w:t xml:space="preserve">R² = 1 − [ Σ(yᵢ − ŷᵢ)² / Σ(yᵢ − ŷᵢ)² ]   (numerator and denominator identical)</w:t>
      </w:r>
    </w:p>
    <w:p>
      <w:pPr>
        <w:spacing w:after="40"/>
      </w:pPr>
      <w:r>
        <w:rPr>
          <w:b/>
          <w:bCs/>
          <w:color w:val="1E7B34"/>
          <w:sz w:val="19"/>
          <w:szCs w:val="19"/>
        </w:rPr>
        <w:t xml:space="preserve">NEW:</w:t>
      </w:r>
    </w:p>
    <w:p>
      <w:pPr>
        <w:shd w:fill="E2EFDA" w:val="clear"/>
        <w:spacing w:after="100"/>
        <w:ind w:left="260"/>
      </w:pPr>
      <w:r>
        <w:rPr>
          <w:color w:val="1E7B34"/>
          <w:sz w:val="20"/>
          <w:szCs w:val="20"/>
          <w:u w:val="single"/>
        </w:rPr>
        <w:t xml:space="preserve">R² = 1 − [ Σ(yᵢ − ŷᵢ)² / Σ(yᵢ − ȳ)² ]   (denominator uses the mean ȳ, not the prediction ŷ)</w:t>
      </w:r>
    </w:p>
    <w:p>
      <w:pPr>
        <w:spacing w:after="140"/>
      </w:pPr>
      <w:r>
        <w:rPr>
          <w:b/>
          <w:bCs/>
          <w:sz w:val="19"/>
          <w:szCs w:val="19"/>
        </w:rPr>
        <w:t xml:space="preserve">Why: </w:t>
      </w:r>
      <w:r>
        <w:rPr>
          <w:sz w:val="19"/>
          <w:szCs w:val="19"/>
        </w:rPr>
        <w:t xml:space="preserve">As extracted, both halves of the fraction read (yᵢ−ŷᵢ)², which would make R² always 0. The denominator must be the total sum of squares about the mean ȳ. Verify the diacritic in your Word file.</w:t>
      </w:r>
    </w:p>
    <w:p>
      <w:pPr>
        <w:pStyle w:val="Heading1"/>
        <w:spacing w:after="160" w:before="400"/>
      </w:pPr>
      <w:r>
        <w:t xml:space="preserve">Part 2 — Section 2 Renumbering (one full pass fixes all duplicates)</w:t>
      </w:r>
    </w:p>
    <w:p>
      <w:pPr>
        <w:spacing w:after="160"/>
      </w:pPr>
      <w:r>
        <w:rPr>
          <w:sz w:val="20"/>
          <w:szCs w:val="20"/>
        </w:rPr>
        <w:t xml:space="preserve">This round’s partial renumbering left duplicate 2.2 / 2.3 / 2.4 headings and orphaned 2.10.x subsections under a 2.8 parent. Apply this scheme top to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(wrong)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Should be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Acquisition / VN-Index / VN-30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 / 2.1.1 / 2.1.2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2.1 / 2.1.1 / 2.1.2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(unchanged)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Exploratory Data Analysis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2.2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(unchanged)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Pre-processing (parent)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2.3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(unchanged)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Inspection &amp; Error Handling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2.3.1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2.3.1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(unchanged)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Computation of Technical Indicators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2.3.2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2.3.2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(unchanged)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 / RSI / MACD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2.3.2.1 / 2.4.2 / 2.4.3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2.3.2.1 / 2.3.2.2 / 2.3.2.3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RSI &amp; MACD wrongly jumped to 2.4.x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Merging and Filtering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2.2 (duplicate!)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2.3.3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Was reusing 2.2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Preparing Final Dataset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2.3.4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2.3.4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(unchanged)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Hierarchical Time Series Modeling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2.3 (duplicate!)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2.4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Was reusing 2.3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LSTM: The Baseline Approach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2.4 (duplicate!)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2.5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Was reusing 2.4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Classical LSTM Equations (gates)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2.4.1.x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2.5.1.x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Follows 2.5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Quantum Kernel LSTM (QK-LSTM)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2.6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Shift +1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/ Quantum Kernel Function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2.5.1.x / 2.5.2.x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2.6.1.x / 2.6.2.x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Shift +1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Ensemble Model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2.7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Shift +1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Training Process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2.8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Shift +1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 Metrics (parent)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2.9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Shift +1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Metrics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2.10.1 (orphaned!)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2.9.1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Was 2.10.1 under a 2.8 parent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Diebold-Mariano test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2.10.2 (orphaned!)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2.9.2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Was 2.10.2 under a 2.8 parent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Prototype System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B34"/>
                <w:sz w:val="18"/>
                <w:szCs w:val="18"/>
              </w:rPr>
              <w:t xml:space="preserve">2.10</w:t>
            </w:r>
          </w:p>
        </w:tc>
        <w:tc>
          <w:tcPr>
            <w:tcW w:type="dxa" w:w="2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6"/>
                <w:szCs w:val="16"/>
              </w:rPr>
              <w:t xml:space="preserve">Never renumbered after the shift</w:t>
            </w:r>
          </w:p>
        </w:tc>
      </w:tr>
    </w:tbl>
    <w:p>
      <w:pPr>
        <w:pStyle w:val="Heading1"/>
        <w:spacing w:after="160" w:before="400"/>
      </w:pPr>
      <w:r>
        <w:t xml:space="preserve">Part 3 — “Propose/Proposed” Cleanup (Item 12)</w:t>
      </w:r>
    </w:p>
    <w:p>
      <w:pPr>
        <w:spacing w:after="160"/>
      </w:pPr>
      <w:r>
        <w:rPr>
          <w:sz w:val="20"/>
          <w:szCs w:val="20"/>
        </w:rPr>
        <w:t xml:space="preserve">None of these were changed yet. Use Find &amp; Replace with these as a model — swap for “this study,” “the model,” “the framework,” or “the developed approach” by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PREVIOUS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 Background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...this study proposes an Ensemble Quantum Kernel LSTM (QK-LSTM) model...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...this study develops an Ensemble Quantum Kernel LSTM (QK-LSTM) model...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1.1 Background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...the proposed approach aims to enhance prediction accuracy...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...this approach aims to enhance prediction accuracy...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 Purpose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The proposed ensemble model combines quantum kernel methods...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The ensemble model developed in this study combines quantum kernel methods...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 Scope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It proposes an ensemble Quantum Kernel Long Short-Term Memory (QK-LSTM) model...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This study develops an ensemble Quantum Kernel Long Short-Term Memory (QK-LSTM) model...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QK-LSTM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The proposed framework embeds quantum kernel operations...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This framework embeds quantum kernel operations...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 Ensemble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...this study proposes a stacking ensemble that integrates...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...this study uses a stacking ensemble that integrates...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 Ensemble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In the proposed ensemble architecture, two base learners...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In this ensemble architecture, two base learners...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Figure 4 caption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trike/>
                <w:color w:val="C00000"/>
                <w:sz w:val="18"/>
                <w:szCs w:val="18"/>
              </w:rPr>
              <w:t xml:space="preserve">...architecture of the proposed Ensemble QK-LSTM model.</w:t>
            </w:r>
          </w:p>
        </w:tc>
        <w:tc>
          <w:tcPr>
            <w:tcW w:type="dxa" w:w="38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7B34"/>
                <w:sz w:val="18"/>
                <w:szCs w:val="18"/>
                <w:u w:val="single"/>
              </w:rPr>
              <w:t xml:space="preserve">...architecture of the Ensemble QK-LSTM model.</w:t>
            </w:r>
          </w:p>
        </w:tc>
      </w:tr>
    </w:tbl>
    <w:p>
      <w:pPr>
        <w:pStyle w:val="Heading1"/>
        <w:spacing w:after="160" w:before="400"/>
      </w:pPr>
      <w:r>
        <w:t xml:space="preserve">Part 4 — Needs Your Decision / Adviser Sign-off</w:t>
      </w:r>
    </w:p>
    <w:p>
      <w:pPr>
        <w:spacing w:after="160"/>
      </w:pPr>
      <w:r>
        <w:rPr>
          <w:sz w:val="20"/>
          <w:szCs w:val="20"/>
        </w:rPr>
        <w:t xml:space="preserve">These need a judgment call or work beyond a text swap, so no fixed wording is proposed — only the issue and what resolves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CCS Concept (Item 2): verify “Ensemble Methods” sits under “Machine learning algorithms” vs. “Machine learning approaches” at dl.acm.org/ccs.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Reference Table 1 misalignment (Item 11): the topics in Table 1 for refs [13]–[19] do not match the papers actually listed at those numbers — everything is shifted by one. Walk through manually and insert the missing source or renumber.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Journal-source ratio (Item 11): ~62–63% of 32 refs are journals, below the 80% requirement. Replace some conference/book/arXiv sources ([1],[8],[16],[17],[20]–[26]).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Recency (Item 11): several refs predate the 5-year window (Hochreiter &amp; Schmidhuber 1997, Wilder 1978, Bollinger 2002, Pascanu 2013). Confirm with Mr. Aborde whether foundational works are exempt.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Reference [7] authors (Item 11): currently “T. Phuoc, P. T. K. Anh, P. H. Tam, et al.” — only four authors total, so list all four (add Chien V. Nguyen) per IEEE style.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VN-30 EDA (Item 9, bullet 5): only asserted, not shown. Add a short summary table of distribution statistics across the 30 stocks, or 2–3 representative examples.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Colab feasibility (Item 9, bullet 10): add an explicit sentence confirming PennyLane/Qiskit quantum simulation was tested and runs in Google Colab.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Numeric gate example (Item 9, bullets 4 &amp; 8): add one small worked example for a single LSTM/QK-LSTM gate, matching the depth of the SMA/RSI/MACD examples.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Tense consistency (Item 12): Section 1.2 is future tense (“will be employed”) while Section 2 is past tense. Pick one — use future/present for planned work or past for completed work — and apply throughout.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Caption formatting (Item 10): unify all figure captions to one style (e.g., “Figure 1. Title” sentence case with a period), currently mixed with “Figure 2 : TITLE” all-caps.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Ensemble QK-LSTM — Revision Package v2 (current manuscript)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2026-06-21T02:48:30.140Z</dcterms:created>
  <dcterms:modified xsi:type="dcterms:W3CDTF">2026-06-21T02:48:30.153Z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