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调研任务：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密码体系调研报告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1、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常用密码体系调研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：拉取清单，调研常用密码体系的量子威胁度研究水平，选课题研究，如 RSA 密码等对称加密方法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2、量子密码调研设计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：罗列不同场景下使用的密码成 list 并设计调研课题，一个月内完成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3、后量子密码学研究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kern w:val="0"/>
          <w:sz w:val="21"/>
          <w:szCs w:val="21"/>
          <w:shd w:val="clear" w:fill="FFFFFF"/>
          <w:lang w:val="en-US" w:eastAsia="zh-CN" w:bidi="ar"/>
        </w:rPr>
        <w:t>：梳理关于其状态、现有算法问题及现有密码鲁棒性的思考提纲，与对方团队进一步沟通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背景与目的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调研内容与方法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详细调研方案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预期成果与沟通计划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风险评估与时间安排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1. 背景与目的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量子计算技术的突破性进展（如IBM的433量子比特处理器、谷歌的量子霸权实验）对传统密码体系构成颠覆性威胁。根据NIST预测，2030年后量子计算机可能破解现有非对称加密算法（如RSA、ECC），全球每年因量子攻击导致的数据泄露风险损失预计超3000亿美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本报告目标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评估威胁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：量化分析RSA、AES等常用密码算法在量子攻击下的脆弱性；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设计对策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：针对金融、政务等场景设计量子密码技术方案，并规划一个月内可落地的研究课题；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推动协同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：梳理后量子密码学技术瓶颈，形成产学研协作攻关路线。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2. 调研内容与方法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2.1 常用密码体系调研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目标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：建立密码体系量子威胁等级清单，筛选高风险算法作为研究重点。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数据收集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：拉取清单（RSA-2048/3072、ECC-P256、AES-128/256、SHA-256、SM2/SM4等）；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文献分析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：结合NIST SP 800-208、中国信通院《量子安全白皮书》等权威报告，量化威胁等级；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专题研究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：聚焦RSA与AES的量子攻击模拟（基于Qiskit/Grover算法）。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2.2 量子密码调研设计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目标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：分场景设计量子密码方案，完成1个月内可行性验证。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场景划分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：金融交易、政务通信、物联网、能源网络（参考合肥量子城域网案例）；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技术匹配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金融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：QKD（量子密钥分发）+ PQC（后量子算法）混合加密；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政务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：量子安全VPN + 动态密钥轮换（参考苹果PQ3协议）；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物联网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：轻量级QKD芯片（如国盾量子燃气表方案）。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2.3 后量子密码学研究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目标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：识别算法瓶颈，构建鲁棒性评估框架。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现状分析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：NIST后量子密码标准化进展（ML-KEM、SLH-DSA等算法）；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问题识别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：格基算法的高计算复杂度、与国密SM2的兼容性冲突；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鲁棒性评估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：抗量子攻击能力、硬件适配性、标准化成熟度三维度分析。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3. 详细调研方案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3.1 常用密码体系调研方案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步骤一：拉取清单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0"/>
        <w:gridCol w:w="3321"/>
      </w:tblGrid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算法清单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非对称加密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RSA-2048/3072、ECC-P256、SM2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对称加密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AES-128/256、ChaCha20、SM4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哈希函数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SHA-256、SHA-3、SM3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步骤二：量子威胁度评估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1462"/>
        <w:gridCol w:w="1460"/>
        <w:gridCol w:w="3041"/>
      </w:tblGrid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算法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量子威胁等级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攻击模型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破解时间（量子环境）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RSA-2048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极高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Shor算法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秒（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4099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量子比特）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ECC-P256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极高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Shor算法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同RSA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AES-128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中等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Grover算法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安全性降至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位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SHA-256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量子随机行走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碰撞效率提升至经典算法的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2/3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步骤三：选题研究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RSA专题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：探索3072位以上密钥扩展方案（需验证性能损耗）；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AES替代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：测试ChaCha20-Poly1305在量子环境下的抗攻击能力。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3.2 量子密码调研设计方案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场景与技术匹配</w:t>
      </w:r>
    </w:p>
    <w:tbl>
      <w:tblPr>
        <w:tblStyle w:val="5"/>
        <w:tblW w:w="87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3229"/>
        <w:gridCol w:w="3035"/>
        <w:gridCol w:w="1216"/>
      </w:tblGrid>
      <w:tr>
        <w:tc>
          <w:tcPr>
            <w:tcW w:w="124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场景</w:t>
            </w:r>
          </w:p>
        </w:tc>
        <w:tc>
          <w:tcPr>
            <w:tcW w:w="3229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技术方案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研究课题</w:t>
            </w:r>
          </w:p>
        </w:tc>
        <w:tc>
          <w:tcPr>
            <w:tcW w:w="1216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时间节点</w:t>
            </w:r>
          </w:p>
        </w:tc>
      </w:tr>
      <w:tr>
        <w:tc>
          <w:tcPr>
            <w:tcW w:w="124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金融交易</w:t>
            </w:r>
          </w:p>
        </w:tc>
        <w:tc>
          <w:tcPr>
            <w:tcW w:w="3229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QKD + ML-KEM（NIST标准）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密钥协商效率与抗中间人攻击验证</w:t>
            </w:r>
          </w:p>
        </w:tc>
        <w:tc>
          <w:tcPr>
            <w:tcW w:w="1216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第1-2周</w:t>
            </w:r>
          </w:p>
        </w:tc>
      </w:tr>
      <w:tr>
        <w:tc>
          <w:tcPr>
            <w:tcW w:w="124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政务通信</w:t>
            </w:r>
          </w:p>
        </w:tc>
        <w:tc>
          <w:tcPr>
            <w:tcW w:w="3229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量子安全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 xml:space="preserve">VPN +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动态密钥轮换（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PQ3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跨域密钥分发与身份认证协议设计</w:t>
            </w:r>
          </w:p>
        </w:tc>
        <w:tc>
          <w:tcPr>
            <w:tcW w:w="1216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第2-3周</w:t>
            </w:r>
          </w:p>
        </w:tc>
      </w:tr>
      <w:tr>
        <w:tc>
          <w:tcPr>
            <w:tcW w:w="124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物联网</w:t>
            </w:r>
          </w:p>
        </w:tc>
        <w:tc>
          <w:tcPr>
            <w:tcW w:w="3229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轻量级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QKD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芯片（功耗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&lt;1W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低功耗协议优化与硬件集成测试</w:t>
            </w:r>
          </w:p>
        </w:tc>
        <w:tc>
          <w:tcPr>
            <w:tcW w:w="1216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第3-4周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调研计划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第1周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：场景需求分析 + 技术选型（参考中电信量子城域网案例）；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第2周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：搭建QKD-PQC混合加密实验环境（基于OpenQKD平台）；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第3周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：性能测试（密钥生成速率、抗攻击能力）；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第4周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：撰写报告并组织专家评审。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3.3 后量子密码学调研思考提纲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当前状态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国际标准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：NIST已标准化ML-KEM（基于格）、ML-DSA（数字签名）算法；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国内进展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：国密局推动SM9后量子化改造，但尚未形成统一标准。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存在问题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安全性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：格基算法参数选择不当可能导致密钥泄露（参考2023年Kyber侧信道攻击事件）；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效率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：Classic McEliece算法密钥长度达1MB，难以适配移动设备；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兼容性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：NIST标准与SM2/SM9的国密体系存在协议冲突。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鲁棒性讨论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62"/>
        <w:gridCol w:w="1672"/>
        <w:gridCol w:w="1252"/>
        <w:gridCol w:w="1734"/>
      </w:tblGrid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算法类型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抗量子攻击能力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硬件适配性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标准化成熟度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格基（ML-KEM）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高（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NIST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认证）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哈希（SLH-DSA）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中（草案阶段）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编码（Classic McEliece）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极高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极低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低（未标准化）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沟通提纲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技术路线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：优先支持格基还是编码路线？如何平衡安全性与效率？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迁移路径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：政务/金融先行试点，还是全行业推广？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国际合作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：如何参与NIST标准制定并维护自主可控？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4. 预期成果与沟通计划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成果输出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量子威胁评估报告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：含RSA/AES攻击模拟数据与优化建议；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量子密码课题列表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：3个场景技术方案 + 1个月内可行性验证结果；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后量子密码讨论提纲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：算法瓶颈清单 + 产学研协作路线图。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沟通机制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内部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：每周五例会同步进展（重点讨论QKD密钥生成速率瓶颈）；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外部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：与国盾量子、中电信量子集团召开2次专题会（议题：标准兼容性、试点落地）。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5. 风险评估与时间安排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风险应对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4924"/>
      </w:tblGrid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风险类型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 w:bidi="ar"/>
              </w:rPr>
              <w:t>应对措施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数据不全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预留2周补充NIST最新草案（如FIPS 206）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技术迭代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订阅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arXiv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IACR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平台追踪量子算法突破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协同障碍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提前签署</w:t>
            </w:r>
            <w:r>
              <w:rPr>
                <w:rStyle w:val="17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 w:bidi="ar"/>
              </w:rPr>
              <w:t>NDA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协议，明确知识产权归属与利益分配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6. 结论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量子计算对密码体系的威胁已迫在眉睫，需采取“三阶段”应对策略：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短期（1-2年）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：在金融、政务领域部署QKD+PQC混合加密（参考苹果PQ3协议）；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中期（3-5年）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：推动国产后量子算法（如SM2-PQC）标准化与芯片量产；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长期（5-10年）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：构建“量子-经典”融合的安全基础设施（如中电信量子密话网络）。</w:t>
      </w:r>
    </w:p>
    <w:p>
      <w:pPr>
        <w:pStyle w:val="18"/>
        <w:keepNext w:val="0"/>
        <w:keepLines w:val="0"/>
        <w:widowControl/>
        <w:suppressLineNumbers w:val="0"/>
        <w:rPr>
          <w:rStyle w:val="16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pStyle w:val="1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  <w:r>
        <w:rPr>
          <w:rStyle w:val="16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引用文献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量子计算对现代密码体系安全性影响及现状分析（中移智库，2024）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量子计算对现有密码体系威胁（2024）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量子密码协议研究现状与未来发展（中国工程科学，2022）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中国工商银行吕仲涛：量子计算对银行密码算法的威胁及对策（2022）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2000位以上RSA加密技术深度解析（2024）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量子危机提前到来？中国学者用量子计算破译RSA！（2024）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11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后量子密码发展现状研究（中移智库，2024）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13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中电信量子集团：量子密码全面解决方案（2024）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14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: 量子密码技术典型应用场景解读（科盾量子，2024）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Style w:val="17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15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 xml:space="preserve"> NIST SP 800-208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《后量子密码迁移指南》（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2024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Style w:val="17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16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中国信通院《量子安全白皮书》（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2025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Style w:val="17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17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苹果公司《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PQ3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协议技术白皮书》（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2024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Style w:val="17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18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国盾量子《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QKD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在能源网络中的应用案例》（</w:t>
      </w:r>
      <w:r>
        <w:rPr>
          <w:rStyle w:val="17"/>
          <w:rFonts w:hint="eastAsia" w:asciiTheme="minorEastAsia" w:hAnsiTheme="minorEastAsia" w:eastAsiaTheme="minorEastAsia" w:cstheme="minorEastAsia"/>
          <w:sz w:val="21"/>
          <w:szCs w:val="21"/>
        </w:rPr>
        <w:t>2023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FBE98"/>
    <w:multiLevelType w:val="multilevel"/>
    <w:tmpl w:val="9BFFBE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9E66CE43"/>
    <w:multiLevelType w:val="multilevel"/>
    <w:tmpl w:val="9E66CE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A9ED2474"/>
    <w:multiLevelType w:val="multilevel"/>
    <w:tmpl w:val="A9ED2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F4FFF0FA"/>
    <w:multiLevelType w:val="multilevel"/>
    <w:tmpl w:val="F4FFF0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BBEAA0A"/>
    <w:multiLevelType w:val="multilevel"/>
    <w:tmpl w:val="FBBEA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5">
    <w:nsid w:val="FDEEE9DF"/>
    <w:multiLevelType w:val="multilevel"/>
    <w:tmpl w:val="FDEEE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FEEE2F19"/>
    <w:multiLevelType w:val="multilevel"/>
    <w:tmpl w:val="FEEE2F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FF7E7918"/>
    <w:multiLevelType w:val="multilevel"/>
    <w:tmpl w:val="FF7E7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FF7EBE78"/>
    <w:multiLevelType w:val="multilevel"/>
    <w:tmpl w:val="FF7EB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9">
    <w:nsid w:val="2EC0D1D7"/>
    <w:multiLevelType w:val="multilevel"/>
    <w:tmpl w:val="2EC0D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0">
    <w:nsid w:val="37FF1C33"/>
    <w:multiLevelType w:val="multilevel"/>
    <w:tmpl w:val="37FF1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1">
    <w:nsid w:val="67F487C8"/>
    <w:multiLevelType w:val="multilevel"/>
    <w:tmpl w:val="67F48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2">
    <w:nsid w:val="7CDE6D80"/>
    <w:multiLevelType w:val="multilevel"/>
    <w:tmpl w:val="7CDE6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DCCE"/>
    <w:rsid w:val="5D1B14F9"/>
    <w:rsid w:val="79FB4C0A"/>
    <w:rsid w:val="EFDFDCCE"/>
    <w:rsid w:val="F9E94FFB"/>
    <w:rsid w:val="FFFFA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4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helvetica" w:hAnsi="helvetica" w:eastAsia="helvetica" w:cs="helvetica"/>
      <w:kern w:val="0"/>
      <w:sz w:val="26"/>
      <w:szCs w:val="26"/>
      <w:lang w:val="en-US" w:eastAsia="zh-CN" w:bidi="ar"/>
    </w:rPr>
  </w:style>
  <w:style w:type="character" w:customStyle="1" w:styleId="12">
    <w:name w:val="s1"/>
    <w:basedOn w:val="6"/>
    <w:uiPriority w:val="0"/>
    <w:rPr>
      <w:rFonts w:ascii="menlo" w:hAnsi="menlo" w:eastAsia="menlo" w:cs="menlo"/>
      <w:sz w:val="18"/>
      <w:szCs w:val="18"/>
    </w:rPr>
  </w:style>
  <w:style w:type="character" w:customStyle="1" w:styleId="13">
    <w:name w:val="s2"/>
    <w:basedOn w:val="6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4">
    <w:name w:val="p5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5">
    <w:name w:val="p6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6">
    <w:name w:val="s4"/>
    <w:basedOn w:val="6"/>
    <w:uiPriority w:val="0"/>
    <w:rPr>
      <w:rFonts w:ascii="helvetica" w:hAnsi="helvetica" w:eastAsia="helvetica" w:cs="helvetica"/>
      <w:sz w:val="26"/>
      <w:szCs w:val="26"/>
    </w:rPr>
  </w:style>
  <w:style w:type="character" w:customStyle="1" w:styleId="17">
    <w:name w:val="s3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8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1194</Words>
  <Characters>1266</Characters>
  <Lines>0</Lines>
  <Paragraphs>0</Paragraphs>
  <TotalTime>758</TotalTime>
  <ScaleCrop>false</ScaleCrop>
  <LinksUpToDate>false</LinksUpToDate>
  <CharactersWithSpaces>1329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2025-02-25T23:43:00Z</dcterms:created>
  <dc:creator>Crystal-Tensor</dc:creator>
  <cp:lastModifiedBy>Crystal-Tensor</cp:lastModifiedBy>
  <dcterms:modified xsi:type="dcterms:W3CDTF">2025-03-08T13:15:51Z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F8AF9FE5C4FFF73ABE74BD67741B6F0B_41</vt:lpwstr>
  </property>
</Properties>
</file>