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FFCC"/>
  <w:body>
    <w:p w:rsidR="00E52D0E" w:rsidRPr="00343306" w:rsidRDefault="00E52D0E" w:rsidP="00E52D0E">
      <w:pPr>
        <w:pStyle w:val="Title"/>
        <w:rPr>
          <w:rFonts w:eastAsia="Times New Roman"/>
          <w:sz w:val="28"/>
          <w:szCs w:val="28"/>
        </w:rPr>
      </w:pPr>
      <w:bookmarkStart w:id="0" w:name="_GoBack"/>
      <w:r w:rsidRPr="00343306">
        <w:rPr>
          <w:noProof/>
          <w:sz w:val="28"/>
          <w:szCs w:val="28"/>
        </w:rPr>
        <w:drawing>
          <wp:anchor distT="0" distB="0" distL="114300" distR="114300" simplePos="0" relativeHeight="251659264" behindDoc="0" locked="0" layoutInCell="1" allowOverlap="1" wp14:anchorId="6226BA0C" wp14:editId="02BC3727">
            <wp:simplePos x="0" y="0"/>
            <wp:positionH relativeFrom="column">
              <wp:posOffset>-267970</wp:posOffset>
            </wp:positionH>
            <wp:positionV relativeFrom="paragraph">
              <wp:posOffset>-90805</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43306">
        <w:rPr>
          <w:rFonts w:eastAsia="Times New Roman"/>
          <w:sz w:val="28"/>
          <w:szCs w:val="28"/>
        </w:rPr>
        <w:t>Euflexxa</w:t>
      </w:r>
      <w:proofErr w:type="spellEnd"/>
      <w:r w:rsidRPr="00343306">
        <w:rPr>
          <w:rFonts w:eastAsia="Times New Roman"/>
          <w:sz w:val="28"/>
          <w:szCs w:val="28"/>
        </w:rPr>
        <w:t xml:space="preserve"> Injection: Insights and Perspectives from Medical Professionals at Crystal Radiology</w:t>
      </w:r>
      <w:bookmarkEnd w:id="0"/>
      <w:r w:rsidR="00343306" w:rsidRPr="00343306">
        <w:rPr>
          <w:rFonts w:eastAsia="Times New Roman"/>
          <w:sz w:val="28"/>
          <w:szCs w:val="28"/>
        </w:rPr>
        <w:t xml:space="preserve">. </w:t>
      </w:r>
      <w:r w:rsidR="00343306" w:rsidRPr="00343306">
        <w:rPr>
          <w:rFonts w:ascii="Times New Roman" w:eastAsia="Times New Roman" w:hAnsi="Times New Roman" w:cs="Times New Roman"/>
          <w:sz w:val="28"/>
          <w:szCs w:val="28"/>
        </w:rPr>
        <w:t xml:space="preserve">(02) 8315 8292  </w:t>
      </w:r>
    </w:p>
    <w:p w:rsidR="00E52D0E" w:rsidRDefault="00E52D0E" w:rsidP="00E52D0E">
      <w:pPr>
        <w:pStyle w:val="Heading3"/>
      </w:pPr>
    </w:p>
    <w:p w:rsidR="00E52D0E" w:rsidRPr="00ED54BA" w:rsidRDefault="00ED54BA" w:rsidP="00ED54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2F6863F" wp14:editId="1688E0C0">
            <wp:simplePos x="0" y="0"/>
            <wp:positionH relativeFrom="column">
              <wp:posOffset>0</wp:posOffset>
            </wp:positionH>
            <wp:positionV relativeFrom="paragraph">
              <wp:posOffset>1905</wp:posOffset>
            </wp:positionV>
            <wp:extent cx="2800350" cy="2800350"/>
            <wp:effectExtent l="0" t="0" r="0" b="0"/>
            <wp:wrapSquare wrapText="bothSides"/>
            <wp:docPr id="1" name="Picture 1" descr="C:\Users\LUCKNOW PRINTERS\AppData\Local\Packages\Microsoft.Windows.Photos_8wekyb3d8bbwe\TempState\ShareServiceTempFolder\Euflexxa Injection Insights and Perspectives from Medical Professionals at Crystal Radiology.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Euflexxa Injection Insights and Perspectives from Medical Professionals at Crystal Radiology. .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D0E" w:rsidRPr="00343306">
        <w:rPr>
          <w:b/>
          <w:bCs/>
          <w:sz w:val="24"/>
          <w:szCs w:val="24"/>
        </w:rPr>
        <w:t xml:space="preserve">Introduction to </w:t>
      </w:r>
      <w:proofErr w:type="spellStart"/>
      <w:r w:rsidR="00E52D0E" w:rsidRPr="00343306">
        <w:rPr>
          <w:b/>
          <w:bCs/>
          <w:sz w:val="24"/>
          <w:szCs w:val="24"/>
        </w:rPr>
        <w:t>Euflexxa</w:t>
      </w:r>
      <w:proofErr w:type="spellEnd"/>
      <w:r w:rsidR="00E52D0E" w:rsidRPr="00343306">
        <w:rPr>
          <w:b/>
          <w:bCs/>
          <w:sz w:val="24"/>
          <w:szCs w:val="24"/>
        </w:rPr>
        <w:t xml:space="preserve"> Injection Therapy</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 xml:space="preserve">For individuals suffering from knee osteoarthritis, </w:t>
      </w: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offers a medical treatment that closely resembles the natural, healthy hyaluronic acid (HA) found in the knee. The synovial fluid of the joints contains HA, which works as a lubricant and shock absorber for the joints. Medical professionals mainly use </w:t>
      </w: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to treat knee pain caused by osteoarthritis.</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helps OA patients in two distinct ways, setting it apart from other HA injections for this joint disease. First, it effectively lubricates and cushions the joint, enhancing </w:t>
      </w:r>
      <w:hyperlink r:id="rId8" w:history="1">
        <w:r w:rsidRPr="00ED54BA">
          <w:rPr>
            <w:rStyle w:val="Hyperlink"/>
            <w:rFonts w:ascii="Times New Roman" w:eastAsia="Times New Roman" w:hAnsi="Times New Roman" w:cs="Times New Roman"/>
          </w:rPr>
          <w:t>shock absorption</w:t>
        </w:r>
      </w:hyperlink>
      <w:r w:rsidRPr="00996987">
        <w:rPr>
          <w:rFonts w:ascii="Times New Roman" w:eastAsia="Times New Roman" w:hAnsi="Times New Roman" w:cs="Times New Roman"/>
        </w:rPr>
        <w:t xml:space="preserve">. Second, </w:t>
      </w: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reduces inflammation and pain in the affected joint, protecting the cartilage and promoting the production of natural HA.</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 xml:space="preserve">Each </w:t>
      </w: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treatment requires three injections administered over three consecutive weeks. Repetitive </w:t>
      </w: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treatment has been proven to be well-tolerated for an additional six months. It’s best to consult with your doctor to schedule another course of </w:t>
      </w: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if necessary.</w:t>
      </w:r>
    </w:p>
    <w:p w:rsidR="00E52D0E" w:rsidRPr="00343306" w:rsidRDefault="00E52D0E" w:rsidP="00E52D0E">
      <w:pPr>
        <w:pStyle w:val="Heading3"/>
        <w:rPr>
          <w:sz w:val="24"/>
          <w:szCs w:val="24"/>
        </w:rPr>
      </w:pPr>
      <w:proofErr w:type="spellStart"/>
      <w:r w:rsidRPr="00343306">
        <w:rPr>
          <w:sz w:val="24"/>
          <w:szCs w:val="24"/>
        </w:rPr>
        <w:t>Euflexxa</w:t>
      </w:r>
      <w:proofErr w:type="spellEnd"/>
      <w:r w:rsidRPr="00343306">
        <w:rPr>
          <w:sz w:val="24"/>
          <w:szCs w:val="24"/>
        </w:rPr>
        <w:t xml:space="preserve"> Injection Techniques and Best Practices</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The</w:t>
      </w:r>
      <w:r w:rsidRPr="00996987">
        <w:rPr>
          <w:rFonts w:ascii="Times New Roman" w:eastAsia="Times New Roman" w:hAnsi="Times New Roman" w:cs="Times New Roman"/>
        </w:rPr>
        <w:t xml:space="preserve"> injection is intended for the synovial space and is recommended for patients who have not responded to other therapies or medications. </w:t>
      </w:r>
      <w:hyperlink r:id="rId9" w:history="1">
        <w:r w:rsidRPr="00ED54BA">
          <w:rPr>
            <w:rStyle w:val="Hyperlink"/>
            <w:rFonts w:ascii="Times New Roman" w:eastAsia="Times New Roman" w:hAnsi="Times New Roman" w:cs="Times New Roman"/>
          </w:rPr>
          <w:t>Healthcare</w:t>
        </w:r>
      </w:hyperlink>
      <w:r w:rsidRPr="00996987">
        <w:rPr>
          <w:rFonts w:ascii="Times New Roman" w:eastAsia="Times New Roman" w:hAnsi="Times New Roman" w:cs="Times New Roman"/>
        </w:rPr>
        <w:t xml:space="preserve"> providers should use aseptic techniques when administering the </w:t>
      </w: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injection.</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To optimize injection outcomes, patients must follow their practitioner’s instructions, which can help extend and maximize the benefits of the treatment while reducing the risks of complications or adverse side effects. Here are some best practices:</w:t>
      </w:r>
    </w:p>
    <w:p w:rsidR="00E52D0E" w:rsidRPr="00996987" w:rsidRDefault="00E52D0E" w:rsidP="00E52D0E">
      <w:pPr>
        <w:numPr>
          <w:ilvl w:val="0"/>
          <w:numId w:val="1"/>
        </w:num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Avoid physical activity for 48 hours, including standing for more than an hour.</w:t>
      </w:r>
    </w:p>
    <w:p w:rsidR="00E52D0E" w:rsidRPr="00996987" w:rsidRDefault="00E52D0E" w:rsidP="00E52D0E">
      <w:pPr>
        <w:numPr>
          <w:ilvl w:val="0"/>
          <w:numId w:val="1"/>
        </w:num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Ice the knee when mild pain or swelling occurs.</w:t>
      </w:r>
    </w:p>
    <w:p w:rsidR="00E52D0E" w:rsidRPr="00996987" w:rsidRDefault="00E52D0E" w:rsidP="00E52D0E">
      <w:pPr>
        <w:numPr>
          <w:ilvl w:val="0"/>
          <w:numId w:val="1"/>
        </w:num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Consult your doctor about when to return to major physical activities.</w:t>
      </w:r>
    </w:p>
    <w:p w:rsidR="00E52D0E" w:rsidRPr="00343306" w:rsidRDefault="00E52D0E" w:rsidP="00E52D0E">
      <w:pPr>
        <w:pStyle w:val="Heading3"/>
        <w:rPr>
          <w:sz w:val="24"/>
          <w:szCs w:val="24"/>
        </w:rPr>
      </w:pPr>
      <w:r w:rsidRPr="00343306">
        <w:rPr>
          <w:sz w:val="24"/>
          <w:szCs w:val="24"/>
        </w:rPr>
        <w:t xml:space="preserve">Recommendations and Tips for Optimizing </w:t>
      </w:r>
      <w:proofErr w:type="spellStart"/>
      <w:r w:rsidRPr="00343306">
        <w:rPr>
          <w:sz w:val="24"/>
          <w:szCs w:val="24"/>
        </w:rPr>
        <w:t>Euflexxa</w:t>
      </w:r>
      <w:proofErr w:type="spellEnd"/>
      <w:r w:rsidRPr="00343306">
        <w:rPr>
          <w:sz w:val="24"/>
          <w:szCs w:val="24"/>
        </w:rPr>
        <w:t xml:space="preserve"> Patient Outcomes</w:t>
      </w:r>
    </w:p>
    <w:p w:rsidR="00E52D0E" w:rsidRPr="00996987" w:rsidRDefault="00E52D0E" w:rsidP="00E52D0E">
      <w:pPr>
        <w:pStyle w:val="NormalWeb"/>
        <w:rPr>
          <w:sz w:val="22"/>
          <w:szCs w:val="22"/>
        </w:rPr>
      </w:pPr>
      <w:r w:rsidRPr="00996987">
        <w:rPr>
          <w:sz w:val="22"/>
          <w:szCs w:val="22"/>
        </w:rPr>
        <w:t xml:space="preserve">Integrating </w:t>
      </w:r>
      <w:proofErr w:type="spellStart"/>
      <w:r w:rsidRPr="00996987">
        <w:rPr>
          <w:sz w:val="22"/>
          <w:szCs w:val="22"/>
        </w:rPr>
        <w:t>Euflexxa</w:t>
      </w:r>
      <w:proofErr w:type="spellEnd"/>
      <w:r w:rsidRPr="00996987">
        <w:rPr>
          <w:sz w:val="22"/>
          <w:szCs w:val="22"/>
        </w:rPr>
        <w:t xml:space="preserve"> injection therapy into clinical practice requires a comprehensive understanding of the treatment's mechanisms and evidence-based guidelines. </w:t>
      </w:r>
      <w:hyperlink r:id="rId10" w:history="1">
        <w:r w:rsidRPr="00ED54BA">
          <w:rPr>
            <w:rStyle w:val="Hyperlink"/>
            <w:sz w:val="22"/>
            <w:szCs w:val="22"/>
          </w:rPr>
          <w:t>Medical</w:t>
        </w:r>
      </w:hyperlink>
      <w:r w:rsidRPr="00996987">
        <w:rPr>
          <w:sz w:val="22"/>
          <w:szCs w:val="22"/>
        </w:rPr>
        <w:t xml:space="preserve"> professionals should conduct thorough reviews and stay updated with the latest research to provide precise and effective instructions for administering </w:t>
      </w:r>
      <w:proofErr w:type="spellStart"/>
      <w:r w:rsidRPr="00996987">
        <w:rPr>
          <w:sz w:val="22"/>
          <w:szCs w:val="22"/>
        </w:rPr>
        <w:t>Euflexxa</w:t>
      </w:r>
      <w:proofErr w:type="spellEnd"/>
      <w:r w:rsidRPr="00996987">
        <w:rPr>
          <w:sz w:val="22"/>
          <w:szCs w:val="22"/>
        </w:rPr>
        <w:t>.</w:t>
      </w:r>
    </w:p>
    <w:p w:rsidR="00E52D0E" w:rsidRPr="00343306" w:rsidRDefault="00E52D0E" w:rsidP="00E52D0E">
      <w:pPr>
        <w:pStyle w:val="Heading3"/>
        <w:rPr>
          <w:sz w:val="24"/>
          <w:szCs w:val="24"/>
        </w:rPr>
      </w:pPr>
      <w:r w:rsidRPr="00343306">
        <w:rPr>
          <w:sz w:val="24"/>
          <w:szCs w:val="24"/>
        </w:rPr>
        <w:lastRenderedPageBreak/>
        <w:t>Suitability and Consultation</w:t>
      </w:r>
    </w:p>
    <w:p w:rsidR="00E52D0E" w:rsidRPr="00996987" w:rsidRDefault="00E52D0E" w:rsidP="00E52D0E">
      <w:pPr>
        <w:pStyle w:val="NormalWeb"/>
        <w:rPr>
          <w:sz w:val="22"/>
          <w:szCs w:val="22"/>
        </w:rPr>
      </w:pPr>
      <w:proofErr w:type="spellStart"/>
      <w:r w:rsidRPr="00996987">
        <w:rPr>
          <w:sz w:val="22"/>
          <w:szCs w:val="22"/>
        </w:rPr>
        <w:t>Euflexxa</w:t>
      </w:r>
      <w:proofErr w:type="spellEnd"/>
      <w:r w:rsidRPr="00996987">
        <w:rPr>
          <w:sz w:val="22"/>
          <w:szCs w:val="22"/>
        </w:rPr>
        <w:t xml:space="preserve"> injections are particularly beneficial for patients with osteoarthritis who have not found relief from other therapies and medications. A detailed consultation with a trusted medical practitioner is crucial for individuals to fully understand the treatment, its benefits, and its suitability for their condition. During the consultation, the practitioner can assess the patient’s medical history and current health status to ensure </w:t>
      </w:r>
      <w:proofErr w:type="spellStart"/>
      <w:r w:rsidRPr="00996987">
        <w:rPr>
          <w:sz w:val="22"/>
          <w:szCs w:val="22"/>
        </w:rPr>
        <w:t>Euflexxa</w:t>
      </w:r>
      <w:proofErr w:type="spellEnd"/>
      <w:r w:rsidRPr="00996987">
        <w:rPr>
          <w:sz w:val="22"/>
          <w:szCs w:val="22"/>
        </w:rPr>
        <w:t xml:space="preserve"> is the right choice.</w:t>
      </w:r>
    </w:p>
    <w:p w:rsidR="00E52D0E" w:rsidRPr="00343306" w:rsidRDefault="00E52D0E" w:rsidP="00E52D0E">
      <w:pPr>
        <w:pStyle w:val="Heading3"/>
        <w:rPr>
          <w:sz w:val="24"/>
          <w:szCs w:val="24"/>
        </w:rPr>
      </w:pPr>
      <w:r w:rsidRPr="00343306">
        <w:rPr>
          <w:sz w:val="24"/>
          <w:szCs w:val="24"/>
        </w:rPr>
        <w:t>Contraindications</w:t>
      </w:r>
    </w:p>
    <w:p w:rsidR="00E52D0E" w:rsidRPr="00996987" w:rsidRDefault="00E52D0E" w:rsidP="00E52D0E">
      <w:pPr>
        <w:pStyle w:val="NormalWeb"/>
        <w:rPr>
          <w:sz w:val="22"/>
          <w:szCs w:val="22"/>
        </w:rPr>
      </w:pPr>
      <w:r w:rsidRPr="00996987">
        <w:rPr>
          <w:sz w:val="22"/>
          <w:szCs w:val="22"/>
        </w:rPr>
        <w:t xml:space="preserve">While hyaluronic acid (HA) injections are generally safe, certain individuals should avoid </w:t>
      </w:r>
      <w:proofErr w:type="spellStart"/>
      <w:r w:rsidRPr="00996987">
        <w:rPr>
          <w:sz w:val="22"/>
          <w:szCs w:val="22"/>
        </w:rPr>
        <w:t>Euflexxa</w:t>
      </w:r>
      <w:proofErr w:type="spellEnd"/>
      <w:r w:rsidRPr="00996987">
        <w:rPr>
          <w:sz w:val="22"/>
          <w:szCs w:val="22"/>
        </w:rPr>
        <w:t>:</w:t>
      </w:r>
    </w:p>
    <w:p w:rsidR="00E52D0E" w:rsidRPr="00996987" w:rsidRDefault="00E52D0E" w:rsidP="00E52D0E">
      <w:pPr>
        <w:numPr>
          <w:ilvl w:val="0"/>
          <w:numId w:val="3"/>
        </w:numPr>
        <w:spacing w:before="100" w:beforeAutospacing="1" w:after="100" w:afterAutospacing="1" w:line="240" w:lineRule="auto"/>
      </w:pPr>
      <w:r w:rsidRPr="00996987">
        <w:rPr>
          <w:rStyle w:val="Strong"/>
        </w:rPr>
        <w:t>Allergic Reactions:</w:t>
      </w:r>
      <w:r w:rsidRPr="00996987">
        <w:t xml:space="preserve"> Avoid </w:t>
      </w:r>
      <w:proofErr w:type="spellStart"/>
      <w:r w:rsidRPr="00996987">
        <w:t>Euflexxa</w:t>
      </w:r>
      <w:proofErr w:type="spellEnd"/>
      <w:r w:rsidRPr="00996987">
        <w:t xml:space="preserve"> if you have had previous </w:t>
      </w:r>
      <w:hyperlink r:id="rId11" w:history="1">
        <w:r w:rsidRPr="00ED54BA">
          <w:rPr>
            <w:rStyle w:val="Hyperlink"/>
          </w:rPr>
          <w:t>allergic</w:t>
        </w:r>
      </w:hyperlink>
      <w:r w:rsidRPr="00996987">
        <w:t xml:space="preserve"> reactions to </w:t>
      </w:r>
      <w:proofErr w:type="spellStart"/>
      <w:r w:rsidRPr="00996987">
        <w:t>hyaluronan</w:t>
      </w:r>
      <w:proofErr w:type="spellEnd"/>
      <w:r w:rsidRPr="00996987">
        <w:t xml:space="preserve"> products.</w:t>
      </w:r>
    </w:p>
    <w:p w:rsidR="00E52D0E" w:rsidRPr="00996987" w:rsidRDefault="00E52D0E" w:rsidP="00E52D0E">
      <w:pPr>
        <w:numPr>
          <w:ilvl w:val="0"/>
          <w:numId w:val="3"/>
        </w:numPr>
        <w:spacing w:before="100" w:beforeAutospacing="1" w:after="100" w:afterAutospacing="1" w:line="240" w:lineRule="auto"/>
      </w:pPr>
      <w:r w:rsidRPr="00996987">
        <w:rPr>
          <w:rStyle w:val="Strong"/>
        </w:rPr>
        <w:t>Infections:</w:t>
      </w:r>
      <w:r w:rsidRPr="00996987">
        <w:t xml:space="preserve"> Do not use </w:t>
      </w:r>
      <w:proofErr w:type="spellStart"/>
      <w:r w:rsidRPr="00996987">
        <w:t>Euflexxa</w:t>
      </w:r>
      <w:proofErr w:type="spellEnd"/>
      <w:r w:rsidRPr="00996987">
        <w:t xml:space="preserve"> if you have a knee joint infection, skin disease, or infections around the injection site.</w:t>
      </w:r>
    </w:p>
    <w:p w:rsidR="00E52D0E" w:rsidRPr="00996987" w:rsidRDefault="00E52D0E" w:rsidP="00E52D0E">
      <w:pPr>
        <w:numPr>
          <w:ilvl w:val="0"/>
          <w:numId w:val="3"/>
        </w:numPr>
        <w:spacing w:before="100" w:beforeAutospacing="1" w:after="100" w:afterAutospacing="1" w:line="240" w:lineRule="auto"/>
      </w:pPr>
      <w:r w:rsidRPr="00996987">
        <w:rPr>
          <w:rStyle w:val="Strong"/>
        </w:rPr>
        <w:t>Specific Populations:</w:t>
      </w:r>
      <w:r w:rsidRPr="00996987">
        <w:t xml:space="preserve"> </w:t>
      </w:r>
      <w:proofErr w:type="spellStart"/>
      <w:r w:rsidRPr="00996987">
        <w:t>Euflexxa</w:t>
      </w:r>
      <w:proofErr w:type="spellEnd"/>
      <w:r w:rsidRPr="00996987">
        <w:t xml:space="preserve"> has not been tested on pregnant and breastfeeding women or children </w:t>
      </w:r>
      <w:proofErr w:type="gramStart"/>
      <w:r w:rsidRPr="00996987">
        <w:t>under</w:t>
      </w:r>
      <w:proofErr w:type="gramEnd"/>
      <w:r w:rsidRPr="00996987">
        <w:t xml:space="preserve"> 18 years.</w:t>
      </w:r>
    </w:p>
    <w:p w:rsidR="00E52D0E" w:rsidRPr="00343306" w:rsidRDefault="00E52D0E" w:rsidP="00E52D0E">
      <w:pPr>
        <w:pStyle w:val="Heading3"/>
        <w:rPr>
          <w:sz w:val="24"/>
          <w:szCs w:val="24"/>
        </w:rPr>
      </w:pPr>
      <w:r w:rsidRPr="00343306">
        <w:rPr>
          <w:sz w:val="24"/>
          <w:szCs w:val="24"/>
        </w:rPr>
        <w:t>Post-Treatment Care</w:t>
      </w:r>
    </w:p>
    <w:p w:rsidR="00E52D0E" w:rsidRPr="00996987" w:rsidRDefault="00E52D0E" w:rsidP="00E52D0E">
      <w:pPr>
        <w:pStyle w:val="NormalWeb"/>
        <w:rPr>
          <w:sz w:val="22"/>
          <w:szCs w:val="22"/>
        </w:rPr>
      </w:pPr>
      <w:r w:rsidRPr="00996987">
        <w:rPr>
          <w:sz w:val="22"/>
          <w:szCs w:val="22"/>
        </w:rPr>
        <w:t>Following post-treatment care instructions is crucial for optimizing outcomes and minimizing complications:</w:t>
      </w:r>
    </w:p>
    <w:p w:rsidR="00E52D0E" w:rsidRPr="00996987" w:rsidRDefault="00E52D0E" w:rsidP="00E52D0E">
      <w:pPr>
        <w:numPr>
          <w:ilvl w:val="0"/>
          <w:numId w:val="5"/>
        </w:numPr>
        <w:spacing w:before="100" w:beforeAutospacing="1" w:after="100" w:afterAutospacing="1" w:line="240" w:lineRule="auto"/>
      </w:pPr>
      <w:r w:rsidRPr="00996987">
        <w:rPr>
          <w:rStyle w:val="Strong"/>
        </w:rPr>
        <w:t>Activity Restriction:</w:t>
      </w:r>
      <w:r w:rsidRPr="00996987">
        <w:t xml:space="preserve"> Avoid strenuous activities for 48 hours after the injections.</w:t>
      </w:r>
    </w:p>
    <w:p w:rsidR="00E52D0E" w:rsidRPr="00996987" w:rsidRDefault="00E52D0E" w:rsidP="00E52D0E">
      <w:pPr>
        <w:numPr>
          <w:ilvl w:val="0"/>
          <w:numId w:val="5"/>
        </w:numPr>
        <w:spacing w:before="100" w:beforeAutospacing="1" w:after="100" w:afterAutospacing="1" w:line="240" w:lineRule="auto"/>
      </w:pPr>
      <w:r w:rsidRPr="00996987">
        <w:rPr>
          <w:rStyle w:val="Strong"/>
        </w:rPr>
        <w:t>Symptom Management:</w:t>
      </w:r>
      <w:r w:rsidRPr="00996987">
        <w:t xml:space="preserve"> Ice the knee if mild pain or swelling occurs.</w:t>
      </w:r>
    </w:p>
    <w:p w:rsidR="00E52D0E" w:rsidRPr="00996987" w:rsidRDefault="00E52D0E" w:rsidP="00E52D0E">
      <w:pPr>
        <w:numPr>
          <w:ilvl w:val="0"/>
          <w:numId w:val="5"/>
        </w:numPr>
        <w:spacing w:before="100" w:beforeAutospacing="1" w:after="100" w:afterAutospacing="1" w:line="240" w:lineRule="auto"/>
      </w:pPr>
      <w:r w:rsidRPr="00996987">
        <w:rPr>
          <w:rStyle w:val="Strong"/>
        </w:rPr>
        <w:t>Follow-Up:</w:t>
      </w:r>
      <w:r w:rsidRPr="00996987">
        <w:t xml:space="preserve"> Schedule follow-up </w:t>
      </w:r>
      <w:hyperlink r:id="rId12" w:history="1">
        <w:r w:rsidRPr="00ED54BA">
          <w:rPr>
            <w:rStyle w:val="Hyperlink"/>
          </w:rPr>
          <w:t>appointments</w:t>
        </w:r>
      </w:hyperlink>
      <w:r w:rsidRPr="00996987">
        <w:t xml:space="preserve"> to monitor progress and determine when to resume physical activities.</w:t>
      </w:r>
    </w:p>
    <w:p w:rsidR="00E52D0E" w:rsidRPr="00343306" w:rsidRDefault="00E52D0E" w:rsidP="00E52D0E">
      <w:pPr>
        <w:pStyle w:val="Heading3"/>
        <w:rPr>
          <w:sz w:val="24"/>
          <w:szCs w:val="24"/>
        </w:rPr>
      </w:pPr>
      <w:r w:rsidRPr="00343306">
        <w:rPr>
          <w:sz w:val="24"/>
          <w:szCs w:val="24"/>
        </w:rPr>
        <w:t>Managing Adverse Reactions and Complications</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proofErr w:type="spellStart"/>
      <w:r w:rsidRPr="00996987">
        <w:rPr>
          <w:rFonts w:ascii="Times New Roman" w:eastAsia="Times New Roman" w:hAnsi="Times New Roman" w:cs="Times New Roman"/>
        </w:rPr>
        <w:t>Euflexxa</w:t>
      </w:r>
      <w:proofErr w:type="spellEnd"/>
      <w:r w:rsidRPr="00996987">
        <w:rPr>
          <w:rFonts w:ascii="Times New Roman" w:eastAsia="Times New Roman" w:hAnsi="Times New Roman" w:cs="Times New Roman"/>
        </w:rPr>
        <w:t xml:space="preserve"> does not have any long-term side effects, but if common side effects occur and persist, it’s essential to seek medical attention. Some side effects include joint pain, back pain, limb pain, muscle pain, and joint swelling. These are usually mild to moderate and temporary. However, severe symptoms such as difficulty breathing, swallowing, or talking, rash or hives, redness, and skin swelling require immediate medical attention.</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For managing common side effects, icing the knee can help alleviate mild pain or swelling. To minimize risks, follow your doctor’s advice on post-treatment care:</w:t>
      </w:r>
    </w:p>
    <w:p w:rsidR="00E52D0E" w:rsidRPr="00996987" w:rsidRDefault="00E52D0E" w:rsidP="00E52D0E">
      <w:pPr>
        <w:numPr>
          <w:ilvl w:val="0"/>
          <w:numId w:val="2"/>
        </w:num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 xml:space="preserve">Avoid strenuous activities for </w:t>
      </w:r>
      <w:hyperlink r:id="rId13" w:history="1">
        <w:r w:rsidRPr="00ED54BA">
          <w:rPr>
            <w:rStyle w:val="Hyperlink"/>
            <w:rFonts w:ascii="Times New Roman" w:eastAsia="Times New Roman" w:hAnsi="Times New Roman" w:cs="Times New Roman"/>
          </w:rPr>
          <w:t>48 hours</w:t>
        </w:r>
      </w:hyperlink>
      <w:r w:rsidRPr="00996987">
        <w:rPr>
          <w:rFonts w:ascii="Times New Roman" w:eastAsia="Times New Roman" w:hAnsi="Times New Roman" w:cs="Times New Roman"/>
        </w:rPr>
        <w:t xml:space="preserve"> after the injections.</w:t>
      </w:r>
    </w:p>
    <w:p w:rsidR="00E52D0E" w:rsidRPr="00996987" w:rsidRDefault="00E52D0E" w:rsidP="00E52D0E">
      <w:pPr>
        <w:numPr>
          <w:ilvl w:val="0"/>
          <w:numId w:val="2"/>
        </w:num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Complete the three-injection therapy for maximum effects.</w:t>
      </w:r>
    </w:p>
    <w:p w:rsidR="00E52D0E" w:rsidRPr="00996987" w:rsidRDefault="00E52D0E" w:rsidP="00E52D0E">
      <w:pPr>
        <w:numPr>
          <w:ilvl w:val="0"/>
          <w:numId w:val="2"/>
        </w:num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Consult with your doctor about when to resume physical activities.</w:t>
      </w:r>
    </w:p>
    <w:p w:rsidR="00E52D0E" w:rsidRPr="002110CC" w:rsidRDefault="00E52D0E" w:rsidP="00E52D0E">
      <w:pPr>
        <w:pStyle w:val="Heading3"/>
        <w:rPr>
          <w:sz w:val="24"/>
          <w:szCs w:val="24"/>
        </w:rPr>
      </w:pPr>
      <w:r w:rsidRPr="002110CC">
        <w:rPr>
          <w:sz w:val="24"/>
          <w:szCs w:val="24"/>
        </w:rPr>
        <w:t>Why Choose Crystal Radiology?</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lastRenderedPageBreak/>
        <w:t xml:space="preserve">We are local and a </w:t>
      </w:r>
      <w:r w:rsidR="00ED54BA">
        <w:rPr>
          <w:rFonts w:ascii="Times New Roman" w:eastAsia="Times New Roman" w:hAnsi="Times New Roman" w:cs="Times New Roman"/>
        </w:rPr>
        <w:t>Privately</w:t>
      </w:r>
      <w:r w:rsidRPr="00996987">
        <w:rPr>
          <w:rFonts w:ascii="Times New Roman" w:eastAsia="Times New Roman" w:hAnsi="Times New Roman" w:cs="Times New Roman"/>
        </w:rPr>
        <w:t xml:space="preserve">-owned medical Clinics that offers the highest quality medical and Imaging Services in the </w:t>
      </w:r>
      <w:hyperlink r:id="rId14" w:history="1">
        <w:r w:rsidRPr="00ED54BA">
          <w:rPr>
            <w:rStyle w:val="Hyperlink"/>
            <w:rFonts w:ascii="Times New Roman" w:eastAsia="Times New Roman" w:hAnsi="Times New Roman" w:cs="Times New Roman"/>
          </w:rPr>
          <w:t>Crystal region</w:t>
        </w:r>
      </w:hyperlink>
      <w:r w:rsidRPr="00996987">
        <w:rPr>
          <w:rFonts w:ascii="Times New Roman" w:eastAsia="Times New Roman" w:hAnsi="Times New Roman" w:cs="Times New Roman"/>
        </w:rPr>
        <w:t>. We are the leaders in Bulk Billing with the real benefit of no ‘O</w:t>
      </w:r>
      <w:r>
        <w:rPr>
          <w:rFonts w:ascii="Times New Roman" w:eastAsia="Times New Roman" w:hAnsi="Times New Roman" w:cs="Times New Roman"/>
        </w:rPr>
        <w:t>ut of Pocket’ expenses for you.</w:t>
      </w:r>
    </w:p>
    <w:p w:rsidR="00E52D0E" w:rsidRPr="002110CC" w:rsidRDefault="00E52D0E" w:rsidP="00E52D0E">
      <w:pPr>
        <w:pStyle w:val="Heading3"/>
        <w:rPr>
          <w:sz w:val="24"/>
          <w:szCs w:val="24"/>
        </w:rPr>
      </w:pPr>
      <w:r w:rsidRPr="002110CC">
        <w:rPr>
          <w:sz w:val="24"/>
          <w:szCs w:val="24"/>
        </w:rPr>
        <w:t>Your Next Step</w:t>
      </w:r>
    </w:p>
    <w:p w:rsidR="00E52D0E" w:rsidRPr="00996987" w:rsidRDefault="00E52D0E" w:rsidP="00E52D0E">
      <w:pPr>
        <w:spacing w:before="100" w:beforeAutospacing="1" w:after="100" w:afterAutospacing="1" w:line="240" w:lineRule="auto"/>
        <w:rPr>
          <w:rFonts w:ascii="Times New Roman" w:eastAsia="Times New Roman" w:hAnsi="Times New Roman" w:cs="Times New Roman"/>
        </w:rPr>
      </w:pPr>
      <w:r w:rsidRPr="00996987">
        <w:rPr>
          <w:rFonts w:ascii="Times New Roman" w:eastAsia="Times New Roman" w:hAnsi="Times New Roman" w:cs="Times New Roman"/>
        </w:rPr>
        <w:t xml:space="preserve">Please ensure that you have your Medicare card and referral with you and pop into our location for your consultation. If you have any questions at all, please feel free to contact us on </w:t>
      </w:r>
      <w:hyperlink r:id="rId15" w:history="1">
        <w:r w:rsidRPr="00ED54BA">
          <w:rPr>
            <w:rStyle w:val="Hyperlink"/>
            <w:rFonts w:ascii="Times New Roman" w:eastAsia="Times New Roman" w:hAnsi="Times New Roman" w:cs="Times New Roman"/>
          </w:rPr>
          <w:t xml:space="preserve">(02) 8315 8292 </w:t>
        </w:r>
      </w:hyperlink>
      <w:r w:rsidRPr="00996987">
        <w:rPr>
          <w:rFonts w:ascii="Times New Roman" w:eastAsia="Times New Roman" w:hAnsi="Times New Roman" w:cs="Times New Roman"/>
        </w:rPr>
        <w:t xml:space="preserve"> as we are here to help.</w:t>
      </w:r>
    </w:p>
    <w:p w:rsidR="00F10E58" w:rsidRDefault="00F10E58"/>
    <w:sectPr w:rsidR="00F10E58" w:rsidSect="00343306">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4C49"/>
    <w:multiLevelType w:val="multilevel"/>
    <w:tmpl w:val="922C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D67E8"/>
    <w:multiLevelType w:val="multilevel"/>
    <w:tmpl w:val="F31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AA4F79"/>
    <w:multiLevelType w:val="multilevel"/>
    <w:tmpl w:val="55B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94E8F"/>
    <w:multiLevelType w:val="multilevel"/>
    <w:tmpl w:val="21BA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62FFE"/>
    <w:multiLevelType w:val="multilevel"/>
    <w:tmpl w:val="D0F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0E"/>
    <w:rsid w:val="002110CC"/>
    <w:rsid w:val="002203C2"/>
    <w:rsid w:val="00343306"/>
    <w:rsid w:val="00E52D0E"/>
    <w:rsid w:val="00ED54BA"/>
    <w:rsid w:val="00F1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ff,#0c9,#c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0E"/>
  </w:style>
  <w:style w:type="paragraph" w:styleId="Heading1">
    <w:name w:val="heading 1"/>
    <w:basedOn w:val="Normal"/>
    <w:next w:val="Normal"/>
    <w:link w:val="Heading1Char"/>
    <w:uiPriority w:val="9"/>
    <w:qFormat/>
    <w:rsid w:val="00E52D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52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2D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D0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52D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52D0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52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D0E"/>
    <w:rPr>
      <w:b/>
      <w:bCs/>
    </w:rPr>
  </w:style>
  <w:style w:type="paragraph" w:styleId="Title">
    <w:name w:val="Title"/>
    <w:basedOn w:val="Normal"/>
    <w:next w:val="Normal"/>
    <w:link w:val="TitleChar"/>
    <w:uiPriority w:val="10"/>
    <w:qFormat/>
    <w:rsid w:val="00E52D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D0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D54BA"/>
    <w:rPr>
      <w:color w:val="0000FF" w:themeColor="hyperlink"/>
      <w:u w:val="single"/>
    </w:rPr>
  </w:style>
  <w:style w:type="paragraph" w:styleId="BalloonText">
    <w:name w:val="Balloon Text"/>
    <w:basedOn w:val="Normal"/>
    <w:link w:val="BalloonTextChar"/>
    <w:uiPriority w:val="99"/>
    <w:semiHidden/>
    <w:unhideWhenUsed/>
    <w:rsid w:val="00ED5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4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0E"/>
  </w:style>
  <w:style w:type="paragraph" w:styleId="Heading1">
    <w:name w:val="heading 1"/>
    <w:basedOn w:val="Normal"/>
    <w:next w:val="Normal"/>
    <w:link w:val="Heading1Char"/>
    <w:uiPriority w:val="9"/>
    <w:qFormat/>
    <w:rsid w:val="00E52D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52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2D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D0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52D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52D0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52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D0E"/>
    <w:rPr>
      <w:b/>
      <w:bCs/>
    </w:rPr>
  </w:style>
  <w:style w:type="paragraph" w:styleId="Title">
    <w:name w:val="Title"/>
    <w:basedOn w:val="Normal"/>
    <w:next w:val="Normal"/>
    <w:link w:val="TitleChar"/>
    <w:uiPriority w:val="10"/>
    <w:qFormat/>
    <w:rsid w:val="00E52D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D0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D54BA"/>
    <w:rPr>
      <w:color w:val="0000FF" w:themeColor="hyperlink"/>
      <w:u w:val="single"/>
    </w:rPr>
  </w:style>
  <w:style w:type="paragraph" w:styleId="BalloonText">
    <w:name w:val="Balloon Text"/>
    <w:basedOn w:val="Normal"/>
    <w:link w:val="BalloonTextChar"/>
    <w:uiPriority w:val="99"/>
    <w:semiHidden/>
    <w:unhideWhenUsed/>
    <w:rsid w:val="00ED5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4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76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injection/" TargetMode="External"/><Relationship Id="rId13" Type="http://schemas.openxmlformats.org/officeDocument/2006/relationships/hyperlink" Target="https://crystalradiology.com.au/appointmen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crystalradiology.com.au/inj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rystalradiology.com.au/injection/" TargetMode="External"/><Relationship Id="rId5" Type="http://schemas.openxmlformats.org/officeDocument/2006/relationships/webSettings" Target="webSettings.xml"/><Relationship Id="rId15" Type="http://schemas.openxmlformats.org/officeDocument/2006/relationships/hyperlink" Target="https://crystalradiology.com.au/appointment/" TargetMode="External"/><Relationship Id="rId10" Type="http://schemas.openxmlformats.org/officeDocument/2006/relationships/hyperlink" Target="https://crystalradiology.com.au/injection/" TargetMode="External"/><Relationship Id="rId4" Type="http://schemas.openxmlformats.org/officeDocument/2006/relationships/settings" Target="settings.xml"/><Relationship Id="rId9" Type="http://schemas.openxmlformats.org/officeDocument/2006/relationships/hyperlink" Target="https://crystalradiology.com.au/injection/" TargetMode="External"/><Relationship Id="rId14" Type="http://schemas.openxmlformats.org/officeDocument/2006/relationships/hyperlink" Target="https://crystalradiology.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2024-08-26T12:46:00Z</dcterms:created>
  <dcterms:modified xsi:type="dcterms:W3CDTF">2024-08-27T11:08:00Z</dcterms:modified>
</cp:coreProperties>
</file>