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799C4" w14:textId="5CD71AE6" w:rsidR="00A76B9A" w:rsidRDefault="0078634E" w:rsidP="00CF793B">
      <w:pPr>
        <w:pStyle w:val="Heading1"/>
        <w:rPr>
          <w:b/>
          <w:bCs/>
          <w:u w:val="single"/>
        </w:rPr>
      </w:pPr>
      <w:proofErr w:type="spellStart"/>
      <w:r>
        <w:rPr>
          <w:b/>
          <w:bCs/>
          <w:u w:val="single"/>
        </w:rPr>
        <w:t>ABCCo</w:t>
      </w:r>
      <w:proofErr w:type="spellEnd"/>
      <w:r>
        <w:rPr>
          <w:b/>
          <w:bCs/>
          <w:u w:val="single"/>
        </w:rPr>
        <w:t xml:space="preserve"> Pte Ltd – Tender Proposal</w:t>
      </w:r>
    </w:p>
    <w:p w14:paraId="5FC0B783" w14:textId="40E7659D" w:rsidR="00DC4614" w:rsidRDefault="00DC4614" w:rsidP="00CF793B">
      <w:pPr>
        <w:pStyle w:val="Heading1"/>
        <w:rPr>
          <w:b/>
          <w:bCs/>
          <w:u w:val="single"/>
        </w:rPr>
      </w:pPr>
      <w:r>
        <w:rPr>
          <w:b/>
          <w:bCs/>
          <w:u w:val="single"/>
        </w:rPr>
        <w:t>About Us</w:t>
      </w:r>
    </w:p>
    <w:p w14:paraId="2582BFF0" w14:textId="17974B5E" w:rsidR="00DC4614" w:rsidRDefault="00DC4614" w:rsidP="00DC4614">
      <w:proofErr w:type="spellStart"/>
      <w:r>
        <w:t>ABCCo</w:t>
      </w:r>
      <w:proofErr w:type="spellEnd"/>
      <w:r>
        <w:t xml:space="preserve"> is a trusted leader in the technology industry, with over 20 years of experience in delivering comprehensive, turnkey ICT solutions and all-rounded consultancy services. Headquartered in Singapore, our presence spans across the Asia-Pacific region with offices strategically positioned to serve clients with the latest in IT innovations. We specialize in designing and implementing customized technology solutions for sectors as diverse as healthcare, government, and general business, each tailored to meet the unique needs and regulatory requirements of these industries.</w:t>
      </w:r>
    </w:p>
    <w:p w14:paraId="240A239F" w14:textId="77777777" w:rsidR="00DC4614" w:rsidRDefault="00DC4614" w:rsidP="00DC4614"/>
    <w:p w14:paraId="34053E8A" w14:textId="77777777" w:rsidR="00DC4614" w:rsidRDefault="00DC4614" w:rsidP="00DC4614">
      <w:r>
        <w:t>Over the years, we have successfully executed numerous high-impact projects. In the *healthcare* sector, we partnered with top medical institutions to implement a comprehensive electronic medical records (EMR) system. This project not only streamlined patient management but also enhanced the accuracy of data handling, enabling secure and efficient sharing of critical information across departments. Additionally, we developed a telemedicine platform that facilitated remote consultations, ensuring uninterrupted healthcare services in challenging times.</w:t>
      </w:r>
    </w:p>
    <w:p w14:paraId="483CFB51" w14:textId="77777777" w:rsidR="00DC4614" w:rsidRDefault="00DC4614" w:rsidP="00DC4614"/>
    <w:p w14:paraId="66821B54" w14:textId="77777777" w:rsidR="00DC4614" w:rsidRDefault="00DC4614" w:rsidP="00DC4614">
      <w:r>
        <w:t>Our expertise in the *government sector* is evident through our work with public agencies to design and deploy scalable IT infrastructures that modernize public services. One notable project was the deployment of a cloud-based platform for a major municipal agency, improving accessibility and communication between departments, from permit processing to public engagement initiatives. This infrastructure helped streamline administrative workflows and offered citizens easier access to essential services. Advanced cybersecurity measures were also integrated, ensuring compliance with the highest standards for data protection.</w:t>
      </w:r>
    </w:p>
    <w:p w14:paraId="285F5B9B" w14:textId="77777777" w:rsidR="00DC4614" w:rsidRDefault="00DC4614" w:rsidP="00DC4614"/>
    <w:p w14:paraId="6D4A06F9" w14:textId="77777777" w:rsidR="00DC4614" w:rsidRDefault="00DC4614" w:rsidP="00DC4614">
      <w:r>
        <w:t xml:space="preserve">In the *business sector*, we have successfully modernized operations for large organizations by implementing enterprise resource planning (ERP) solutions and data analytics tools. For a multinational corporation, we automated supply chain, inventory, and HR processes, enabling real-time tracking and resource management across multiple APAC locations. This transformation reduced costs, optimized decision-making, and empowered the client to respond swiftly to market demands. For a prominent regional retailer, we developed a customer relationship management (CRM) </w:t>
      </w:r>
      <w:r>
        <w:lastRenderedPageBreak/>
        <w:t>and analytics solution, enabling data-driven insights that elevated customer experiences and drove revenue growth.</w:t>
      </w:r>
    </w:p>
    <w:p w14:paraId="4BFA6B1A" w14:textId="77777777" w:rsidR="00DC4614" w:rsidRDefault="00DC4614" w:rsidP="00DC4614"/>
    <w:p w14:paraId="02076585" w14:textId="460386D1" w:rsidR="00DC4614" w:rsidRPr="00DC4614" w:rsidRDefault="00DC4614" w:rsidP="00DC4614">
      <w:r>
        <w:t xml:space="preserve">At </w:t>
      </w:r>
      <w:proofErr w:type="spellStart"/>
      <w:r>
        <w:t>ABCCo</w:t>
      </w:r>
      <w:proofErr w:type="spellEnd"/>
      <w:r>
        <w:t>, our commitment goes beyond providing technology solutions. We partner with clients to drive sustainable growth, improve operational efficiency, and ensure compliance in a fast-evolving digital landscape. Our depth of industry knowledge, coupled with our forward-thinking approach, has cemented our reputation as a reliable technology partner in the APAC region.</w:t>
      </w:r>
    </w:p>
    <w:p w14:paraId="49DB2600" w14:textId="77777777" w:rsidR="00DC4614" w:rsidRDefault="00DC4614" w:rsidP="00CF793B">
      <w:pPr>
        <w:pStyle w:val="Heading1"/>
        <w:rPr>
          <w:b/>
          <w:bCs/>
          <w:u w:val="single"/>
        </w:rPr>
      </w:pPr>
    </w:p>
    <w:p w14:paraId="6F7DB08B" w14:textId="7F4D0C3B" w:rsidR="00CF793B" w:rsidRPr="00CF793B" w:rsidRDefault="00CF793B" w:rsidP="00CF793B">
      <w:pPr>
        <w:pStyle w:val="Heading1"/>
        <w:rPr>
          <w:b/>
          <w:bCs/>
          <w:u w:val="single"/>
        </w:rPr>
      </w:pPr>
      <w:r w:rsidRPr="00CF793B">
        <w:rPr>
          <w:b/>
          <w:bCs/>
          <w:u w:val="single"/>
        </w:rPr>
        <w:t>Hiring Practices and process</w:t>
      </w:r>
    </w:p>
    <w:p w14:paraId="43EABC88" w14:textId="77777777" w:rsidR="00CF793B" w:rsidRDefault="00CF793B" w:rsidP="00CF793B">
      <w:r>
        <w:t>In the ever-changing world of technology, finding the right ICT personnel is crucial for the success of any organization. To ensure a successful hiring process, it's important to follow best practices that are in line with industry standards. This proposal outlines a thoughtful approach to hiring ICT personnel, focusing on using a variety of selection methods to identify top talent while emphasizing transparency and fairness.</w:t>
      </w:r>
    </w:p>
    <w:p w14:paraId="1F4F86F3" w14:textId="77777777" w:rsidR="00CF793B" w:rsidRDefault="00CF793B" w:rsidP="00CF793B"/>
    <w:p w14:paraId="48F8CE13" w14:textId="77777777" w:rsidR="00CF793B" w:rsidRDefault="00CF793B" w:rsidP="00CF793B">
      <w:r>
        <w:t>When assessing technical skills, it's essential to create assessments that reflect the real challenges faced in ICT roles. For instance, a practical coding exercise that simulates a common troubleshooting scenario can be a great way to evaluate problem-solving skills effectively. Maintaining transparency throughout the evaluation process is key. By providing candidates with a clear understanding of the assessment criteria and timelines upfront, we can set expectations and build trust from the start.</w:t>
      </w:r>
    </w:p>
    <w:p w14:paraId="0C0698C8" w14:textId="77777777" w:rsidR="00CF793B" w:rsidRDefault="00CF793B" w:rsidP="00CF793B"/>
    <w:p w14:paraId="741FD704" w14:textId="77777777" w:rsidR="00CF793B" w:rsidRDefault="00CF793B" w:rsidP="00CF793B">
      <w:r>
        <w:t>Diversity in assessment methods is crucial for gaining a comprehensive view of candidates' capabilities. By combining techniques like technical interviews, case studies, and skills tests, we can better assess candidates' suitability for the role. For example, conducting a technical interview followed by a practical task can help evaluate both theoretical knowledge and practical skills. Consistency in evaluation criteria ensures fairness for all candidates. Using standardized criteria and a scoring rubric can help ensure that all candidates are evaluated objectively and consistently.</w:t>
      </w:r>
    </w:p>
    <w:p w14:paraId="0488B4A9" w14:textId="77777777" w:rsidR="00CF793B" w:rsidRDefault="00CF793B" w:rsidP="00CF793B"/>
    <w:p w14:paraId="0B8762C8" w14:textId="77777777" w:rsidR="00CF793B" w:rsidRDefault="00CF793B" w:rsidP="00CF793B">
      <w:r>
        <w:t xml:space="preserve">To mitigate biases, it's important to implement strategies such as blind screening during resume review and using structured interview questions. Additionally, having diverse </w:t>
      </w:r>
      <w:r>
        <w:lastRenderedPageBreak/>
        <w:t xml:space="preserve">interview panels can bring different perspectives and reduce unconscious biases in the evaluation process. Providing a positive candidate experience is also crucial. Timely feedback and clear communication throughout the selection process can make a significant difference. Consider sending personalized thank-you notes to </w:t>
      </w:r>
      <w:proofErr w:type="gramStart"/>
      <w:r>
        <w:t>candidates</w:t>
      </w:r>
      <w:proofErr w:type="gramEnd"/>
      <w:r>
        <w:t xml:space="preserve"> post-interview to show appreciation for their time and effort.</w:t>
      </w:r>
    </w:p>
    <w:p w14:paraId="63E54CA6" w14:textId="77777777" w:rsidR="00CF793B" w:rsidRDefault="00CF793B" w:rsidP="00CF793B"/>
    <w:p w14:paraId="6EBA6CC5" w14:textId="77777777" w:rsidR="00CF793B" w:rsidRDefault="00CF793B" w:rsidP="00CF793B">
      <w:r>
        <w:t xml:space="preserve">Assessing candidates for their technical fit with the organizational culture and values is equally important. Including </w:t>
      </w:r>
      <w:proofErr w:type="spellStart"/>
      <w:r>
        <w:t>behavioral</w:t>
      </w:r>
      <w:proofErr w:type="spellEnd"/>
      <w:r>
        <w:t xml:space="preserve"> questions in interviews can help evaluate candidates' alignment with team dynamics and the work environment. Using validated and reliable assessment methods, such as industry-standard coding tests and technical simulations, ensures that our evaluations are accurate and predictive of on-the-job performance. Partnering with reputable assessment providers can give us access to tools that accurately assess candidates' potential for success in ICT roles.</w:t>
      </w:r>
    </w:p>
    <w:p w14:paraId="00EBB410" w14:textId="77777777" w:rsidR="00CF793B" w:rsidRDefault="00CF793B" w:rsidP="00CF793B"/>
    <w:p w14:paraId="57B0561C" w14:textId="6D676BE7" w:rsidR="00CF793B" w:rsidRDefault="00CF793B" w:rsidP="00CF793B">
      <w:r>
        <w:t>In conclusion, by incorporating these thoughtful approaches into our hiring process for ICT personnel, we can attract top talent, ensure fairness, and make informed decisions that align with our organizational goals. By using a variety of selection methods and following best practices, we can streamline the hiring process and select candidates who are well-equipped to drive innovation and success in the ICT field.</w:t>
      </w:r>
    </w:p>
    <w:p w14:paraId="7988FC03" w14:textId="28D8B2FD" w:rsidR="00A76B9A" w:rsidRDefault="00A76B9A" w:rsidP="00A76B9A">
      <w:pPr>
        <w:pStyle w:val="Heading1"/>
      </w:pPr>
      <w:r>
        <w:t>Staff Retention Programme</w:t>
      </w:r>
    </w:p>
    <w:p w14:paraId="22C46697" w14:textId="77777777" w:rsidR="00A76B9A" w:rsidRPr="00A76B9A" w:rsidRDefault="00A76B9A" w:rsidP="00A76B9A">
      <w:r w:rsidRPr="00A76B9A">
        <w:t>Our unwavering commitment to employee growth and well-being is showcased through strategic initiatives aimed at achieving the Strong quality score criteria.</w:t>
      </w:r>
    </w:p>
    <w:p w14:paraId="63A0651A" w14:textId="157F7125" w:rsidR="00A76B9A" w:rsidRPr="00A76B9A" w:rsidRDefault="00A76B9A" w:rsidP="00A76B9A">
      <w:r w:rsidRPr="00A76B9A">
        <w:rPr>
          <w:b/>
          <w:bCs/>
        </w:rPr>
        <w:t>Training and Development Opportunities:</w:t>
      </w:r>
      <w:r w:rsidRPr="00A76B9A">
        <w:t xml:space="preserve"> At Company </w:t>
      </w:r>
      <w:proofErr w:type="spellStart"/>
      <w:r w:rsidRPr="00A76B9A">
        <w:t>A</w:t>
      </w:r>
      <w:r w:rsidR="00B759DB">
        <w:t>BCCo</w:t>
      </w:r>
      <w:proofErr w:type="spellEnd"/>
      <w:r w:rsidRPr="00A76B9A">
        <w:t>, we have designed a comprehensive approach to training and development that goes beyond mere skill enhancement. By implementing a mentorship program, employees are paired with seasoned professionals to provide personalized guidance and support. Additionally, access to a curated selection of online courses ensures continuous learning and career progression. This holistic approach not only enhances employees' skills and knowledge but also fosters a culture of continuous improvement and professional advancement.</w:t>
      </w:r>
    </w:p>
    <w:p w14:paraId="1B5383C5" w14:textId="6636EB71" w:rsidR="00A76B9A" w:rsidRPr="00A76B9A" w:rsidRDefault="00A76B9A" w:rsidP="00A76B9A">
      <w:r w:rsidRPr="00A76B9A">
        <w:rPr>
          <w:b/>
          <w:bCs/>
        </w:rPr>
        <w:t>Recognition and Rewards System:</w:t>
      </w:r>
      <w:r w:rsidRPr="00A76B9A">
        <w:t xml:space="preserve"> Our organization prides itself on a robust system of recognition and rewards that goes above and beyond traditional methods. Through structured quarterly awards ceremonies, peer nominations, and performance-based incentives, we celebrate and incentivize high performance. For example, </w:t>
      </w:r>
      <w:r w:rsidR="00C85C24">
        <w:t>our company</w:t>
      </w:r>
      <w:r w:rsidRPr="00A76B9A">
        <w:t xml:space="preserve"> quarterly awards not only recognize individual achievements but also highlight collaborative efforts and innovative contributions, fostering a culture of excellence and motivation among employees.</w:t>
      </w:r>
    </w:p>
    <w:p w14:paraId="6DF2D090" w14:textId="35278E2C" w:rsidR="00A76B9A" w:rsidRPr="00A76B9A" w:rsidRDefault="00A76B9A" w:rsidP="00A76B9A">
      <w:r w:rsidRPr="00A76B9A">
        <w:rPr>
          <w:b/>
          <w:bCs/>
        </w:rPr>
        <w:lastRenderedPageBreak/>
        <w:t>Work-Life Balance Initiatives:</w:t>
      </w:r>
      <w:r w:rsidRPr="00A76B9A">
        <w:t xml:space="preserve"> </w:t>
      </w:r>
      <w:proofErr w:type="spellStart"/>
      <w:r w:rsidR="00C85C24">
        <w:t>ABCCo</w:t>
      </w:r>
      <w:proofErr w:type="spellEnd"/>
      <w:r w:rsidRPr="00A76B9A">
        <w:t xml:space="preserve"> is dedicated to promoting a healthy work-life balance through a range of initiatives tailored to meet the diverse needs of our employees. From offering on-site fitness classes and mental health resources to providing remote work options, we prioritize the well-being of our workforce. By creating a supportive environment that values work-life balance, we empower employees to thrive both personally and professionally. For instance, our wellness workshops and mental health support programs have been instrumental in fostering a positive and inclusive workplace culture.</w:t>
      </w:r>
    </w:p>
    <w:p w14:paraId="173826C4" w14:textId="77777777" w:rsidR="00A76B9A" w:rsidRDefault="00A76B9A" w:rsidP="00A76B9A">
      <w:r w:rsidRPr="00A76B9A">
        <w:t>In conclusion, our strong quality score staff retention program underscores our unwavering commitment to employee growth, recognition, and well-being. We are confident that our strategic initiatives will not only enhance employee satisfaction and retention but also contribute to a thriving and engaged workforce.</w:t>
      </w:r>
    </w:p>
    <w:p w14:paraId="0ECB540F" w14:textId="77777777" w:rsidR="00B7206F" w:rsidRDefault="00B7206F" w:rsidP="00A76B9A"/>
    <w:p w14:paraId="104F9B76" w14:textId="732247C6" w:rsidR="00B7206F" w:rsidRDefault="00B7206F" w:rsidP="00B7206F">
      <w:pPr>
        <w:pStyle w:val="Heading1"/>
      </w:pPr>
      <w:bookmarkStart w:id="0" w:name="_Hlk179558368"/>
      <w:r>
        <w:t>Security</w:t>
      </w:r>
    </w:p>
    <w:p w14:paraId="79E58253" w14:textId="52E34EB6" w:rsidR="00B7206F" w:rsidRDefault="00B7206F" w:rsidP="00B7206F">
      <w:pPr>
        <w:pStyle w:val="Heading2"/>
      </w:pPr>
      <w:r>
        <w:t>Secure Environment</w:t>
      </w:r>
    </w:p>
    <w:p w14:paraId="00D8FF01" w14:textId="77777777" w:rsidR="00D42600" w:rsidRPr="00D42600" w:rsidRDefault="00D42600" w:rsidP="00D42600">
      <w:r w:rsidRPr="00D42600">
        <w:t>At our organization, the security of our physical environment, endpoints, and network is a top priority. We are dedicated to implementing a comprehensive security strategy that addresses all aspects of securing our infrastructure and data. Here's a detailed plan on how we will enhance security across all fronts:</w:t>
      </w:r>
    </w:p>
    <w:p w14:paraId="1FBB8921" w14:textId="77777777" w:rsidR="00D42600" w:rsidRPr="00D42600" w:rsidRDefault="00D42600" w:rsidP="00D42600">
      <w:r w:rsidRPr="00D42600">
        <w:rPr>
          <w:b/>
          <w:bCs/>
        </w:rPr>
        <w:t>Securing the Physical Environment:</w:t>
      </w:r>
    </w:p>
    <w:p w14:paraId="78888091" w14:textId="77777777" w:rsidR="00D42600" w:rsidRPr="00D42600" w:rsidRDefault="00D42600" w:rsidP="00D42600">
      <w:pPr>
        <w:numPr>
          <w:ilvl w:val="0"/>
          <w:numId w:val="1"/>
        </w:numPr>
      </w:pPr>
      <w:r w:rsidRPr="00D42600">
        <w:rPr>
          <w:b/>
          <w:bCs/>
        </w:rPr>
        <w:t>Access Control:</w:t>
      </w:r>
      <w:r w:rsidRPr="00D42600">
        <w:t> Implement a multi-layered access control system that includes biometric authentication, access cards, and video surveillance. For example, deploying fingerprint scanners at entry points and access card readers for restricted areas.</w:t>
      </w:r>
    </w:p>
    <w:p w14:paraId="27B92E41" w14:textId="77777777" w:rsidR="00D42600" w:rsidRPr="00D42600" w:rsidRDefault="00D42600" w:rsidP="00D42600">
      <w:pPr>
        <w:numPr>
          <w:ilvl w:val="0"/>
          <w:numId w:val="1"/>
        </w:numPr>
      </w:pPr>
      <w:r w:rsidRPr="00D42600">
        <w:rPr>
          <w:b/>
          <w:bCs/>
        </w:rPr>
        <w:t>Environmental Monitoring:</w:t>
      </w:r>
      <w:r w:rsidRPr="00D42600">
        <w:t> Utilize IoT sensors to monitor environmental factors such as temperature, humidity, and air quality in real-time. For instance, deploying sensors that trigger alerts for abnormal temperature fluctuations.</w:t>
      </w:r>
    </w:p>
    <w:p w14:paraId="06304151" w14:textId="77777777" w:rsidR="00D42600" w:rsidRPr="00D42600" w:rsidRDefault="00D42600" w:rsidP="00D42600">
      <w:pPr>
        <w:numPr>
          <w:ilvl w:val="0"/>
          <w:numId w:val="1"/>
        </w:numPr>
      </w:pPr>
      <w:r w:rsidRPr="00D42600">
        <w:rPr>
          <w:b/>
          <w:bCs/>
        </w:rPr>
        <w:t>Backup Power:</w:t>
      </w:r>
      <w:r w:rsidRPr="00D42600">
        <w:t> Install redundant power sources, such as generators and UPS systems, to ensure continuous operation during power outages. For example, setting up a backup generator that automatically kicks in during power failures.</w:t>
      </w:r>
    </w:p>
    <w:p w14:paraId="044681C4" w14:textId="77777777" w:rsidR="00D42600" w:rsidRPr="00D42600" w:rsidRDefault="00D42600" w:rsidP="00D42600">
      <w:r w:rsidRPr="00D42600">
        <w:rPr>
          <w:b/>
          <w:bCs/>
        </w:rPr>
        <w:t>Endpoint Protection:</w:t>
      </w:r>
    </w:p>
    <w:p w14:paraId="1FECFEAB" w14:textId="77777777" w:rsidR="00D42600" w:rsidRPr="00D42600" w:rsidRDefault="00D42600" w:rsidP="00D42600">
      <w:pPr>
        <w:numPr>
          <w:ilvl w:val="0"/>
          <w:numId w:val="2"/>
        </w:numPr>
      </w:pPr>
      <w:r w:rsidRPr="00D42600">
        <w:rPr>
          <w:b/>
          <w:bCs/>
        </w:rPr>
        <w:t>Endpoint Security Software:</w:t>
      </w:r>
      <w:r w:rsidRPr="00D42600">
        <w:t xml:space="preserve"> Deploy advanced endpoint protection software that includes anti-malware, firewall, and intrusion prevention capabilities. For </w:t>
      </w:r>
      <w:r w:rsidRPr="00D42600">
        <w:lastRenderedPageBreak/>
        <w:t>example, implementing a next-generation endpoint security solution that uses machine learning to detect and block threats.</w:t>
      </w:r>
    </w:p>
    <w:p w14:paraId="61F29E04" w14:textId="77777777" w:rsidR="00D42600" w:rsidRPr="00D42600" w:rsidRDefault="00D42600" w:rsidP="00D42600">
      <w:pPr>
        <w:numPr>
          <w:ilvl w:val="0"/>
          <w:numId w:val="2"/>
        </w:numPr>
      </w:pPr>
      <w:r w:rsidRPr="00D42600">
        <w:rPr>
          <w:b/>
          <w:bCs/>
        </w:rPr>
        <w:t>Encryption:</w:t>
      </w:r>
      <w:r w:rsidRPr="00D42600">
        <w:t xml:space="preserve"> Enable encryption on all endpoints to protect data at rest and in transit. For instance, deploying BitLocker on Windows devices and </w:t>
      </w:r>
      <w:proofErr w:type="spellStart"/>
      <w:r w:rsidRPr="00D42600">
        <w:t>FileVault</w:t>
      </w:r>
      <w:proofErr w:type="spellEnd"/>
      <w:r w:rsidRPr="00D42600">
        <w:t xml:space="preserve"> on macOS devices to encrypt data.</w:t>
      </w:r>
    </w:p>
    <w:p w14:paraId="33A4ECA0" w14:textId="77777777" w:rsidR="00D42600" w:rsidRPr="00D42600" w:rsidRDefault="00D42600" w:rsidP="00D42600">
      <w:pPr>
        <w:numPr>
          <w:ilvl w:val="0"/>
          <w:numId w:val="2"/>
        </w:numPr>
      </w:pPr>
      <w:r w:rsidRPr="00D42600">
        <w:rPr>
          <w:b/>
          <w:bCs/>
        </w:rPr>
        <w:t>Patch Management:</w:t>
      </w:r>
      <w:r w:rsidRPr="00D42600">
        <w:t> Implement an automated patch management system to ensure timely updates and patches are applied to all endpoints. For example, using a centralized patch management tool to schedule and deploy updates across the network.</w:t>
      </w:r>
    </w:p>
    <w:p w14:paraId="5916828D" w14:textId="77777777" w:rsidR="00D42600" w:rsidRPr="00D42600" w:rsidRDefault="00D42600" w:rsidP="00D42600">
      <w:r w:rsidRPr="00D42600">
        <w:rPr>
          <w:b/>
          <w:bCs/>
        </w:rPr>
        <w:t>Network Security:</w:t>
      </w:r>
    </w:p>
    <w:p w14:paraId="4F9B3F8D" w14:textId="77777777" w:rsidR="00D42600" w:rsidRPr="00D42600" w:rsidRDefault="00D42600" w:rsidP="00D42600">
      <w:pPr>
        <w:numPr>
          <w:ilvl w:val="0"/>
          <w:numId w:val="3"/>
        </w:numPr>
      </w:pPr>
      <w:r w:rsidRPr="00D42600">
        <w:rPr>
          <w:b/>
          <w:bCs/>
        </w:rPr>
        <w:t>Firewalls and Intrusion Detection Systems (IDS):</w:t>
      </w:r>
      <w:r w:rsidRPr="00D42600">
        <w:t> Deploy next-generation firewalls and IDS/IPS solutions to monitor and filter network traffic. For example, setting up a firewall with deep packet inspection capabilities to detect and block malicious traffic.</w:t>
      </w:r>
    </w:p>
    <w:p w14:paraId="11E1E662" w14:textId="77777777" w:rsidR="00D42600" w:rsidRPr="00D42600" w:rsidRDefault="00D42600" w:rsidP="00D42600">
      <w:pPr>
        <w:numPr>
          <w:ilvl w:val="0"/>
          <w:numId w:val="3"/>
        </w:numPr>
      </w:pPr>
      <w:r w:rsidRPr="00D42600">
        <w:rPr>
          <w:b/>
          <w:bCs/>
        </w:rPr>
        <w:t>Virtual Private Network (VPN):</w:t>
      </w:r>
      <w:r w:rsidRPr="00D42600">
        <w:t> Require all remote connections to go through a VPN for encrypted communication. For instance, providing employees with VPN clients to securely access the network from remote locations.</w:t>
      </w:r>
    </w:p>
    <w:p w14:paraId="224FEF22" w14:textId="77777777" w:rsidR="00D42600" w:rsidRPr="00D42600" w:rsidRDefault="00D42600" w:rsidP="00D42600">
      <w:pPr>
        <w:numPr>
          <w:ilvl w:val="0"/>
          <w:numId w:val="3"/>
        </w:numPr>
      </w:pPr>
      <w:r w:rsidRPr="00D42600">
        <w:rPr>
          <w:b/>
          <w:bCs/>
        </w:rPr>
        <w:t>Network Segmentation:</w:t>
      </w:r>
      <w:r w:rsidRPr="00D42600">
        <w:t> Segment the network to isolate critical systems and limit lateral movement in case of a breach. For example, creating separate VLANs for different departments to prevent unauthorized access.</w:t>
      </w:r>
    </w:p>
    <w:p w14:paraId="6F95A14C" w14:textId="77777777" w:rsidR="00D42600" w:rsidRPr="00D42600" w:rsidRDefault="00D42600" w:rsidP="00D42600">
      <w:r w:rsidRPr="00D42600">
        <w:rPr>
          <w:b/>
          <w:bCs/>
        </w:rPr>
        <w:t>Additional Security Measures:</w:t>
      </w:r>
    </w:p>
    <w:p w14:paraId="5A59D86B" w14:textId="77777777" w:rsidR="00D42600" w:rsidRPr="00D42600" w:rsidRDefault="00D42600" w:rsidP="00D42600">
      <w:pPr>
        <w:numPr>
          <w:ilvl w:val="0"/>
          <w:numId w:val="4"/>
        </w:numPr>
      </w:pPr>
      <w:r w:rsidRPr="00D42600">
        <w:rPr>
          <w:b/>
          <w:bCs/>
        </w:rPr>
        <w:t>Multi-factor Authentication (MFA):</w:t>
      </w:r>
      <w:r w:rsidRPr="00D42600">
        <w:t> Enable MFA for all user accounts to add an extra layer of security. For example, implementing MFA with biometric verification for critical systems.</w:t>
      </w:r>
    </w:p>
    <w:p w14:paraId="43D06BCB" w14:textId="77777777" w:rsidR="00D42600" w:rsidRPr="00D42600" w:rsidRDefault="00D42600" w:rsidP="00D42600">
      <w:pPr>
        <w:numPr>
          <w:ilvl w:val="0"/>
          <w:numId w:val="4"/>
        </w:numPr>
      </w:pPr>
      <w:r w:rsidRPr="00D42600">
        <w:rPr>
          <w:b/>
          <w:bCs/>
        </w:rPr>
        <w:t>Security Awareness Training:</w:t>
      </w:r>
      <w:r w:rsidRPr="00D42600">
        <w:t> Conduct regular security awareness training sessions to educate employees on cybersecurity best practices and common threats. For example, organizing phishing simulation exercises to test employee awareness.</w:t>
      </w:r>
    </w:p>
    <w:p w14:paraId="2DC42C4E" w14:textId="77777777" w:rsidR="00D42600" w:rsidRPr="00D42600" w:rsidRDefault="00D42600" w:rsidP="00D42600">
      <w:pPr>
        <w:numPr>
          <w:ilvl w:val="0"/>
          <w:numId w:val="4"/>
        </w:numPr>
      </w:pPr>
      <w:r w:rsidRPr="00D42600">
        <w:rPr>
          <w:b/>
          <w:bCs/>
        </w:rPr>
        <w:t>Incident Response Plan:</w:t>
      </w:r>
      <w:r w:rsidRPr="00D42600">
        <w:t> Develop and regularly test an incident response plan to ensure a swift and effective response to security incidents. For example, conducting tabletop exercises to simulate different security scenarios and responses.</w:t>
      </w:r>
    </w:p>
    <w:p w14:paraId="59E472D8" w14:textId="77777777" w:rsidR="00D42600" w:rsidRPr="00D42600" w:rsidRDefault="00D42600" w:rsidP="00D42600">
      <w:r w:rsidRPr="00D42600">
        <w:t>By implementing these detailed security measures across our physical environment, endpoints, and network, we aim to create a robust security posture that protects our organization from cyber threats and ensures the confidentiality, integrity, and availability of our data and systems.</w:t>
      </w:r>
    </w:p>
    <w:p w14:paraId="079D64F3" w14:textId="77777777" w:rsidR="00B7206F" w:rsidRPr="00B7206F" w:rsidRDefault="00B7206F" w:rsidP="00B7206F"/>
    <w:p w14:paraId="15B49586" w14:textId="70BA0B5D" w:rsidR="00B7206F" w:rsidRDefault="00B7206F" w:rsidP="00B7206F">
      <w:pPr>
        <w:pStyle w:val="Heading2"/>
      </w:pPr>
      <w:r>
        <w:t>Access Control Process</w:t>
      </w:r>
    </w:p>
    <w:bookmarkEnd w:id="0"/>
    <w:p w14:paraId="1B41C0D8" w14:textId="77777777" w:rsidR="00B7206F" w:rsidRPr="00B7206F" w:rsidRDefault="00B7206F" w:rsidP="00B7206F">
      <w:r w:rsidRPr="00B7206F">
        <w:t>we are committed to implementing a comprehensive access control process that leverages cutting-edge tools and technologies to ensure the security and compliance of your organization's systems and data. Let's explore how our access control process is not just theoretical but backed by robust tools and mechanisms for effective implementation.</w:t>
      </w:r>
    </w:p>
    <w:p w14:paraId="448FD624" w14:textId="77777777" w:rsidR="00B7206F" w:rsidRPr="00B7206F" w:rsidRDefault="00B7206F" w:rsidP="00B7206F">
      <w:r w:rsidRPr="00B7206F">
        <w:t>When a new employee joins your organization, our access control process is facilitated by advanced identity and access management (IAM) tools. These tools automate user provisioning based on predefined role templates, ensuring that the right access rights are granted to the right individuals from day one. Tools such as Azure Active Directory or Okta streamline the onboarding process, reducing the risk of human error and ensuring a secure access environment.</w:t>
      </w:r>
    </w:p>
    <w:p w14:paraId="5D16FB58" w14:textId="77777777" w:rsidR="00B7206F" w:rsidRPr="00B7206F" w:rsidRDefault="00B7206F" w:rsidP="00B7206F">
      <w:r w:rsidRPr="00B7206F">
        <w:t xml:space="preserve">In the event of an employee departure, our de-provisioning process is facilitated by privileged access management (PAM) tools like CyberArk or </w:t>
      </w:r>
      <w:proofErr w:type="spellStart"/>
      <w:r w:rsidRPr="00B7206F">
        <w:t>BeyondTrust</w:t>
      </w:r>
      <w:proofErr w:type="spellEnd"/>
      <w:r w:rsidRPr="00B7206F">
        <w:t>. These tools enable the immediate revocation of access rights across all systems and applications, minimizing the window of vulnerability and ensuring that ex-employees no longer have access to sensitive data post-departure.</w:t>
      </w:r>
    </w:p>
    <w:p w14:paraId="55B537C2" w14:textId="77777777" w:rsidR="00B7206F" w:rsidRPr="00B7206F" w:rsidRDefault="00B7206F" w:rsidP="00B7206F">
      <w:r w:rsidRPr="00B7206F">
        <w:t xml:space="preserve">Our access control policies and procedures are enforced through a centralized access management platform, such as IBM Security Identity Governance and Intelligence or SailPoint </w:t>
      </w:r>
      <w:proofErr w:type="spellStart"/>
      <w:r w:rsidRPr="00B7206F">
        <w:t>IdentityNow</w:t>
      </w:r>
      <w:proofErr w:type="spellEnd"/>
      <w:r w:rsidRPr="00B7206F">
        <w:t>. These platforms provide a single pane of glass for managing user access, enforcing role-based access controls, and conducting regular access reviews. Automated workflows and approval processes streamline access management tasks, ensuring efficiency and accuracy in access rights assignment.</w:t>
      </w:r>
    </w:p>
    <w:p w14:paraId="2428F0AF" w14:textId="77777777" w:rsidR="00B7206F" w:rsidRPr="00B7206F" w:rsidRDefault="00B7206F" w:rsidP="00B7206F">
      <w:r w:rsidRPr="00B7206F">
        <w:t xml:space="preserve">To bolster security monitoring, we utilize security information and event management (SIEM) tools like Splunk or IBM </w:t>
      </w:r>
      <w:proofErr w:type="spellStart"/>
      <w:r w:rsidRPr="00B7206F">
        <w:t>QRadar</w:t>
      </w:r>
      <w:proofErr w:type="spellEnd"/>
      <w:r w:rsidRPr="00B7206F">
        <w:t xml:space="preserve">. These SIEM solutions collect and </w:t>
      </w:r>
      <w:proofErr w:type="spellStart"/>
      <w:r w:rsidRPr="00B7206F">
        <w:t>analyze</w:t>
      </w:r>
      <w:proofErr w:type="spellEnd"/>
      <w:r w:rsidRPr="00B7206F">
        <w:t xml:space="preserve"> access logs in real-time, generating alerts for suspicious access activities and potential security incidents. By correlating access events with threat intelligence data, we enhance our threat detection capabilities and enable proactive incident response.</w:t>
      </w:r>
    </w:p>
    <w:p w14:paraId="51A62FEE" w14:textId="77777777" w:rsidR="00B7206F" w:rsidRPr="00B7206F" w:rsidRDefault="00B7206F" w:rsidP="00B7206F">
      <w:r w:rsidRPr="00B7206F">
        <w:t>Compliance is a top priority in our access control process, and we leverage compliance management tools like RSA Archer or MetricStream to ensure adherence to industry regulations and standards. These tools facilitate compliance assessments, audits, and reporting, providing you with a transparent view of your organization's compliance status and readiness.</w:t>
      </w:r>
    </w:p>
    <w:p w14:paraId="6F89ACCD" w14:textId="77777777" w:rsidR="00B7206F" w:rsidRPr="00B7206F" w:rsidRDefault="00B7206F" w:rsidP="00B7206F">
      <w:r w:rsidRPr="00B7206F">
        <w:t xml:space="preserve">In conclusion, our access control process is not just a concept—it is a tangible framework supported by advanced tools and technologies that enhance the security, efficiency, and compliance of your access control environment. By partnering with us, </w:t>
      </w:r>
      <w:r w:rsidRPr="00B7206F">
        <w:lastRenderedPageBreak/>
        <w:t>you can be confident that your organization's access control measures are backed by the latest tools and best practices in the industry.</w:t>
      </w:r>
    </w:p>
    <w:p w14:paraId="5AF7BB54" w14:textId="77777777" w:rsidR="00B7206F" w:rsidRPr="00B7206F" w:rsidRDefault="00B7206F" w:rsidP="00B7206F"/>
    <w:p w14:paraId="00EE8EB0" w14:textId="77777777" w:rsidR="00A76B9A" w:rsidRDefault="00A76B9A" w:rsidP="00CF793B"/>
    <w:sectPr w:rsidR="00A76B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052F9"/>
    <w:multiLevelType w:val="multilevel"/>
    <w:tmpl w:val="D0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04053"/>
    <w:multiLevelType w:val="multilevel"/>
    <w:tmpl w:val="EAD4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4485B"/>
    <w:multiLevelType w:val="multilevel"/>
    <w:tmpl w:val="11C6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FF0C45"/>
    <w:multiLevelType w:val="multilevel"/>
    <w:tmpl w:val="B5F2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810601">
    <w:abstractNumId w:val="3"/>
  </w:num>
  <w:num w:numId="2" w16cid:durableId="1472094695">
    <w:abstractNumId w:val="1"/>
  </w:num>
  <w:num w:numId="3" w16cid:durableId="2075004227">
    <w:abstractNumId w:val="0"/>
  </w:num>
  <w:num w:numId="4" w16cid:durableId="1849951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3B"/>
    <w:rsid w:val="00374E09"/>
    <w:rsid w:val="0078634E"/>
    <w:rsid w:val="0080184E"/>
    <w:rsid w:val="00A76B9A"/>
    <w:rsid w:val="00B7206F"/>
    <w:rsid w:val="00B759DB"/>
    <w:rsid w:val="00BF2D24"/>
    <w:rsid w:val="00C85C24"/>
    <w:rsid w:val="00CF793B"/>
    <w:rsid w:val="00D42600"/>
    <w:rsid w:val="00DB12F2"/>
    <w:rsid w:val="00DC4614"/>
    <w:rsid w:val="00FA22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9238"/>
  <w15:chartTrackingRefBased/>
  <w15:docId w15:val="{C2734232-8746-4E50-AE31-EE41281A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9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9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9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9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9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9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9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9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9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9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93B"/>
    <w:rPr>
      <w:rFonts w:eastAsiaTheme="majorEastAsia" w:cstheme="majorBidi"/>
      <w:color w:val="272727" w:themeColor="text1" w:themeTint="D8"/>
    </w:rPr>
  </w:style>
  <w:style w:type="paragraph" w:styleId="Title">
    <w:name w:val="Title"/>
    <w:basedOn w:val="Normal"/>
    <w:next w:val="Normal"/>
    <w:link w:val="TitleChar"/>
    <w:uiPriority w:val="10"/>
    <w:qFormat/>
    <w:rsid w:val="00CF79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9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93B"/>
    <w:pPr>
      <w:spacing w:before="160"/>
      <w:jc w:val="center"/>
    </w:pPr>
    <w:rPr>
      <w:i/>
      <w:iCs/>
      <w:color w:val="404040" w:themeColor="text1" w:themeTint="BF"/>
    </w:rPr>
  </w:style>
  <w:style w:type="character" w:customStyle="1" w:styleId="QuoteChar">
    <w:name w:val="Quote Char"/>
    <w:basedOn w:val="DefaultParagraphFont"/>
    <w:link w:val="Quote"/>
    <w:uiPriority w:val="29"/>
    <w:rsid w:val="00CF793B"/>
    <w:rPr>
      <w:i/>
      <w:iCs/>
      <w:color w:val="404040" w:themeColor="text1" w:themeTint="BF"/>
    </w:rPr>
  </w:style>
  <w:style w:type="paragraph" w:styleId="ListParagraph">
    <w:name w:val="List Paragraph"/>
    <w:basedOn w:val="Normal"/>
    <w:uiPriority w:val="34"/>
    <w:qFormat/>
    <w:rsid w:val="00CF793B"/>
    <w:pPr>
      <w:ind w:left="720"/>
      <w:contextualSpacing/>
    </w:pPr>
  </w:style>
  <w:style w:type="character" w:styleId="IntenseEmphasis">
    <w:name w:val="Intense Emphasis"/>
    <w:basedOn w:val="DefaultParagraphFont"/>
    <w:uiPriority w:val="21"/>
    <w:qFormat/>
    <w:rsid w:val="00CF793B"/>
    <w:rPr>
      <w:i/>
      <w:iCs/>
      <w:color w:val="0F4761" w:themeColor="accent1" w:themeShade="BF"/>
    </w:rPr>
  </w:style>
  <w:style w:type="paragraph" w:styleId="IntenseQuote">
    <w:name w:val="Intense Quote"/>
    <w:basedOn w:val="Normal"/>
    <w:next w:val="Normal"/>
    <w:link w:val="IntenseQuoteChar"/>
    <w:uiPriority w:val="30"/>
    <w:qFormat/>
    <w:rsid w:val="00CF79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93B"/>
    <w:rPr>
      <w:i/>
      <w:iCs/>
      <w:color w:val="0F4761" w:themeColor="accent1" w:themeShade="BF"/>
    </w:rPr>
  </w:style>
  <w:style w:type="character" w:styleId="IntenseReference">
    <w:name w:val="Intense Reference"/>
    <w:basedOn w:val="DefaultParagraphFont"/>
    <w:uiPriority w:val="32"/>
    <w:qFormat/>
    <w:rsid w:val="00CF79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32782">
      <w:bodyDiv w:val="1"/>
      <w:marLeft w:val="0"/>
      <w:marRight w:val="0"/>
      <w:marTop w:val="0"/>
      <w:marBottom w:val="0"/>
      <w:divBdr>
        <w:top w:val="none" w:sz="0" w:space="0" w:color="auto"/>
        <w:left w:val="none" w:sz="0" w:space="0" w:color="auto"/>
        <w:bottom w:val="none" w:sz="0" w:space="0" w:color="auto"/>
        <w:right w:val="none" w:sz="0" w:space="0" w:color="auto"/>
      </w:divBdr>
    </w:div>
    <w:div w:id="412549270">
      <w:bodyDiv w:val="1"/>
      <w:marLeft w:val="0"/>
      <w:marRight w:val="0"/>
      <w:marTop w:val="0"/>
      <w:marBottom w:val="0"/>
      <w:divBdr>
        <w:top w:val="none" w:sz="0" w:space="0" w:color="auto"/>
        <w:left w:val="none" w:sz="0" w:space="0" w:color="auto"/>
        <w:bottom w:val="none" w:sz="0" w:space="0" w:color="auto"/>
        <w:right w:val="none" w:sz="0" w:space="0" w:color="auto"/>
      </w:divBdr>
    </w:div>
    <w:div w:id="793451971">
      <w:bodyDiv w:val="1"/>
      <w:marLeft w:val="0"/>
      <w:marRight w:val="0"/>
      <w:marTop w:val="0"/>
      <w:marBottom w:val="0"/>
      <w:divBdr>
        <w:top w:val="none" w:sz="0" w:space="0" w:color="auto"/>
        <w:left w:val="none" w:sz="0" w:space="0" w:color="auto"/>
        <w:bottom w:val="none" w:sz="0" w:space="0" w:color="auto"/>
        <w:right w:val="none" w:sz="0" w:space="0" w:color="auto"/>
      </w:divBdr>
    </w:div>
    <w:div w:id="1078135960">
      <w:bodyDiv w:val="1"/>
      <w:marLeft w:val="0"/>
      <w:marRight w:val="0"/>
      <w:marTop w:val="0"/>
      <w:marBottom w:val="0"/>
      <w:divBdr>
        <w:top w:val="none" w:sz="0" w:space="0" w:color="auto"/>
        <w:left w:val="none" w:sz="0" w:space="0" w:color="auto"/>
        <w:bottom w:val="none" w:sz="0" w:space="0" w:color="auto"/>
        <w:right w:val="none" w:sz="0" w:space="0" w:color="auto"/>
      </w:divBdr>
    </w:div>
    <w:div w:id="1093164105">
      <w:bodyDiv w:val="1"/>
      <w:marLeft w:val="0"/>
      <w:marRight w:val="0"/>
      <w:marTop w:val="0"/>
      <w:marBottom w:val="0"/>
      <w:divBdr>
        <w:top w:val="none" w:sz="0" w:space="0" w:color="auto"/>
        <w:left w:val="none" w:sz="0" w:space="0" w:color="auto"/>
        <w:bottom w:val="none" w:sz="0" w:space="0" w:color="auto"/>
        <w:right w:val="none" w:sz="0" w:space="0" w:color="auto"/>
      </w:divBdr>
    </w:div>
    <w:div w:id="152702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 Dih WONG (GOVTECH)</dc:creator>
  <cp:keywords/>
  <dc:description/>
  <cp:lastModifiedBy>shingdih wong</cp:lastModifiedBy>
  <cp:revision>6</cp:revision>
  <dcterms:created xsi:type="dcterms:W3CDTF">2024-10-20T05:41:00Z</dcterms:created>
  <dcterms:modified xsi:type="dcterms:W3CDTF">2024-10-27T03:41:00Z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2024-10-10T11:48:36Z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4e176f06-a85e-4821-9a19-8d8f19a9c2b4</vt:lpwstr>
  </property>
  <property fmtid="{D5CDD505-2E9C-101B-9397-08002B2CF9AE}" pid="8" name="MSIP_Label_770f46e1-5fba-47ae-991f-a0785d9c0dac_ContentBits">
    <vt:lpwstr>0</vt:lpwstr>
  </property>
</Properties>
</file>