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right="0" w:rightChars="0"/>
        <w:jc w:val="both"/>
        <w:rPr>
          <w:b w:val="0"/>
          <w:sz w:val="28"/>
          <w:szCs w:val="28"/>
        </w:rPr>
      </w:pPr>
      <w:bookmarkStart w:id="0" w:name="_GoBack"/>
      <w:r>
        <w:rPr>
          <w:rFonts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"https://blog.csdn.net/weixin_43618989/article/details/106521438" \l "1_365" \t "https://blog.csdn.net/weixin_43618989/article/details/_self" </w:instrText>
      </w:r>
      <w:r>
        <w:rPr>
          <w:rFonts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t>1.进行用户消费趋势的分析（按月）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Chars="200" w:right="0" w:rightChars="0"/>
        <w:jc w:val="both"/>
        <w:rPr>
          <w:b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"https://blog.csdn.net/weixin_43618989/article/details/106521438" \l "11_371" \t "https://blog.csdn.net/weixin_43618989/article/details/_self"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t>1.1每月的消费总金额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-120" w:leftChars="200" w:right="0" w:rightChars="0" w:firstLine="280" w:firstLineChars="100"/>
        <w:jc w:val="both"/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"https://blog.csdn.net/weixin_43618989/article/details/106521438" \l "12_405" \t "https://blog.csdn.net/weixin_43618989/article/details/_self"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t>1.2每月的消费次数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-120" w:leftChars="200" w:right="0" w:rightChars="0" w:firstLine="280" w:firstLineChars="100"/>
        <w:jc w:val="both"/>
        <w:rPr>
          <w:b w:val="0"/>
          <w:sz w:val="28"/>
          <w:szCs w:val="28"/>
        </w:rPr>
      </w:pP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"https://blog.csdn.net/weixin_43618989/article/details/106521438" \l "13_419" \t "https://blog.csdn.net/weixin_43618989/article/details/_self"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t>1.3每月的产品购买量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-120" w:leftChars="200" w:right="0" w:rightChars="0" w:firstLine="280" w:firstLineChars="100"/>
        <w:jc w:val="both"/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"https://blog.csdn.net/weixin_43618989/article/details/106521438" \l "14_433" \t "https://blog.csdn.net/weixin_43618989/article/details/_self"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t>1.4每月的消费人数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-120" w:leftChars="200" w:right="0" w:rightChars="0" w:firstLine="280" w:firstLineChars="100"/>
        <w:jc w:val="both"/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-120" w:leftChars="0" w:right="0" w:rightChars="0"/>
        <w:jc w:val="both"/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"https://blog.csdn.net/weixin_43618989/article/details/106521438" \l "2_680" \t "https://blog.csdn.net/weixin_43618989/article/details/_self"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t>2.用户个体消费分析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-120" w:leftChars="0" w:right="0" w:rightChars="0"/>
        <w:jc w:val="both"/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"21_686"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2.1用户消费金额、消费次数、产品购买量的描述性统计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"22_878"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2.2用户消费金额和产品购买量的散点图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"23_922"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2.3用户产品购买量的分布图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"24_959"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2.4用户累计消费金额占比（百分之多少的用户占了百分之多少的消费额）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right="0" w:rightChars="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"3_1102"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3.用户行为分析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"31_1118"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3.1用户第一次消费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"32_1157"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3.2用户最后一次消费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"33_1173"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3.3新老客户消费比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"331_1174"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3.3.1多少客户仅消费了一次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"332_1311"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3.3.2每月新客占比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"34_1516"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3.4用户分层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"341RFM_1517"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3.4.1RFM用户分层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"342_2546"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3.4.2用户状态分析：注册、活跃、回流、流失（不活跃）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"35_4024"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3.5用户购买周期（按订单）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"351_4025"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3.5.1用户消费周期描述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"352_4069"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3.5.2用户消费周期分布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"36_4083"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3.6用户生命周期（按第一次&amp;最后一次消费）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"361_4084"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3.6.1用户生命周期描述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"362_4232"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3.6.2用户生命周期分布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right="0" w:rightChars="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right="0" w:rightChars="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"4_4263"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4.用户消费指标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"41_4273"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4.1留存率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"42_4960"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4.2流失率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"43_5085"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4.3复购率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"44_5797"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4.4回购率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left="400" w:leftChars="200" w:right="0" w:rightChars="0" w:firstLine="280" w:firstLineChars="10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</w:pP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instrText xml:space="preserve"> HYPERLINK "https://blog.csdn.net/weixin_43618989/article/details/106521438" \l "5_6766" \t "https://blog.csdn.net/weixin_43618989/article/details/_self" </w:instrTex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t>5.总结</w:t>
      </w:r>
      <w:r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8"/>
          <w:szCs w:val="28"/>
          <w:u w:val="none"/>
          <w:shd w:val="clear" w:fill="FFFFFF"/>
        </w:rPr>
        <w:fldChar w:fldCharType="end"/>
      </w:r>
    </w:p>
    <w:bookmarkEnd w:id="0"/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" w:beforeAutospacing="0" w:after="0" w:afterAutospacing="0" w:line="240" w:lineRule="atLeast"/>
        <w:ind w:right="0" w:rightChars="0"/>
        <w:jc w:val="both"/>
        <w:rPr>
          <w:rStyle w:val="5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18"/>
          <w:szCs w:val="18"/>
          <w:u w:val="none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A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2020-10-02T20:07:12Z</dcterms:created>
  <dc:creator>cryst</dc:creator>
  <cp:lastModifiedBy>Power Career Admin</cp:lastModifiedBy>
  <dcterms:modified xsi:type="dcterms:W3CDTF">2020-10-02T20:09:29Z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