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796"/>
        <w:gridCol w:w="1319"/>
        <w:gridCol w:w="8275"/>
      </w:tblGrid>
      <w:tr w:rsidR="00BD160A" w:rsidTr="00F40351">
        <w:tc>
          <w:tcPr>
            <w:tcW w:w="14390" w:type="dxa"/>
            <w:gridSpan w:val="3"/>
            <w:tcBorders>
              <w:top w:val="nil"/>
              <w:left w:val="nil"/>
              <w:right w:val="nil"/>
            </w:tcBorders>
          </w:tcPr>
          <w:p w:rsidR="00BD160A" w:rsidRPr="00BD160A" w:rsidRDefault="00E21E54" w:rsidP="009315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2017</w:t>
            </w:r>
            <w:r w:rsidR="00BD160A" w:rsidRPr="00BD160A">
              <w:rPr>
                <w:b/>
                <w:sz w:val="24"/>
                <w:szCs w:val="24"/>
              </w:rPr>
              <w:t xml:space="preserve"> FCN Quality Report Definitions</w:t>
            </w:r>
          </w:p>
        </w:tc>
      </w:tr>
      <w:tr w:rsidR="00931536" w:rsidTr="00F40351">
        <w:tc>
          <w:tcPr>
            <w:tcW w:w="4796" w:type="dxa"/>
          </w:tcPr>
          <w:p w:rsidR="00931536" w:rsidRPr="00931536" w:rsidRDefault="00931536" w:rsidP="00931536">
            <w:pPr>
              <w:jc w:val="center"/>
              <w:rPr>
                <w:b/>
              </w:rPr>
            </w:pPr>
            <w:r>
              <w:rPr>
                <w:b/>
              </w:rPr>
              <w:t>Measure</w:t>
            </w:r>
          </w:p>
        </w:tc>
        <w:tc>
          <w:tcPr>
            <w:tcW w:w="1319" w:type="dxa"/>
          </w:tcPr>
          <w:p w:rsidR="00931536" w:rsidRPr="00931536" w:rsidRDefault="00931536" w:rsidP="00931536">
            <w:pPr>
              <w:jc w:val="center"/>
              <w:rPr>
                <w:b/>
              </w:rPr>
            </w:pPr>
            <w:r w:rsidRPr="00931536">
              <w:rPr>
                <w:b/>
              </w:rPr>
              <w:t>Threshold</w:t>
            </w:r>
          </w:p>
        </w:tc>
        <w:tc>
          <w:tcPr>
            <w:tcW w:w="8275" w:type="dxa"/>
          </w:tcPr>
          <w:p w:rsidR="00931536" w:rsidRPr="00931536" w:rsidRDefault="00931536" w:rsidP="00931536">
            <w:pPr>
              <w:jc w:val="center"/>
              <w:rPr>
                <w:b/>
              </w:rPr>
            </w:pPr>
            <w:r w:rsidRPr="00931536">
              <w:rPr>
                <w:b/>
              </w:rPr>
              <w:t>Definition</w:t>
            </w:r>
          </w:p>
        </w:tc>
      </w:tr>
      <w:tr w:rsidR="00931536" w:rsidTr="00F40351">
        <w:tc>
          <w:tcPr>
            <w:tcW w:w="14390" w:type="dxa"/>
            <w:gridSpan w:val="3"/>
            <w:shd w:val="clear" w:color="auto" w:fill="D9D9D9" w:themeFill="background1" w:themeFillShade="D9"/>
          </w:tcPr>
          <w:p w:rsidR="00931536" w:rsidRPr="00931536" w:rsidRDefault="00931536" w:rsidP="00931536">
            <w:pPr>
              <w:rPr>
                <w:b/>
              </w:rPr>
            </w:pPr>
            <w:r>
              <w:rPr>
                <w:b/>
              </w:rPr>
              <w:t>Chronic Disease - Diabetes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>
            <w:r>
              <w:t>HgbA1c NOT &gt;9.0 (poor control)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85%</w:t>
            </w:r>
          </w:p>
        </w:tc>
        <w:tc>
          <w:tcPr>
            <w:tcW w:w="8275" w:type="dxa"/>
          </w:tcPr>
          <w:p w:rsidR="00931536" w:rsidRDefault="00931536">
            <w:r>
              <w:t>All patients with diabetes with most recent HgbA1c 9.0 or less.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>
            <w:r>
              <w:t>HgbA1c &lt; 7.0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40%</w:t>
            </w:r>
          </w:p>
        </w:tc>
        <w:tc>
          <w:tcPr>
            <w:tcW w:w="8275" w:type="dxa"/>
          </w:tcPr>
          <w:p w:rsidR="00931536" w:rsidRDefault="00931536">
            <w:r>
              <w:t>All patients with diabetes with most recent HgbA1c 7.0 or greater.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>
            <w:r>
              <w:t>Blood Pressure NOT Controlled &gt;140/90 mm HG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None</w:t>
            </w:r>
          </w:p>
        </w:tc>
        <w:tc>
          <w:tcPr>
            <w:tcW w:w="8275" w:type="dxa"/>
          </w:tcPr>
          <w:p w:rsidR="00931536" w:rsidRDefault="00931536">
            <w:r>
              <w:t>All patients with diabetes with most recent BP Diastolic greater than 140 OR BP Systolic greater than 90.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>
            <w:r>
              <w:t>Eye Exam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76%</w:t>
            </w:r>
          </w:p>
        </w:tc>
        <w:tc>
          <w:tcPr>
            <w:tcW w:w="8275" w:type="dxa"/>
          </w:tcPr>
          <w:p w:rsidR="00931536" w:rsidRDefault="00931536">
            <w:r>
              <w:t>All patients with diabetes who have had a dilated eye exam within the past 365 days.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>
            <w:r>
              <w:t>Smoking Cessation or Advice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80%</w:t>
            </w:r>
          </w:p>
        </w:tc>
        <w:tc>
          <w:tcPr>
            <w:tcW w:w="8275" w:type="dxa"/>
          </w:tcPr>
          <w:p w:rsidR="00931536" w:rsidRDefault="00931536">
            <w:r>
              <w:t>All patients age 18+ with diabetes seen in the past year who are currently smokers who have a check in the box ‘smoking cessation counseling done’.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>
            <w:r>
              <w:t>Nephropathy Assessment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80%</w:t>
            </w:r>
          </w:p>
        </w:tc>
        <w:tc>
          <w:tcPr>
            <w:tcW w:w="8275" w:type="dxa"/>
          </w:tcPr>
          <w:p w:rsidR="00931536" w:rsidRDefault="00931536">
            <w:r w:rsidRPr="00820D49">
              <w:rPr>
                <w:sz w:val="20"/>
                <w:szCs w:val="20"/>
              </w:rPr>
              <w:t xml:space="preserve">All patients with diabetes who have had a </w:t>
            </w:r>
            <w:proofErr w:type="spellStart"/>
            <w:r w:rsidRPr="00820D49">
              <w:rPr>
                <w:sz w:val="20"/>
                <w:szCs w:val="20"/>
              </w:rPr>
              <w:t>microalbumin</w:t>
            </w:r>
            <w:proofErr w:type="spellEnd"/>
            <w:r w:rsidRPr="00820D49">
              <w:rPr>
                <w:sz w:val="20"/>
                <w:szCs w:val="20"/>
              </w:rPr>
              <w:t>/creatinine ratio in past 365 days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>
            <w:r>
              <w:t>Foot Exam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77%</w:t>
            </w:r>
          </w:p>
        </w:tc>
        <w:tc>
          <w:tcPr>
            <w:tcW w:w="8275" w:type="dxa"/>
          </w:tcPr>
          <w:p w:rsidR="00931536" w:rsidRDefault="00931536">
            <w:r w:rsidRPr="00820D49">
              <w:rPr>
                <w:sz w:val="20"/>
                <w:szCs w:val="20"/>
              </w:rPr>
              <w:t>All patients with diabetes who have had a diabetes foot exam (including monofilament) recorded in diabetes foot check portion of EMR in past year.</w:t>
            </w:r>
          </w:p>
        </w:tc>
      </w:tr>
      <w:tr w:rsidR="005A15C2" w:rsidTr="00F40351">
        <w:tc>
          <w:tcPr>
            <w:tcW w:w="4796" w:type="dxa"/>
            <w:shd w:val="clear" w:color="auto" w:fill="E2EFD9" w:themeFill="accent6" w:themeFillTint="33"/>
          </w:tcPr>
          <w:p w:rsidR="005A15C2" w:rsidRDefault="005A15C2">
            <w:r>
              <w:t>Diabetes Care Gaps</w:t>
            </w:r>
          </w:p>
        </w:tc>
        <w:tc>
          <w:tcPr>
            <w:tcW w:w="1319" w:type="dxa"/>
            <w:shd w:val="clear" w:color="auto" w:fill="E2EFD9" w:themeFill="accent6" w:themeFillTint="33"/>
          </w:tcPr>
          <w:p w:rsidR="005A15C2" w:rsidRDefault="005A15C2" w:rsidP="00931536">
            <w:pPr>
              <w:jc w:val="center"/>
            </w:pPr>
            <w:r>
              <w:t>None</w:t>
            </w:r>
          </w:p>
        </w:tc>
        <w:tc>
          <w:tcPr>
            <w:tcW w:w="8275" w:type="dxa"/>
            <w:shd w:val="clear" w:color="auto" w:fill="E2EFD9" w:themeFill="accent6" w:themeFillTint="33"/>
          </w:tcPr>
          <w:p w:rsidR="005A15C2" w:rsidRPr="00820D49" w:rsidRDefault="005A15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 patients who do not meeting at least one of these measures; HgbA1c in past 180 days, LDL in past 365 days, eye exam in past 365 days or foot exam in past 365 days.</w:t>
            </w:r>
          </w:p>
        </w:tc>
      </w:tr>
      <w:tr w:rsidR="005A15C2" w:rsidTr="00F40351">
        <w:tc>
          <w:tcPr>
            <w:tcW w:w="4796" w:type="dxa"/>
            <w:shd w:val="clear" w:color="auto" w:fill="D9D9D9" w:themeFill="background1" w:themeFillShade="D9"/>
          </w:tcPr>
          <w:p w:rsidR="005A15C2" w:rsidRPr="005A15C2" w:rsidRDefault="005A15C2">
            <w:pPr>
              <w:rPr>
                <w:b/>
              </w:rPr>
            </w:pPr>
            <w:r>
              <w:rPr>
                <w:b/>
              </w:rPr>
              <w:t>Diabetes Medications</w:t>
            </w:r>
          </w:p>
        </w:tc>
        <w:tc>
          <w:tcPr>
            <w:tcW w:w="1319" w:type="dxa"/>
            <w:shd w:val="clear" w:color="auto" w:fill="D9D9D9" w:themeFill="background1" w:themeFillShade="D9"/>
          </w:tcPr>
          <w:p w:rsidR="005A15C2" w:rsidRDefault="005A15C2" w:rsidP="00931536">
            <w:pPr>
              <w:jc w:val="center"/>
            </w:pPr>
          </w:p>
        </w:tc>
        <w:tc>
          <w:tcPr>
            <w:tcW w:w="8275" w:type="dxa"/>
            <w:shd w:val="clear" w:color="auto" w:fill="D9D9D9" w:themeFill="background1" w:themeFillShade="D9"/>
          </w:tcPr>
          <w:p w:rsidR="005A15C2" w:rsidRDefault="005A15C2">
            <w:pPr>
              <w:rPr>
                <w:sz w:val="20"/>
                <w:szCs w:val="20"/>
              </w:rPr>
            </w:pPr>
          </w:p>
        </w:tc>
      </w:tr>
      <w:tr w:rsidR="005A15C2" w:rsidTr="00F40351">
        <w:tc>
          <w:tcPr>
            <w:tcW w:w="4796" w:type="dxa"/>
            <w:shd w:val="clear" w:color="auto" w:fill="E2EFD9" w:themeFill="accent6" w:themeFillTint="33"/>
          </w:tcPr>
          <w:p w:rsidR="005A15C2" w:rsidRDefault="005A15C2">
            <w:r>
              <w:t>DM PTS 55-75 w/ACE/ARB</w:t>
            </w:r>
          </w:p>
        </w:tc>
        <w:tc>
          <w:tcPr>
            <w:tcW w:w="1319" w:type="dxa"/>
            <w:shd w:val="clear" w:color="auto" w:fill="E2EFD9" w:themeFill="accent6" w:themeFillTint="33"/>
          </w:tcPr>
          <w:p w:rsidR="005A15C2" w:rsidRDefault="005A15C2" w:rsidP="00931536">
            <w:pPr>
              <w:jc w:val="center"/>
            </w:pPr>
            <w:r>
              <w:t>None</w:t>
            </w:r>
          </w:p>
        </w:tc>
        <w:tc>
          <w:tcPr>
            <w:tcW w:w="8275" w:type="dxa"/>
            <w:shd w:val="clear" w:color="auto" w:fill="E2EFD9" w:themeFill="accent6" w:themeFillTint="33"/>
          </w:tcPr>
          <w:p w:rsidR="005A15C2" w:rsidRDefault="005A15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 patients 55-75 years of age who are on an Ace/Arb medication.</w:t>
            </w:r>
          </w:p>
        </w:tc>
      </w:tr>
      <w:tr w:rsidR="005A15C2" w:rsidTr="00F40351">
        <w:tc>
          <w:tcPr>
            <w:tcW w:w="4796" w:type="dxa"/>
            <w:shd w:val="clear" w:color="auto" w:fill="E2EFD9" w:themeFill="accent6" w:themeFillTint="33"/>
          </w:tcPr>
          <w:p w:rsidR="005A15C2" w:rsidRDefault="005A15C2">
            <w:r>
              <w:t>DM PTS 40 to 75 w/STATIN</w:t>
            </w:r>
          </w:p>
        </w:tc>
        <w:tc>
          <w:tcPr>
            <w:tcW w:w="1319" w:type="dxa"/>
            <w:shd w:val="clear" w:color="auto" w:fill="E2EFD9" w:themeFill="accent6" w:themeFillTint="33"/>
          </w:tcPr>
          <w:p w:rsidR="005A15C2" w:rsidRDefault="005A15C2" w:rsidP="00931536">
            <w:pPr>
              <w:jc w:val="center"/>
            </w:pPr>
            <w:r>
              <w:t>None</w:t>
            </w:r>
          </w:p>
        </w:tc>
        <w:tc>
          <w:tcPr>
            <w:tcW w:w="8275" w:type="dxa"/>
            <w:shd w:val="clear" w:color="auto" w:fill="E2EFD9" w:themeFill="accent6" w:themeFillTint="33"/>
          </w:tcPr>
          <w:p w:rsidR="005A15C2" w:rsidRDefault="005A15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 patients 40-75 years of age who are on a statin medication.</w:t>
            </w:r>
          </w:p>
        </w:tc>
      </w:tr>
      <w:tr w:rsidR="00931536" w:rsidTr="00F40351">
        <w:tc>
          <w:tcPr>
            <w:tcW w:w="14390" w:type="dxa"/>
            <w:gridSpan w:val="3"/>
            <w:shd w:val="clear" w:color="auto" w:fill="D9D9D9" w:themeFill="background1" w:themeFillShade="D9"/>
          </w:tcPr>
          <w:p w:rsidR="00931536" w:rsidRPr="0071114E" w:rsidRDefault="00931536">
            <w:pPr>
              <w:rPr>
                <w:b/>
              </w:rPr>
            </w:pPr>
            <w:r w:rsidRPr="0071114E">
              <w:rPr>
                <w:b/>
              </w:rPr>
              <w:t>Chronic Disease - Hypertension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>
            <w:r>
              <w:t>Hypertension Patients 18-59 years BP &lt;140/90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None</w:t>
            </w:r>
          </w:p>
        </w:tc>
        <w:tc>
          <w:tcPr>
            <w:tcW w:w="8275" w:type="dxa"/>
          </w:tcPr>
          <w:p w:rsidR="00931536" w:rsidRPr="00820D49" w:rsidRDefault="00931536">
            <w:pPr>
              <w:rPr>
                <w:sz w:val="20"/>
                <w:szCs w:val="20"/>
              </w:rPr>
            </w:pPr>
            <w:r w:rsidRPr="00820D49">
              <w:rPr>
                <w:sz w:val="20"/>
                <w:szCs w:val="20"/>
              </w:rPr>
              <w:t>All patients age 18 – 59 with a diagnosis of hypertension with the most recent blood pressure reading taken in the past 365 days and less than 140/90.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>
            <w:r>
              <w:t>Hypertension Patients over 59 BP &lt;150/90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None</w:t>
            </w:r>
          </w:p>
        </w:tc>
        <w:tc>
          <w:tcPr>
            <w:tcW w:w="8275" w:type="dxa"/>
          </w:tcPr>
          <w:p w:rsidR="00931536" w:rsidRPr="00820D49" w:rsidRDefault="00931536">
            <w:pPr>
              <w:rPr>
                <w:sz w:val="20"/>
                <w:szCs w:val="20"/>
              </w:rPr>
            </w:pPr>
            <w:r w:rsidRPr="00820D49">
              <w:rPr>
                <w:sz w:val="20"/>
                <w:szCs w:val="20"/>
              </w:rPr>
              <w:t>All patients age 60+ with a diagnosis of hypertension, with the most recent blood pressure reading taken in the past 365 days and less than 150/90.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 w:rsidP="00931536">
            <w:r>
              <w:t>Hypertension Patients 18+ BP &lt;140/90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None</w:t>
            </w:r>
          </w:p>
        </w:tc>
        <w:tc>
          <w:tcPr>
            <w:tcW w:w="8275" w:type="dxa"/>
          </w:tcPr>
          <w:p w:rsidR="00931536" w:rsidRPr="00820D49" w:rsidRDefault="00931536">
            <w:pPr>
              <w:rPr>
                <w:sz w:val="20"/>
                <w:szCs w:val="20"/>
              </w:rPr>
            </w:pPr>
            <w:r w:rsidRPr="00820D49">
              <w:rPr>
                <w:sz w:val="20"/>
                <w:szCs w:val="20"/>
              </w:rPr>
              <w:t>All patients age 18+ with a diagnosis of hypertension with the most recent blood pressure reading taken in the past 365 days and less than 140/90.</w:t>
            </w:r>
          </w:p>
        </w:tc>
      </w:tr>
      <w:tr w:rsidR="00931536" w:rsidTr="00F40351">
        <w:tc>
          <w:tcPr>
            <w:tcW w:w="14390" w:type="dxa"/>
            <w:gridSpan w:val="3"/>
            <w:shd w:val="clear" w:color="auto" w:fill="D9D9D9" w:themeFill="background1" w:themeFillShade="D9"/>
          </w:tcPr>
          <w:p w:rsidR="00931536" w:rsidRPr="0071114E" w:rsidRDefault="00931536">
            <w:pPr>
              <w:rPr>
                <w:b/>
              </w:rPr>
            </w:pPr>
            <w:r w:rsidRPr="0071114E">
              <w:rPr>
                <w:b/>
              </w:rPr>
              <w:t>Preventive – Cancer Screening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 w:rsidP="00931536">
            <w:r>
              <w:t>Colorectal Cancer Screening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76%</w:t>
            </w:r>
          </w:p>
        </w:tc>
        <w:tc>
          <w:tcPr>
            <w:tcW w:w="8275" w:type="dxa"/>
          </w:tcPr>
          <w:p w:rsidR="00931536" w:rsidRPr="00820D49" w:rsidRDefault="00931536">
            <w:pPr>
              <w:rPr>
                <w:sz w:val="20"/>
                <w:szCs w:val="20"/>
              </w:rPr>
            </w:pPr>
            <w:r w:rsidRPr="00820D49">
              <w:rPr>
                <w:sz w:val="20"/>
                <w:szCs w:val="20"/>
              </w:rPr>
              <w:t>Patients age 50 – 75 who have had colonoscopy in past 10 years, flex sig in past 5 years, or fecal immune test in past 1 year.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 w:rsidP="00931536">
            <w:r>
              <w:t>Mammogram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78%</w:t>
            </w:r>
          </w:p>
        </w:tc>
        <w:tc>
          <w:tcPr>
            <w:tcW w:w="8275" w:type="dxa"/>
          </w:tcPr>
          <w:p w:rsidR="00931536" w:rsidRPr="00820D49" w:rsidRDefault="00B42A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 age 50 – 74</w:t>
            </w:r>
            <w:r w:rsidR="00931536" w:rsidRPr="00820D49">
              <w:rPr>
                <w:sz w:val="20"/>
                <w:szCs w:val="20"/>
              </w:rPr>
              <w:t xml:space="preserve"> who have had a mammogram within past 2 years.  (Excludes those women with double mastectomy if this is on problem list)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 w:rsidP="00931536">
            <w:r>
              <w:t>Pap Smear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85%</w:t>
            </w:r>
          </w:p>
        </w:tc>
        <w:tc>
          <w:tcPr>
            <w:tcW w:w="8275" w:type="dxa"/>
          </w:tcPr>
          <w:p w:rsidR="00931536" w:rsidRPr="00820D49" w:rsidRDefault="00931536" w:rsidP="004C4AAE">
            <w:pPr>
              <w:rPr>
                <w:sz w:val="20"/>
                <w:szCs w:val="20"/>
              </w:rPr>
            </w:pPr>
            <w:r w:rsidRPr="00820D49">
              <w:rPr>
                <w:sz w:val="20"/>
                <w:szCs w:val="20"/>
              </w:rPr>
              <w:t>Women age 21 – 29 with a Pap in past 3 years; women age 30 – 65 with a Pap in past 3 years OR a Pap and HPV test within past 5 years. (Excludes those women who have had hysterectomy if this is on the problem list with code V45.77)</w:t>
            </w:r>
            <w:r w:rsidR="004C4AAE">
              <w:rPr>
                <w:sz w:val="20"/>
                <w:szCs w:val="20"/>
              </w:rPr>
              <w:t xml:space="preserve"> Looking for value in </w:t>
            </w:r>
            <w:proofErr w:type="spellStart"/>
            <w:r w:rsidR="004C4AAE">
              <w:rPr>
                <w:sz w:val="20"/>
                <w:szCs w:val="20"/>
              </w:rPr>
              <w:t>obsterm</w:t>
            </w:r>
            <w:proofErr w:type="spellEnd"/>
            <w:r w:rsidR="004C4AAE">
              <w:rPr>
                <w:sz w:val="20"/>
                <w:szCs w:val="20"/>
              </w:rPr>
              <w:t xml:space="preserve"> ‘pap smear’.</w:t>
            </w:r>
          </w:p>
        </w:tc>
      </w:tr>
      <w:tr w:rsidR="00B83523" w:rsidTr="00F40351">
        <w:tc>
          <w:tcPr>
            <w:tcW w:w="4796" w:type="dxa"/>
            <w:shd w:val="clear" w:color="auto" w:fill="E2EFD9" w:themeFill="accent6" w:themeFillTint="33"/>
          </w:tcPr>
          <w:p w:rsidR="00B83523" w:rsidRDefault="00B83523" w:rsidP="00931536">
            <w:r>
              <w:t xml:space="preserve">Denominator: Pts 50 to 75yrs w/FITT in 2014, no colonoscopy in 10 </w:t>
            </w:r>
            <w:proofErr w:type="spellStart"/>
            <w:r>
              <w:t>yrs</w:t>
            </w:r>
            <w:proofErr w:type="spellEnd"/>
            <w:r>
              <w:t>, no sigmoid in 5 yrs. Numerator: No FITT in 2015</w:t>
            </w:r>
          </w:p>
        </w:tc>
        <w:tc>
          <w:tcPr>
            <w:tcW w:w="1319" w:type="dxa"/>
            <w:shd w:val="clear" w:color="auto" w:fill="E2EFD9" w:themeFill="accent6" w:themeFillTint="33"/>
          </w:tcPr>
          <w:p w:rsidR="00B83523" w:rsidRDefault="00B83523" w:rsidP="00931536">
            <w:pPr>
              <w:jc w:val="center"/>
            </w:pPr>
            <w:r>
              <w:t>None</w:t>
            </w:r>
          </w:p>
        </w:tc>
        <w:tc>
          <w:tcPr>
            <w:tcW w:w="8275" w:type="dxa"/>
            <w:shd w:val="clear" w:color="auto" w:fill="E2EFD9" w:themeFill="accent6" w:themeFillTint="33"/>
          </w:tcPr>
          <w:p w:rsidR="00B83523" w:rsidRPr="00820D49" w:rsidRDefault="00B83523" w:rsidP="004C4A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Patients age 50 to 75 years of age who received a fecal immune test in 2014 but have not yet received the fecal immune test in 2015.</w:t>
            </w:r>
          </w:p>
        </w:tc>
      </w:tr>
      <w:tr w:rsidR="00B83523" w:rsidTr="00F40351">
        <w:tc>
          <w:tcPr>
            <w:tcW w:w="4796" w:type="dxa"/>
            <w:shd w:val="clear" w:color="auto" w:fill="E2EFD9" w:themeFill="accent6" w:themeFillTint="33"/>
          </w:tcPr>
          <w:p w:rsidR="00B83523" w:rsidRDefault="00B83523" w:rsidP="00931536">
            <w:r>
              <w:t>FIT: % of pts 50 to 75yrs with FIT in past 12 months</w:t>
            </w:r>
          </w:p>
        </w:tc>
        <w:tc>
          <w:tcPr>
            <w:tcW w:w="1319" w:type="dxa"/>
            <w:shd w:val="clear" w:color="auto" w:fill="E2EFD9" w:themeFill="accent6" w:themeFillTint="33"/>
          </w:tcPr>
          <w:p w:rsidR="00B83523" w:rsidRDefault="00B83523" w:rsidP="00931536">
            <w:pPr>
              <w:jc w:val="center"/>
            </w:pPr>
            <w:r>
              <w:t>None</w:t>
            </w:r>
          </w:p>
        </w:tc>
        <w:tc>
          <w:tcPr>
            <w:tcW w:w="8275" w:type="dxa"/>
            <w:shd w:val="clear" w:color="auto" w:fill="E2EFD9" w:themeFill="accent6" w:themeFillTint="33"/>
          </w:tcPr>
          <w:p w:rsidR="00B83523" w:rsidRPr="00820D49" w:rsidRDefault="00B83523" w:rsidP="004C4A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Patients age 50 to 75 years of age who have received the fecal immune testing in the past 12 months.</w:t>
            </w:r>
          </w:p>
        </w:tc>
      </w:tr>
      <w:tr w:rsidR="00931536" w:rsidTr="00F40351">
        <w:tc>
          <w:tcPr>
            <w:tcW w:w="14390" w:type="dxa"/>
            <w:gridSpan w:val="3"/>
            <w:shd w:val="clear" w:color="auto" w:fill="D9D9D9" w:themeFill="background1" w:themeFillShade="D9"/>
          </w:tcPr>
          <w:p w:rsidR="00931536" w:rsidRPr="0071114E" w:rsidRDefault="00931536">
            <w:pPr>
              <w:rPr>
                <w:b/>
              </w:rPr>
            </w:pPr>
            <w:r w:rsidRPr="0071114E">
              <w:rPr>
                <w:b/>
              </w:rPr>
              <w:t>Preventive – General Reports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 w:rsidP="00931536">
            <w:r>
              <w:t>TD/</w:t>
            </w:r>
            <w:proofErr w:type="spellStart"/>
            <w:r>
              <w:t>TdaP</w:t>
            </w:r>
            <w:proofErr w:type="spellEnd"/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80%</w:t>
            </w:r>
          </w:p>
        </w:tc>
        <w:tc>
          <w:tcPr>
            <w:tcW w:w="8275" w:type="dxa"/>
          </w:tcPr>
          <w:p w:rsidR="00931536" w:rsidRPr="00820D49" w:rsidRDefault="00931536">
            <w:pPr>
              <w:rPr>
                <w:sz w:val="20"/>
                <w:szCs w:val="20"/>
              </w:rPr>
            </w:pPr>
            <w:r w:rsidRPr="00820D49">
              <w:rPr>
                <w:sz w:val="20"/>
                <w:szCs w:val="20"/>
              </w:rPr>
              <w:t xml:space="preserve">Patients age 18+ with a Td or </w:t>
            </w:r>
            <w:proofErr w:type="spellStart"/>
            <w:r w:rsidRPr="00820D49">
              <w:rPr>
                <w:sz w:val="20"/>
                <w:szCs w:val="20"/>
              </w:rPr>
              <w:t>TdaP</w:t>
            </w:r>
            <w:proofErr w:type="spellEnd"/>
            <w:r w:rsidRPr="00820D49">
              <w:rPr>
                <w:sz w:val="20"/>
                <w:szCs w:val="20"/>
              </w:rPr>
              <w:t xml:space="preserve"> in past 10 years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 w:rsidP="00931536">
            <w:proofErr w:type="spellStart"/>
            <w:r>
              <w:t>Pneumovax</w:t>
            </w:r>
            <w:proofErr w:type="spellEnd"/>
            <w:r>
              <w:t xml:space="preserve"> – Diabetes Patients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80%</w:t>
            </w:r>
          </w:p>
        </w:tc>
        <w:tc>
          <w:tcPr>
            <w:tcW w:w="8275" w:type="dxa"/>
          </w:tcPr>
          <w:p w:rsidR="00931536" w:rsidRPr="00820D49" w:rsidRDefault="00931536">
            <w:pPr>
              <w:rPr>
                <w:sz w:val="20"/>
                <w:szCs w:val="20"/>
              </w:rPr>
            </w:pPr>
            <w:r w:rsidRPr="00820D49">
              <w:rPr>
                <w:sz w:val="20"/>
                <w:szCs w:val="20"/>
              </w:rPr>
              <w:t xml:space="preserve">Patients with the diagnosis of diabetes who have had a </w:t>
            </w:r>
            <w:proofErr w:type="spellStart"/>
            <w:r w:rsidRPr="00820D49">
              <w:rPr>
                <w:sz w:val="20"/>
                <w:szCs w:val="20"/>
              </w:rPr>
              <w:t>pneumovax</w:t>
            </w:r>
            <w:proofErr w:type="spellEnd"/>
            <w:r w:rsidRPr="00820D49">
              <w:rPr>
                <w:sz w:val="20"/>
                <w:szCs w:val="20"/>
              </w:rPr>
              <w:t xml:space="preserve"> (PCS23) </w:t>
            </w:r>
            <w:r w:rsidR="000E3BB1">
              <w:rPr>
                <w:sz w:val="20"/>
                <w:szCs w:val="20"/>
              </w:rPr>
              <w:t>‘</w:t>
            </w:r>
            <w:proofErr w:type="spellStart"/>
            <w:r w:rsidR="000E3BB1">
              <w:rPr>
                <w:sz w:val="20"/>
                <w:szCs w:val="20"/>
              </w:rPr>
              <w:t>pneumovax</w:t>
            </w:r>
            <w:proofErr w:type="spellEnd"/>
            <w:r w:rsidR="000E3BB1">
              <w:rPr>
                <w:sz w:val="20"/>
                <w:szCs w:val="20"/>
              </w:rPr>
              <w:t>’</w:t>
            </w:r>
            <w:r w:rsidRPr="00820D49">
              <w:rPr>
                <w:sz w:val="20"/>
                <w:szCs w:val="20"/>
              </w:rPr>
              <w:t xml:space="preserve"> given </w:t>
            </w:r>
            <w:r w:rsidR="000E3BB1">
              <w:rPr>
                <w:sz w:val="20"/>
                <w:szCs w:val="20"/>
              </w:rPr>
              <w:t>or (PPSV13) ‘pneuped#1’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 w:rsidP="00931536">
            <w:proofErr w:type="spellStart"/>
            <w:r>
              <w:lastRenderedPageBreak/>
              <w:t>Pneumovax</w:t>
            </w:r>
            <w:proofErr w:type="spellEnd"/>
            <w:r>
              <w:t xml:space="preserve"> – Patients age &gt;65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80%</w:t>
            </w:r>
          </w:p>
        </w:tc>
        <w:tc>
          <w:tcPr>
            <w:tcW w:w="8275" w:type="dxa"/>
          </w:tcPr>
          <w:p w:rsidR="00931536" w:rsidRPr="00820D49" w:rsidRDefault="00931536">
            <w:pPr>
              <w:rPr>
                <w:sz w:val="20"/>
                <w:szCs w:val="20"/>
              </w:rPr>
            </w:pPr>
            <w:r w:rsidRPr="00820D49">
              <w:rPr>
                <w:sz w:val="20"/>
                <w:szCs w:val="20"/>
              </w:rPr>
              <w:t>Patients age 65+ w</w:t>
            </w:r>
            <w:r w:rsidR="000E3BB1">
              <w:rPr>
                <w:sz w:val="20"/>
                <w:szCs w:val="20"/>
              </w:rPr>
              <w:t xml:space="preserve">ho have had a </w:t>
            </w:r>
            <w:proofErr w:type="spellStart"/>
            <w:r w:rsidR="000E3BB1">
              <w:rPr>
                <w:sz w:val="20"/>
                <w:szCs w:val="20"/>
              </w:rPr>
              <w:t>pneumovax</w:t>
            </w:r>
            <w:proofErr w:type="spellEnd"/>
            <w:r w:rsidR="000E3BB1">
              <w:rPr>
                <w:sz w:val="20"/>
                <w:szCs w:val="20"/>
              </w:rPr>
              <w:t xml:space="preserve"> (PSC23) ‘</w:t>
            </w:r>
            <w:proofErr w:type="spellStart"/>
            <w:r w:rsidR="000E3BB1">
              <w:rPr>
                <w:sz w:val="20"/>
                <w:szCs w:val="20"/>
              </w:rPr>
              <w:t>pneumovax</w:t>
            </w:r>
            <w:proofErr w:type="spellEnd"/>
            <w:r w:rsidR="000E3BB1">
              <w:rPr>
                <w:sz w:val="20"/>
                <w:szCs w:val="20"/>
              </w:rPr>
              <w:t xml:space="preserve">’ </w:t>
            </w:r>
            <w:r w:rsidRPr="00820D49">
              <w:rPr>
                <w:sz w:val="20"/>
                <w:szCs w:val="20"/>
              </w:rPr>
              <w:t>since turning</w:t>
            </w:r>
            <w:r w:rsidR="000E3BB1">
              <w:rPr>
                <w:sz w:val="20"/>
                <w:szCs w:val="20"/>
              </w:rPr>
              <w:t xml:space="preserve"> 65, or within the past 5 years OR (PPSV13) ‘pneuped#1’.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 w:rsidP="00931536">
            <w:proofErr w:type="spellStart"/>
            <w:r>
              <w:t>Pneumovax</w:t>
            </w:r>
            <w:proofErr w:type="spellEnd"/>
            <w:r>
              <w:t xml:space="preserve"> – Smokers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80%</w:t>
            </w:r>
          </w:p>
        </w:tc>
        <w:tc>
          <w:tcPr>
            <w:tcW w:w="8275" w:type="dxa"/>
          </w:tcPr>
          <w:p w:rsidR="00931536" w:rsidRPr="00820D49" w:rsidRDefault="00931536">
            <w:pPr>
              <w:rPr>
                <w:sz w:val="20"/>
                <w:szCs w:val="20"/>
              </w:rPr>
            </w:pPr>
            <w:r w:rsidRPr="00820D49">
              <w:rPr>
                <w:sz w:val="20"/>
                <w:szCs w:val="20"/>
              </w:rPr>
              <w:t xml:space="preserve">Patients listed as current smoker who have had a </w:t>
            </w:r>
            <w:proofErr w:type="spellStart"/>
            <w:r w:rsidRPr="00820D49">
              <w:rPr>
                <w:sz w:val="20"/>
                <w:szCs w:val="20"/>
              </w:rPr>
              <w:t>pneumovax</w:t>
            </w:r>
            <w:proofErr w:type="spellEnd"/>
            <w:r w:rsidRPr="00820D49">
              <w:rPr>
                <w:sz w:val="20"/>
                <w:szCs w:val="20"/>
              </w:rPr>
              <w:t xml:space="preserve"> (PSC23)</w:t>
            </w:r>
            <w:r w:rsidR="007F70B1">
              <w:rPr>
                <w:sz w:val="20"/>
                <w:szCs w:val="20"/>
              </w:rPr>
              <w:t xml:space="preserve"> ‘pneumovax’</w:t>
            </w:r>
            <w:bookmarkStart w:id="0" w:name="_GoBack"/>
            <w:bookmarkEnd w:id="0"/>
            <w:r w:rsidRPr="00820D49">
              <w:rPr>
                <w:sz w:val="20"/>
                <w:szCs w:val="20"/>
              </w:rPr>
              <w:t xml:space="preserve">  given</w:t>
            </w:r>
            <w:r w:rsidR="007F70B1">
              <w:rPr>
                <w:sz w:val="20"/>
                <w:szCs w:val="20"/>
              </w:rPr>
              <w:t xml:space="preserve"> OR )PPSV13) ‘pneuped#1’</w:t>
            </w:r>
          </w:p>
        </w:tc>
      </w:tr>
      <w:tr w:rsidR="00931536" w:rsidTr="00F40351">
        <w:tc>
          <w:tcPr>
            <w:tcW w:w="4796" w:type="dxa"/>
          </w:tcPr>
          <w:p w:rsidR="00931536" w:rsidRDefault="00931536" w:rsidP="00931536">
            <w:r>
              <w:t>Advance Directives- Patients &gt;55yrs</w:t>
            </w:r>
          </w:p>
        </w:tc>
        <w:tc>
          <w:tcPr>
            <w:tcW w:w="1319" w:type="dxa"/>
          </w:tcPr>
          <w:p w:rsidR="00931536" w:rsidRDefault="00931536" w:rsidP="00931536">
            <w:pPr>
              <w:jc w:val="center"/>
            </w:pPr>
            <w:r>
              <w:t>None</w:t>
            </w:r>
          </w:p>
        </w:tc>
        <w:tc>
          <w:tcPr>
            <w:tcW w:w="8275" w:type="dxa"/>
          </w:tcPr>
          <w:p w:rsidR="00931536" w:rsidRPr="00820D49" w:rsidRDefault="004C4AAE" w:rsidP="004C4A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Patients age 55+ who have a directive with a description like ‘directive’ or ‘DPOA’ o</w:t>
            </w:r>
            <w:r w:rsidR="00C4658E">
              <w:rPr>
                <w:sz w:val="20"/>
                <w:szCs w:val="20"/>
              </w:rPr>
              <w:t>r ‘Power’ or ‘POA’ or ‘POLST’ or</w:t>
            </w:r>
            <w:r>
              <w:rPr>
                <w:sz w:val="20"/>
                <w:szCs w:val="20"/>
              </w:rPr>
              <w:t xml:space="preserve"> ‘healthcare’</w:t>
            </w:r>
            <w:r w:rsidR="00C4658E">
              <w:rPr>
                <w:sz w:val="20"/>
                <w:szCs w:val="20"/>
              </w:rPr>
              <w:t xml:space="preserve"> or ‘will’</w:t>
            </w:r>
            <w:r>
              <w:rPr>
                <w:sz w:val="20"/>
                <w:szCs w:val="20"/>
              </w:rPr>
              <w:t>.</w:t>
            </w:r>
          </w:p>
        </w:tc>
      </w:tr>
      <w:tr w:rsidR="00B83523" w:rsidTr="00F40351">
        <w:tc>
          <w:tcPr>
            <w:tcW w:w="4796" w:type="dxa"/>
            <w:shd w:val="clear" w:color="auto" w:fill="E2EFD9" w:themeFill="accent6" w:themeFillTint="33"/>
          </w:tcPr>
          <w:p w:rsidR="00B83523" w:rsidRDefault="00B83523" w:rsidP="00931536">
            <w:r>
              <w:t>Chlamydia</w:t>
            </w:r>
          </w:p>
        </w:tc>
        <w:tc>
          <w:tcPr>
            <w:tcW w:w="1319" w:type="dxa"/>
            <w:shd w:val="clear" w:color="auto" w:fill="E2EFD9" w:themeFill="accent6" w:themeFillTint="33"/>
          </w:tcPr>
          <w:p w:rsidR="00B83523" w:rsidRDefault="00B83523" w:rsidP="00931536">
            <w:pPr>
              <w:jc w:val="center"/>
            </w:pPr>
            <w:r>
              <w:t>65%</w:t>
            </w:r>
          </w:p>
        </w:tc>
        <w:tc>
          <w:tcPr>
            <w:tcW w:w="8275" w:type="dxa"/>
            <w:shd w:val="clear" w:color="auto" w:fill="E2EFD9" w:themeFill="accent6" w:themeFillTint="33"/>
          </w:tcPr>
          <w:p w:rsidR="00B83523" w:rsidRDefault="00B83523" w:rsidP="004C4A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Sexually active female patients, based on pregnancy, post-partum care or management of contraceptives,  age 16 to 26 years with the observation in their flowsheet of </w:t>
            </w:r>
            <w:r w:rsidRPr="00B83523">
              <w:rPr>
                <w:sz w:val="20"/>
                <w:szCs w:val="20"/>
              </w:rPr>
              <w:t>'</w:t>
            </w:r>
            <w:proofErr w:type="spellStart"/>
            <w:r w:rsidRPr="00B83523">
              <w:rPr>
                <w:sz w:val="20"/>
                <w:szCs w:val="20"/>
              </w:rPr>
              <w:t>chlamyd</w:t>
            </w:r>
            <w:proofErr w:type="spellEnd"/>
            <w:r w:rsidRPr="00B83523">
              <w:rPr>
                <w:sz w:val="20"/>
                <w:szCs w:val="20"/>
              </w:rPr>
              <w:t xml:space="preserve"> </w:t>
            </w:r>
            <w:proofErr w:type="spellStart"/>
            <w:r w:rsidRPr="00B83523">
              <w:rPr>
                <w:sz w:val="20"/>
                <w:szCs w:val="20"/>
              </w:rPr>
              <w:t>ampl</w:t>
            </w:r>
            <w:proofErr w:type="spellEnd"/>
            <w:r w:rsidRPr="00B83523">
              <w:rPr>
                <w:sz w:val="20"/>
                <w:szCs w:val="20"/>
              </w:rPr>
              <w:t>','</w:t>
            </w:r>
            <w:proofErr w:type="spellStart"/>
            <w:r w:rsidRPr="00B83523">
              <w:rPr>
                <w:sz w:val="20"/>
                <w:szCs w:val="20"/>
              </w:rPr>
              <w:t>chlamyd</w:t>
            </w:r>
            <w:proofErr w:type="spellEnd"/>
            <w:r w:rsidRPr="00B83523">
              <w:rPr>
                <w:sz w:val="20"/>
                <w:szCs w:val="20"/>
              </w:rPr>
              <w:t xml:space="preserve"> cult','</w:t>
            </w:r>
            <w:proofErr w:type="spellStart"/>
            <w:r w:rsidRPr="00B83523">
              <w:rPr>
                <w:sz w:val="20"/>
                <w:szCs w:val="20"/>
              </w:rPr>
              <w:t>chlamyd</w:t>
            </w:r>
            <w:proofErr w:type="spellEnd"/>
            <w:r w:rsidRPr="00B83523">
              <w:rPr>
                <w:sz w:val="20"/>
                <w:szCs w:val="20"/>
              </w:rPr>
              <w:t xml:space="preserve"> </w:t>
            </w:r>
            <w:proofErr w:type="spellStart"/>
            <w:r w:rsidRPr="00B83523">
              <w:rPr>
                <w:sz w:val="20"/>
                <w:szCs w:val="20"/>
              </w:rPr>
              <w:t>dfa</w:t>
            </w:r>
            <w:proofErr w:type="spellEnd"/>
            <w:r w:rsidRPr="00B83523">
              <w:rPr>
                <w:sz w:val="20"/>
                <w:szCs w:val="20"/>
              </w:rPr>
              <w:t>','</w:t>
            </w:r>
            <w:proofErr w:type="spellStart"/>
            <w:r w:rsidRPr="00B83523">
              <w:rPr>
                <w:sz w:val="20"/>
                <w:szCs w:val="20"/>
              </w:rPr>
              <w:t>chlamyd</w:t>
            </w:r>
            <w:proofErr w:type="spellEnd"/>
            <w:r w:rsidRPr="00B83523">
              <w:rPr>
                <w:sz w:val="20"/>
                <w:szCs w:val="20"/>
              </w:rPr>
              <w:t xml:space="preserve"> </w:t>
            </w:r>
            <w:proofErr w:type="spellStart"/>
            <w:r w:rsidRPr="00B83523">
              <w:rPr>
                <w:sz w:val="20"/>
                <w:szCs w:val="20"/>
              </w:rPr>
              <w:t>dir</w:t>
            </w:r>
            <w:proofErr w:type="spellEnd"/>
            <w:r w:rsidRPr="00B83523">
              <w:rPr>
                <w:sz w:val="20"/>
                <w:szCs w:val="20"/>
              </w:rPr>
              <w:t>','</w:t>
            </w:r>
            <w:proofErr w:type="spellStart"/>
            <w:r w:rsidRPr="00B83523">
              <w:rPr>
                <w:sz w:val="20"/>
                <w:szCs w:val="20"/>
              </w:rPr>
              <w:t>chlamyd</w:t>
            </w:r>
            <w:proofErr w:type="spellEnd"/>
            <w:r w:rsidRPr="00B83523">
              <w:rPr>
                <w:sz w:val="20"/>
                <w:szCs w:val="20"/>
              </w:rPr>
              <w:t xml:space="preserve"> </w:t>
            </w:r>
            <w:proofErr w:type="spellStart"/>
            <w:r w:rsidRPr="00B83523">
              <w:rPr>
                <w:sz w:val="20"/>
                <w:szCs w:val="20"/>
              </w:rPr>
              <w:t>dna</w:t>
            </w:r>
            <w:proofErr w:type="spellEnd"/>
            <w:r w:rsidRPr="00B83523">
              <w:rPr>
                <w:sz w:val="20"/>
                <w:szCs w:val="20"/>
              </w:rPr>
              <w:t>','</w:t>
            </w:r>
            <w:proofErr w:type="spellStart"/>
            <w:r w:rsidRPr="00B83523">
              <w:rPr>
                <w:sz w:val="20"/>
                <w:szCs w:val="20"/>
              </w:rPr>
              <w:t>chlamyd</w:t>
            </w:r>
            <w:proofErr w:type="spellEnd"/>
            <w:r w:rsidRPr="00B83523">
              <w:rPr>
                <w:sz w:val="20"/>
                <w:szCs w:val="20"/>
              </w:rPr>
              <w:t xml:space="preserve"> </w:t>
            </w:r>
            <w:proofErr w:type="spellStart"/>
            <w:r w:rsidRPr="00B83523">
              <w:rPr>
                <w:sz w:val="20"/>
                <w:szCs w:val="20"/>
              </w:rPr>
              <w:t>pcr</w:t>
            </w:r>
            <w:proofErr w:type="spellEnd"/>
            <w:r w:rsidRPr="00B83523">
              <w:rPr>
                <w:sz w:val="20"/>
                <w:szCs w:val="20"/>
              </w:rPr>
              <w:t>','chlamydia ab','</w:t>
            </w:r>
            <w:proofErr w:type="spellStart"/>
            <w:r w:rsidRPr="00B83523">
              <w:rPr>
                <w:sz w:val="20"/>
                <w:szCs w:val="20"/>
              </w:rPr>
              <w:t>chlamtrnatna</w:t>
            </w:r>
            <w:proofErr w:type="spellEnd"/>
            <w:r w:rsidRPr="00B83523">
              <w:rPr>
                <w:sz w:val="20"/>
                <w:szCs w:val="20"/>
              </w:rPr>
              <w:t>','chlamydia ag','</w:t>
            </w:r>
            <w:proofErr w:type="spellStart"/>
            <w:r w:rsidRPr="00B83523">
              <w:rPr>
                <w:sz w:val="20"/>
                <w:szCs w:val="20"/>
              </w:rPr>
              <w:t>chlamtrnan</w:t>
            </w:r>
            <w:proofErr w:type="spellEnd"/>
            <w:r>
              <w:rPr>
                <w:sz w:val="20"/>
                <w:szCs w:val="20"/>
              </w:rPr>
              <w:t>','chlamydia/</w:t>
            </w:r>
            <w:proofErr w:type="spellStart"/>
            <w:r>
              <w:rPr>
                <w:sz w:val="20"/>
                <w:szCs w:val="20"/>
              </w:rPr>
              <w:t>gc</w:t>
            </w:r>
            <w:proofErr w:type="spellEnd"/>
            <w:r>
              <w:rPr>
                <w:sz w:val="20"/>
                <w:szCs w:val="20"/>
              </w:rPr>
              <w:t>','</w:t>
            </w:r>
            <w:proofErr w:type="spellStart"/>
            <w:r>
              <w:rPr>
                <w:sz w:val="20"/>
                <w:szCs w:val="20"/>
              </w:rPr>
              <w:t>chlamydaptim</w:t>
            </w:r>
            <w:proofErr w:type="spellEnd"/>
            <w:r>
              <w:rPr>
                <w:sz w:val="20"/>
                <w:szCs w:val="20"/>
              </w:rPr>
              <w:t xml:space="preserve">' or </w:t>
            </w:r>
            <w:r w:rsidRPr="00B83523">
              <w:rPr>
                <w:sz w:val="20"/>
                <w:szCs w:val="20"/>
              </w:rPr>
              <w:t>'</w:t>
            </w:r>
            <w:proofErr w:type="spellStart"/>
            <w:r w:rsidRPr="00B83523">
              <w:rPr>
                <w:sz w:val="20"/>
                <w:szCs w:val="20"/>
              </w:rPr>
              <w:t>chlam</w:t>
            </w:r>
            <w:proofErr w:type="spellEnd"/>
            <w:r w:rsidRPr="00B83523">
              <w:rPr>
                <w:sz w:val="20"/>
                <w:szCs w:val="20"/>
              </w:rPr>
              <w:t xml:space="preserve"> </w:t>
            </w:r>
            <w:proofErr w:type="spellStart"/>
            <w:r w:rsidRPr="00B83523">
              <w:rPr>
                <w:sz w:val="20"/>
                <w:szCs w:val="20"/>
              </w:rPr>
              <w:t>dna</w:t>
            </w:r>
            <w:proofErr w:type="spellEnd"/>
            <w:r w:rsidRPr="00B83523">
              <w:rPr>
                <w:sz w:val="20"/>
                <w:szCs w:val="20"/>
              </w:rPr>
              <w:t>'</w:t>
            </w:r>
            <w:r>
              <w:rPr>
                <w:sz w:val="20"/>
                <w:szCs w:val="20"/>
              </w:rPr>
              <w:t xml:space="preserve"> in the past year.</w:t>
            </w:r>
          </w:p>
        </w:tc>
      </w:tr>
      <w:tr w:rsidR="00B83523" w:rsidTr="00F40351">
        <w:tc>
          <w:tcPr>
            <w:tcW w:w="4796" w:type="dxa"/>
            <w:shd w:val="clear" w:color="auto" w:fill="E2EFD9" w:themeFill="accent6" w:themeFillTint="33"/>
          </w:tcPr>
          <w:p w:rsidR="00B83523" w:rsidRDefault="00B83523" w:rsidP="00931536">
            <w:r>
              <w:t>AAA Screening</w:t>
            </w:r>
          </w:p>
        </w:tc>
        <w:tc>
          <w:tcPr>
            <w:tcW w:w="1319" w:type="dxa"/>
            <w:shd w:val="clear" w:color="auto" w:fill="E2EFD9" w:themeFill="accent6" w:themeFillTint="33"/>
          </w:tcPr>
          <w:p w:rsidR="00B83523" w:rsidRDefault="00B83523" w:rsidP="00931536">
            <w:pPr>
              <w:jc w:val="center"/>
            </w:pPr>
            <w:r>
              <w:t>70%</w:t>
            </w:r>
          </w:p>
        </w:tc>
        <w:tc>
          <w:tcPr>
            <w:tcW w:w="8275" w:type="dxa"/>
            <w:shd w:val="clear" w:color="auto" w:fill="E2EFD9" w:themeFill="accent6" w:themeFillTint="33"/>
          </w:tcPr>
          <w:p w:rsidR="00B83523" w:rsidRDefault="00B83523" w:rsidP="002B1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 patients age 65 to 75 years of age where the smoking status has been selected as </w:t>
            </w:r>
            <w:r w:rsidR="00EE350D" w:rsidRPr="00EE350D">
              <w:rPr>
                <w:sz w:val="20"/>
                <w:szCs w:val="20"/>
              </w:rPr>
              <w:t>'</w:t>
            </w:r>
            <w:proofErr w:type="spellStart"/>
            <w:r w:rsidR="00EE350D" w:rsidRPr="00EE350D">
              <w:rPr>
                <w:sz w:val="20"/>
                <w:szCs w:val="20"/>
              </w:rPr>
              <w:t>current','current</w:t>
            </w:r>
            <w:proofErr w:type="spellEnd"/>
            <w:r w:rsidR="00EE350D" w:rsidRPr="00EE350D">
              <w:rPr>
                <w:sz w:val="20"/>
                <w:szCs w:val="20"/>
              </w:rPr>
              <w:t xml:space="preserve"> </w:t>
            </w:r>
            <w:proofErr w:type="spellStart"/>
            <w:r w:rsidR="00EE350D" w:rsidRPr="00EE350D">
              <w:rPr>
                <w:sz w:val="20"/>
                <w:szCs w:val="20"/>
              </w:rPr>
              <w:t>everyday</w:t>
            </w:r>
            <w:proofErr w:type="spellEnd"/>
            <w:r w:rsidR="00EE350D" w:rsidRPr="00EE350D">
              <w:rPr>
                <w:sz w:val="20"/>
                <w:szCs w:val="20"/>
              </w:rPr>
              <w:t xml:space="preserve"> </w:t>
            </w:r>
            <w:proofErr w:type="spellStart"/>
            <w:r w:rsidR="00EE350D" w:rsidRPr="00EE350D">
              <w:rPr>
                <w:sz w:val="20"/>
                <w:szCs w:val="20"/>
              </w:rPr>
              <w:t>smoker','current</w:t>
            </w:r>
            <w:proofErr w:type="spellEnd"/>
            <w:r w:rsidR="00EE350D" w:rsidRPr="00EE350D">
              <w:rPr>
                <w:sz w:val="20"/>
                <w:szCs w:val="20"/>
              </w:rPr>
              <w:t xml:space="preserve"> every day </w:t>
            </w:r>
            <w:proofErr w:type="spellStart"/>
            <w:r w:rsidR="00EE350D" w:rsidRPr="00EE350D">
              <w:rPr>
                <w:sz w:val="20"/>
                <w:szCs w:val="20"/>
              </w:rPr>
              <w:t>smoker','current</w:t>
            </w:r>
            <w:proofErr w:type="spellEnd"/>
            <w:r w:rsidR="00EE350D" w:rsidRPr="00EE350D">
              <w:rPr>
                <w:sz w:val="20"/>
                <w:szCs w:val="20"/>
              </w:rPr>
              <w:t xml:space="preserve"> light</w:t>
            </w:r>
            <w:r w:rsidR="00EE350D">
              <w:rPr>
                <w:sz w:val="20"/>
                <w:szCs w:val="20"/>
              </w:rPr>
              <w:t xml:space="preserve"> </w:t>
            </w:r>
            <w:proofErr w:type="spellStart"/>
            <w:r w:rsidR="00EE350D">
              <w:rPr>
                <w:sz w:val="20"/>
                <w:szCs w:val="20"/>
              </w:rPr>
              <w:t>sm</w:t>
            </w:r>
            <w:r w:rsidR="00C14028">
              <w:rPr>
                <w:sz w:val="20"/>
                <w:szCs w:val="20"/>
              </w:rPr>
              <w:t>oker','heavy</w:t>
            </w:r>
            <w:proofErr w:type="spellEnd"/>
            <w:r w:rsidR="00C14028">
              <w:rPr>
                <w:sz w:val="20"/>
                <w:szCs w:val="20"/>
              </w:rPr>
              <w:t xml:space="preserve"> tobacco smoker', </w:t>
            </w:r>
            <w:r w:rsidR="00EE350D" w:rsidRPr="00EE350D">
              <w:rPr>
                <w:sz w:val="20"/>
                <w:szCs w:val="20"/>
              </w:rPr>
              <w:t>'light tobacco smoker'</w:t>
            </w:r>
            <w:r w:rsidR="00C14028">
              <w:rPr>
                <w:sz w:val="20"/>
                <w:szCs w:val="20"/>
              </w:rPr>
              <w:t xml:space="preserve"> or ‘former smoker’</w:t>
            </w:r>
            <w:r w:rsidR="00EE350D">
              <w:rPr>
                <w:sz w:val="20"/>
                <w:szCs w:val="20"/>
              </w:rPr>
              <w:t xml:space="preserve"> and AAA screening has been done as documented on the flowsheet ‘AAA – US’</w:t>
            </w:r>
            <w:r w:rsidR="008E2F7F">
              <w:rPr>
                <w:sz w:val="20"/>
                <w:szCs w:val="20"/>
              </w:rPr>
              <w:t xml:space="preserve"> and tobacco type has been documented on the flowsheet as ‘cigarettes’, ‘pipe’ or ‘cigars’.</w:t>
            </w:r>
          </w:p>
        </w:tc>
      </w:tr>
      <w:tr w:rsidR="00EE350D" w:rsidTr="00F40351">
        <w:tc>
          <w:tcPr>
            <w:tcW w:w="4796" w:type="dxa"/>
            <w:shd w:val="clear" w:color="auto" w:fill="E2EFD9" w:themeFill="accent6" w:themeFillTint="33"/>
          </w:tcPr>
          <w:p w:rsidR="00EE350D" w:rsidRDefault="00EE350D" w:rsidP="00931536">
            <w:r>
              <w:t>Statin patients with LDL in the past 365 days</w:t>
            </w:r>
          </w:p>
        </w:tc>
        <w:tc>
          <w:tcPr>
            <w:tcW w:w="1319" w:type="dxa"/>
            <w:shd w:val="clear" w:color="auto" w:fill="E2EFD9" w:themeFill="accent6" w:themeFillTint="33"/>
          </w:tcPr>
          <w:p w:rsidR="00EE350D" w:rsidRDefault="00EE350D" w:rsidP="00931536">
            <w:pPr>
              <w:jc w:val="center"/>
            </w:pPr>
            <w:r>
              <w:t>None</w:t>
            </w:r>
          </w:p>
        </w:tc>
        <w:tc>
          <w:tcPr>
            <w:tcW w:w="8275" w:type="dxa"/>
            <w:shd w:val="clear" w:color="auto" w:fill="E2EFD9" w:themeFill="accent6" w:themeFillTint="33"/>
          </w:tcPr>
          <w:p w:rsidR="00EE350D" w:rsidRDefault="00EE350D" w:rsidP="00EE3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Patients on a statin medication where the LDL date is within 1 year.</w:t>
            </w:r>
          </w:p>
        </w:tc>
      </w:tr>
    </w:tbl>
    <w:p w:rsidR="00931536" w:rsidRDefault="00931536" w:rsidP="00931536">
      <w:pPr>
        <w:rPr>
          <w:b/>
          <w:sz w:val="20"/>
          <w:szCs w:val="20"/>
          <w:u w:val="single"/>
        </w:rPr>
      </w:pPr>
      <w:r w:rsidRPr="00820D49">
        <w:rPr>
          <w:b/>
          <w:sz w:val="20"/>
          <w:szCs w:val="20"/>
          <w:u w:val="single"/>
        </w:rPr>
        <w:t>Notes</w:t>
      </w:r>
    </w:p>
    <w:p w:rsidR="00BD160A" w:rsidRPr="00BD160A" w:rsidRDefault="00BD160A" w:rsidP="00BD160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160A">
        <w:rPr>
          <w:sz w:val="20"/>
          <w:szCs w:val="20"/>
        </w:rPr>
        <w:t>Thresholds:  Higher is better.</w:t>
      </w:r>
    </w:p>
    <w:p w:rsidR="00931536" w:rsidRPr="00BD160A" w:rsidRDefault="00931536" w:rsidP="00BD160A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BD160A">
        <w:rPr>
          <w:sz w:val="20"/>
          <w:szCs w:val="20"/>
        </w:rPr>
        <w:t xml:space="preserve">Reports are based on ALL patients paneled to the particular clinician, unless the report specifically states otherwise (ex:  hypertension reports include just those patients with a BP reading in past year). </w:t>
      </w:r>
    </w:p>
    <w:p w:rsidR="00931536" w:rsidRDefault="00931536" w:rsidP="00BD160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160A">
        <w:rPr>
          <w:sz w:val="20"/>
          <w:szCs w:val="20"/>
        </w:rPr>
        <w:t>“Midlevel” Reports: These reports include patients of any clinician at that site who have</w:t>
      </w:r>
      <w:r w:rsidR="005A15C2">
        <w:rPr>
          <w:sz w:val="20"/>
          <w:szCs w:val="20"/>
        </w:rPr>
        <w:t xml:space="preserve"> been seen by the ARNP or PA-C </w:t>
      </w:r>
      <w:r w:rsidRPr="00BD160A">
        <w:rPr>
          <w:sz w:val="20"/>
          <w:szCs w:val="20"/>
        </w:rPr>
        <w:t>two or more times in the past 1 year or those patients seen for an annual exam.</w:t>
      </w:r>
    </w:p>
    <w:p w:rsidR="005A15C2" w:rsidRDefault="005A15C2" w:rsidP="00BD160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Reports highlighted in green are not on the quality color charts, but can be viewed in Meridios.</w:t>
      </w:r>
    </w:p>
    <w:p w:rsidR="00712C8B" w:rsidRPr="00BD160A" w:rsidRDefault="00712C8B" w:rsidP="00BD160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Note: reports on this document are organized to reflect the organization of the bi-mont</w:t>
      </w:r>
      <w:r w:rsidR="007D5A84">
        <w:rPr>
          <w:sz w:val="20"/>
          <w:szCs w:val="20"/>
        </w:rPr>
        <w:t>h</w:t>
      </w:r>
      <w:r>
        <w:rPr>
          <w:sz w:val="20"/>
          <w:szCs w:val="20"/>
        </w:rPr>
        <w:t>ly color quality charts.  Same reports in Meridios 2015 Quality Reports may be grouped differently.</w:t>
      </w:r>
    </w:p>
    <w:sectPr w:rsidR="00712C8B" w:rsidRPr="00BD160A" w:rsidSect="005A15C2">
      <w:pgSz w:w="15840" w:h="12240" w:orient="landscape"/>
      <w:pgMar w:top="432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3DA6"/>
    <w:multiLevelType w:val="hybridMultilevel"/>
    <w:tmpl w:val="95D22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36"/>
    <w:rsid w:val="0007231E"/>
    <w:rsid w:val="000E3BB1"/>
    <w:rsid w:val="00145855"/>
    <w:rsid w:val="002B183D"/>
    <w:rsid w:val="00364315"/>
    <w:rsid w:val="003E115D"/>
    <w:rsid w:val="004C4AAE"/>
    <w:rsid w:val="004E7E84"/>
    <w:rsid w:val="005A15C2"/>
    <w:rsid w:val="0071114E"/>
    <w:rsid w:val="00712C8B"/>
    <w:rsid w:val="00723491"/>
    <w:rsid w:val="007D5A84"/>
    <w:rsid w:val="007F70B1"/>
    <w:rsid w:val="008E2F7F"/>
    <w:rsid w:val="00905D3A"/>
    <w:rsid w:val="00931536"/>
    <w:rsid w:val="009E5E4C"/>
    <w:rsid w:val="00B34654"/>
    <w:rsid w:val="00B42A73"/>
    <w:rsid w:val="00B83523"/>
    <w:rsid w:val="00BD160A"/>
    <w:rsid w:val="00C14028"/>
    <w:rsid w:val="00C4658E"/>
    <w:rsid w:val="00E21E54"/>
    <w:rsid w:val="00EE350D"/>
    <w:rsid w:val="00F4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8EFE"/>
  <w15:chartTrackingRefBased/>
  <w15:docId w15:val="{445DE160-E822-4F79-B161-A65EABBF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Sherlock, Crystel L.</dc:creator>
  <cp:keywords/>
  <dc:description/>
  <cp:lastModifiedBy>Sherlock, Crystel L.</cp:lastModifiedBy>
  <cp:revision>4</cp:revision>
  <dcterms:created xsi:type="dcterms:W3CDTF">2016-12-16T17:49:00Z</dcterms:created>
  <dcterms:modified xsi:type="dcterms:W3CDTF">2017-01-24T15:56:00Z</dcterms:modified>
</cp:coreProperties>
</file>