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X6be72f823b76cbb6deca29921938b8291f19654"/>
    <w:p>
      <w:pPr>
        <w:pStyle w:val="Heading1"/>
      </w:pPr>
      <w:r>
        <w:t xml:space="preserve">AI Fantasy Card Generator — Thesis Documentation</w:t>
      </w:r>
    </w:p>
    <w:bookmarkStart w:id="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The present work proposes a self-contained mobile application that</w:t>
      </w:r>
      <w:r>
        <w:t xml:space="preserve"> </w:t>
      </w:r>
      <w:r>
        <w:t xml:space="preserve">transforms a written prompt into a fully formed fantasy character card.</w:t>
      </w:r>
      <w:r>
        <w:t xml:space="preserve"> </w:t>
      </w:r>
      <w:r>
        <w:t xml:space="preserve">Given a short description supplied by the user, the system produces a</w:t>
      </w:r>
      <w:r>
        <w:t xml:space="preserve"> </w:t>
      </w:r>
      <w:r>
        <w:t xml:space="preserve">portrait illustration through a Stable Diffusion XL pipeline, generates an</w:t>
      </w:r>
      <w:r>
        <w:t xml:space="preserve"> </w:t>
      </w:r>
      <w:r>
        <w:t xml:space="preserve">accompanying title and short flavour text via a vision-language model that</w:t>
      </w:r>
      <w:r>
        <w:t xml:space="preserve"> </w:t>
      </w:r>
      <w:r>
        <w:t xml:space="preserve">analyses the produced image, derives four numerical attributes — Strength,</w:t>
      </w:r>
      <w:r>
        <w:t xml:space="preserve"> </w:t>
      </w:r>
      <w:r>
        <w:t xml:space="preserve">Magic, Defense and Agility — together with a creativity score, and finally</w:t>
      </w:r>
      <w:r>
        <w:t xml:space="preserve"> </w:t>
      </w:r>
      <w:r>
        <w:t xml:space="preserve">assigns a rarity tier based on these values. Optionally, the resulting</w:t>
      </w:r>
      <w:r>
        <w:t xml:space="preserve"> </w:t>
      </w:r>
      <w:r>
        <w:t xml:space="preserve">portrait may be animated into a short video clip through a Wan 2.2</w:t>
      </w:r>
      <w:r>
        <w:t xml:space="preserve"> </w:t>
      </w:r>
      <w:r>
        <w:t xml:space="preserve">image-to-video pipeline.</w:t>
      </w:r>
    </w:p>
    <w:p>
      <w:pPr>
        <w:pStyle w:val="BodyText"/>
      </w:pPr>
      <w:r>
        <w:t xml:space="preserve">The generative pipeline is embedded in a single-player collectible card</w:t>
      </w:r>
      <w:r>
        <w:t xml:space="preserve"> </w:t>
      </w:r>
      <w:r>
        <w:t xml:space="preserve">game: each card is persisted in a local gallery, may be deployed against a</w:t>
      </w:r>
      <w:r>
        <w:t xml:space="preserve"> </w:t>
      </w:r>
      <w:r>
        <w:t xml:space="preserve">campaign of twelve hand-tuned bosses, and successful battles award</w:t>
      </w:r>
      <w:r>
        <w:t xml:space="preserve"> </w:t>
      </w:r>
      <w:r>
        <w:t xml:space="preserve">generation tokens that the user spends to summon further cards.</w:t>
      </w:r>
    </w:p>
    <w:p>
      <w:pPr>
        <w:pStyle w:val="BodyText"/>
      </w:pPr>
      <w:r>
        <w:t xml:space="preserve">The motivation behind the project is twofold. First, from an academic</w:t>
      </w:r>
      <w:r>
        <w:t xml:space="preserve"> </w:t>
      </w:r>
      <w:r>
        <w:t xml:space="preserve">perspective, the thesis aims to demonstrate that contemporary open-weight</w:t>
      </w:r>
      <w:r>
        <w:t xml:space="preserve"> </w:t>
      </w:r>
      <w:r>
        <w:t xml:space="preserve">generative models can be deployed and orchestrated outside of commercial</w:t>
      </w:r>
      <w:r>
        <w:t xml:space="preserve"> </w:t>
      </w:r>
      <w:r>
        <w:t xml:space="preserve">cloud APIs, on locally available hardware, with full preservation of user</w:t>
      </w:r>
      <w:r>
        <w:t xml:space="preserve"> </w:t>
      </w:r>
      <w:r>
        <w:t xml:space="preserve">privacy and zero per-call cost. Second, from a product perspective, the</w:t>
      </w:r>
      <w:r>
        <w:t xml:space="preserve"> </w:t>
      </w:r>
      <w:r>
        <w:t xml:space="preserve">project addresses a recurring weakness of generative-AI demonstrations —</w:t>
      </w:r>
      <w:r>
        <w:t xml:space="preserve"> </w:t>
      </w:r>
      <w:r>
        <w:t xml:space="preserve">namely, that users typically lose interest after a handful of generations.</w:t>
      </w:r>
      <w:r>
        <w:t xml:space="preserve"> </w:t>
      </w:r>
      <w:r>
        <w:t xml:space="preserve">By framing the AI output as the raw material of a small game with a</w:t>
      </w:r>
      <w:r>
        <w:t xml:space="preserve"> </w:t>
      </w:r>
      <w:r>
        <w:t xml:space="preserve">collection-and-battle loop, the generative model becomes the engine of a</w:t>
      </w:r>
      <w:r>
        <w:t xml:space="preserve"> </w:t>
      </w:r>
      <w:r>
        <w:t xml:space="preserve">recurring user activity rather than the destination of a one-shot</w:t>
      </w:r>
      <w:r>
        <w:t xml:space="preserve"> </w:t>
      </w:r>
      <w:r>
        <w:t xml:space="preserve">interaction.</w:t>
      </w:r>
    </w:p>
    <w:p>
      <w:r>
        <w:pict>
          <v:rect style="width:0;height:1.5pt" o:hralign="center" o:hrstd="t" o:hr="t"/>
        </w:pict>
      </w:r>
    </w:p>
    <w:bookmarkEnd w:id="9"/>
    <w:bookmarkStart w:id="18" w:name="core-documentation"/>
    <w:p>
      <w:pPr>
        <w:pStyle w:val="Heading2"/>
      </w:pPr>
      <w:r>
        <w:t xml:space="preserve">2. Core Documentation</w:t>
      </w:r>
    </w:p>
    <w:bookmarkStart w:id="10" w:name="deployment-environment"/>
    <w:p>
      <w:pPr>
        <w:pStyle w:val="Heading3"/>
      </w:pPr>
      <w:r>
        <w:t xml:space="preserve">2.1 Deployment environment</w:t>
      </w:r>
    </w:p>
    <w:p>
      <w:pPr>
        <w:pStyle w:val="FirstParagraph"/>
      </w:pPr>
      <w:r>
        <w:t xml:space="preserve">The backend and the entire generative stack are hosted on an</w:t>
      </w:r>
      <w:r>
        <w:t xml:space="preserve"> </w:t>
      </w:r>
      <w:r>
        <w:rPr>
          <w:b/>
          <w:bCs/>
        </w:rPr>
        <w:t xml:space="preserve">NVIDIA DGX</w:t>
      </w:r>
      <w:r>
        <w:rPr>
          <w:b/>
          <w:bCs/>
        </w:rPr>
        <w:t xml:space="preserve"> </w:t>
      </w:r>
      <w:r>
        <w:rPr>
          <w:b/>
          <w:bCs/>
        </w:rPr>
        <w:t xml:space="preserve">Spark workstation</w:t>
      </w:r>
      <w:r>
        <w:t xml:space="preserve">, equipped with the</w:t>
      </w:r>
      <w:r>
        <w:t xml:space="preserve"> </w:t>
      </w:r>
      <w:r>
        <w:rPr>
          <w:b/>
          <w:bCs/>
        </w:rPr>
        <w:t xml:space="preserve">GB10 Blackwell</w:t>
      </w:r>
      <w:r>
        <w:t xml:space="preserve"> </w:t>
      </w:r>
      <w:r>
        <w:t xml:space="preserve">superchip and</w:t>
      </w:r>
      <w:r>
        <w:t xml:space="preserve"> </w:t>
      </w:r>
      <w:r>
        <w:rPr>
          <w:b/>
          <w:bCs/>
        </w:rPr>
        <w:t xml:space="preserve">128 GB of unified CPU–GPU memory</w:t>
      </w:r>
      <w:r>
        <w:t xml:space="preserve">. This unified-memory architecture is</w:t>
      </w:r>
      <w:r>
        <w:t xml:space="preserve"> </w:t>
      </w:r>
      <w:r>
        <w:t xml:space="preserve">particularly relevant to the project: the image-to-video pipeline alone</w:t>
      </w:r>
      <w:r>
        <w:t xml:space="preserve"> </w:t>
      </w:r>
      <w:r>
        <w:t xml:space="preserve">requires loading two 14-billion-parameter models, a text encoder and a</w:t>
      </w:r>
      <w:r>
        <w:t xml:space="preserve"> </w:t>
      </w:r>
      <w:r>
        <w:t xml:space="preserve">variational auto-encoder, which together exceed the VRAM budget of any</w:t>
      </w:r>
      <w:r>
        <w:t xml:space="preserve"> </w:t>
      </w:r>
      <w:r>
        <w:t xml:space="preserve">consumer-grade GPU. The unified memory pool removes the host-to-device</w:t>
      </w:r>
      <w:r>
        <w:t xml:space="preserve"> </w:t>
      </w:r>
      <w:r>
        <w:t xml:space="preserve">transfer bottleneck and allows all components of both pipelines to remain</w:t>
      </w:r>
      <w:r>
        <w:t xml:space="preserve"> </w:t>
      </w:r>
      <w:r>
        <w:t xml:space="preserve">resident simultaneously, eliminating expensive checkpoint reloading between</w:t>
      </w:r>
      <w:r>
        <w:t xml:space="preserve"> </w:t>
      </w:r>
      <w:r>
        <w:t xml:space="preserve">successive generations.</w:t>
      </w:r>
    </w:p>
    <w:bookmarkEnd w:id="10"/>
    <w:bookmarkStart w:id="11" w:name="system-architecture"/>
    <w:p>
      <w:pPr>
        <w:pStyle w:val="Heading3"/>
      </w:pPr>
      <w:r>
        <w:t xml:space="preserve">2.2 System architecture</w:t>
      </w:r>
    </w:p>
    <w:p>
      <w:pPr>
        <w:pStyle w:val="FirstParagraph"/>
      </w:pPr>
      <w:r>
        <w:t xml:space="preserve">The application is structured as two cooperating tiers communicating over</w:t>
      </w:r>
      <w:r>
        <w:t xml:space="preserve"> </w:t>
      </w:r>
      <w:r>
        <w:t xml:space="preserve">REST/JSON. The mobile client, implemented in Expo and React Native with</w:t>
      </w:r>
      <w:r>
        <w:t xml:space="preserve"> </w:t>
      </w:r>
      <w:r>
        <w:t xml:space="preserve">TypeScript, is responsible for user interaction, navigation and persistent</w:t>
      </w:r>
      <w:r>
        <w:t xml:space="preserve"> </w:t>
      </w:r>
      <w:r>
        <w:t xml:space="preserve">state. The backend, implemented in Python with FastAPI, orchestrates three</w:t>
      </w:r>
      <w:r>
        <w:t xml:space="preserve"> </w:t>
      </w:r>
      <w:r>
        <w:t xml:space="preserve">underlying services: the ComfyUI runtime — driven programmatically through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comfy_script</w:t>
      </w:r>
      <w:r>
        <w:t xml:space="preserve"> </w:t>
      </w:r>
      <w:r>
        <w:t xml:space="preserve">library — for image and video generation; a local Ollama</w:t>
      </w:r>
      <w:r>
        <w:t xml:space="preserve"> </w:t>
      </w:r>
      <w:r>
        <w:t xml:space="preserve">instance hosting Qwen2.5-VL 7B for card metadata; and the local file system,</w:t>
      </w:r>
      <w:r>
        <w:t xml:space="preserve"> </w:t>
      </w:r>
      <w:r>
        <w:t xml:space="preserve">which acts as the canonical storage for all generated artefacts.</w:t>
      </w:r>
    </w:p>
    <w:p>
      <w:pPr>
        <w:pStyle w:val="BodyText"/>
      </w:pPr>
      <w:r>
        <w:t xml:space="preserve">The choice of a client–server split is motivated by the inability of any</w:t>
      </w:r>
      <w:r>
        <w:t xml:space="preserve"> </w:t>
      </w:r>
      <w:r>
        <w:t xml:space="preserve">mobile device to host the underlying models, both in memory and in thermal</w:t>
      </w:r>
      <w:r>
        <w:t xml:space="preserve"> </w:t>
      </w:r>
      <w:r>
        <w:t xml:space="preserve">budget. The choice of REST polling over WebSockets is motivated by the</w:t>
      </w:r>
      <w:r>
        <w:t xml:space="preserve"> </w:t>
      </w:r>
      <w:r>
        <w:t xml:space="preserve">asymmetry between the two pipelines: image generation completes within</w:t>
      </w:r>
      <w:r>
        <w:t xml:space="preserve"> </w:t>
      </w:r>
      <w:r>
        <w:t xml:space="preserve">ten to fifteen seconds and is therefore exposed as a synchronous endpoint,</w:t>
      </w:r>
      <w:r>
        <w:t xml:space="preserve"> </w:t>
      </w:r>
      <w:r>
        <w:t xml:space="preserve">whereas video generation requires roughly five minutes per clip and is</w:t>
      </w:r>
      <w:r>
        <w:t xml:space="preserve"> </w:t>
      </w:r>
      <w:r>
        <w:t xml:space="preserve">exposed as a job-queue pattern in which the client polls a status endpoint</w:t>
      </w:r>
      <w:r>
        <w:t xml:space="preserve"> </w:t>
      </w:r>
      <w:r>
        <w:t xml:space="preserve">identified by a job identifier.</w:t>
      </w:r>
    </w:p>
    <w:bookmarkEnd w:id="11"/>
    <w:bookmarkStart w:id="12" w:name="text-to-image-pipeline"/>
    <w:p>
      <w:pPr>
        <w:pStyle w:val="Heading3"/>
      </w:pPr>
      <w:r>
        <w:t xml:space="preserve">2.3 Text-to-image pipeline</w:t>
      </w:r>
    </w:p>
    <w:p>
      <w:pPr>
        <w:pStyle w:val="FirstParagraph"/>
      </w:pPr>
      <w:r>
        <w:t xml:space="preserve">The image pipeline is a port of a ComfyUI workflow built around the</w:t>
      </w:r>
      <w:r>
        <w:t xml:space="preserve"> </w:t>
      </w:r>
      <w:r>
        <w:rPr>
          <w:b/>
          <w:bCs/>
        </w:rPr>
        <w:t xml:space="preserve">JuggernautXL Ragnarok</w:t>
      </w:r>
      <w:r>
        <w:t xml:space="preserve"> </w:t>
      </w:r>
      <w:r>
        <w:t xml:space="preserve">Stable Diffusion XL fine-tune. It applies the</w:t>
      </w:r>
      <w:r>
        <w:t xml:space="preserve"> </w:t>
      </w:r>
      <w:r>
        <w:rPr>
          <w:b/>
          <w:bCs/>
        </w:rPr>
        <w:t xml:space="preserve">DMD2 four-step LoRA adapter</w:t>
      </w:r>
      <w:r>
        <w:t xml:space="preserve"> </w:t>
      </w:r>
      <w:r>
        <w:t xml:space="preserve">twice, encodes the prompt and a default</w:t>
      </w:r>
      <w:r>
        <w:t xml:space="preserve"> </w:t>
      </w:r>
      <w:r>
        <w:t xml:space="preserve">negative prompt through the dual SDXL text encoders, runs eight LCM-scheduled</w:t>
      </w:r>
      <w:r>
        <w:t xml:space="preserve"> </w:t>
      </w:r>
      <w:r>
        <w:t xml:space="preserve">sampling steps at a low classifier-free guidance scale of 1.4, decodes the</w:t>
      </w:r>
      <w:r>
        <w:t xml:space="preserve"> </w:t>
      </w:r>
      <w:r>
        <w:t xml:space="preserve">latent through the VAE and finally upscales the result to 2048 × 2048 with</w:t>
      </w:r>
      <w:r>
        <w:t xml:space="preserve"> </w:t>
      </w:r>
      <w:r>
        <w:t xml:space="preserve">a 4xUltrasharp upscaling model. The eight-step LCM configuration brings</w:t>
      </w:r>
      <w:r>
        <w:t xml:space="preserve"> </w:t>
      </w:r>
      <w:r>
        <w:t xml:space="preserve">end-to-end image generation down to approximately three seconds, which is a</w:t>
      </w:r>
      <w:r>
        <w:t xml:space="preserve"> </w:t>
      </w:r>
      <w:r>
        <w:t xml:space="preserve">material requirement for a responsive mobile experience.</w:t>
      </w:r>
    </w:p>
    <w:bookmarkEnd w:id="12"/>
    <w:bookmarkStart w:id="13" w:name="image-to-video-pipeline"/>
    <w:p>
      <w:pPr>
        <w:pStyle w:val="Heading3"/>
      </w:pPr>
      <w:r>
        <w:t xml:space="preserve">2.4 Image-to-video pipeline</w:t>
      </w:r>
    </w:p>
    <w:p>
      <w:pPr>
        <w:pStyle w:val="FirstParagraph"/>
      </w:pPr>
      <w:r>
        <w:t xml:space="preserve">The video pipeline implements the</w:t>
      </w:r>
      <w:r>
        <w:t xml:space="preserve"> </w:t>
      </w:r>
      <w:r>
        <w:rPr>
          <w:b/>
          <w:bCs/>
        </w:rPr>
        <w:t xml:space="preserve">Wan 2.2 I2V</w:t>
      </w:r>
      <w:r>
        <w:t xml:space="preserve"> </w:t>
      </w:r>
      <w:r>
        <w:t xml:space="preserve">model. Wan 2.2 is</w:t>
      </w:r>
      <w:r>
        <w:t xml:space="preserve"> </w:t>
      </w:r>
      <w:r>
        <w:t xml:space="preserve">distributed as two specialised 14-billion-parameter checkpoints — a</w:t>
      </w:r>
      <w:r>
        <w:t xml:space="preserve"> </w:t>
      </w:r>
      <w:r>
        <w:rPr>
          <w:i/>
          <w:iCs/>
        </w:rPr>
        <w:t xml:space="preserve">high-noise</w:t>
      </w:r>
      <w:r>
        <w:t xml:space="preserve"> </w:t>
      </w:r>
      <w:r>
        <w:t xml:space="preserve">and a</w:t>
      </w:r>
      <w:r>
        <w:t xml:space="preserve"> </w:t>
      </w:r>
      <w:r>
        <w:rPr>
          <w:i/>
          <w:iCs/>
        </w:rPr>
        <w:t xml:space="preserve">low-noise</w:t>
      </w:r>
      <w:r>
        <w:t xml:space="preserve"> </w:t>
      </w:r>
      <w:r>
        <w:t xml:space="preserve">model — each trained for one half of the</w:t>
      </w:r>
      <w:r>
        <w:t xml:space="preserve"> </w:t>
      </w:r>
      <w:r>
        <w:t xml:space="preserve">denoising trajectory. Both are loaded in FP8 quantisation and accelerated</w:t>
      </w:r>
      <w:r>
        <w:t xml:space="preserve"> </w:t>
      </w:r>
      <w:r>
        <w:t xml:space="preserve">with the dedicated</w:t>
      </w:r>
      <w:r>
        <w:t xml:space="preserve"> </w:t>
      </w:r>
      <w:r>
        <w:rPr>
          <w:b/>
          <w:bCs/>
        </w:rPr>
        <w:t xml:space="preserve">LightX2V four-step LoRA</w:t>
      </w:r>
      <w:r>
        <w:t xml:space="preserve"> </w:t>
      </w:r>
      <w:r>
        <w:t xml:space="preserve">adapters. A single video</w:t>
      </w:r>
      <w:r>
        <w:t xml:space="preserve"> </w:t>
      </w:r>
      <w:r>
        <w:t xml:space="preserve">clip is produced by an 81-frame, 640 × 640 latent path that is sampled in</w:t>
      </w:r>
      <w:r>
        <w:t xml:space="preserve"> </w:t>
      </w:r>
      <w:r>
        <w:t xml:space="preserve">two sequential</w:t>
      </w:r>
      <w:r>
        <w:t xml:space="preserve"> </w:t>
      </w:r>
      <w:r>
        <w:rPr>
          <w:rStyle w:val="VerbatimChar"/>
        </w:rPr>
        <w:t xml:space="preserve">KSamplerAdvanced</w:t>
      </w:r>
      <w:r>
        <w:t xml:space="preserve"> </w:t>
      </w:r>
      <w:r>
        <w:t xml:space="preserve">passes, the first executed by the</w:t>
      </w:r>
      <w:r>
        <w:t xml:space="preserve"> </w:t>
      </w:r>
      <w:r>
        <w:t xml:space="preserve">high-noise stack over steps 0 → 2, the second by the low-noise stack over</w:t>
      </w:r>
      <w:r>
        <w:t xml:space="preserve"> </w:t>
      </w:r>
      <w:r>
        <w:t xml:space="preserve">steps 2 → 4. The decoded frames are encoded into an MP4 file at 16 frames</w:t>
      </w:r>
      <w:r>
        <w:t xml:space="preserve"> </w:t>
      </w:r>
      <w:r>
        <w:t xml:space="preserve">per second. The unified-memory architecture of the deployment hardware is</w:t>
      </w:r>
      <w:r>
        <w:t xml:space="preserve"> </w:t>
      </w:r>
      <w:r>
        <w:t xml:space="preserve">essential here, as the two models, the UMT5-XXL text encoder and the</w:t>
      </w:r>
      <w:r>
        <w:t xml:space="preserve"> </w:t>
      </w:r>
      <w:r>
        <w:t xml:space="preserve">Wan 2.1 VAE all remain resident throughout generation.</w:t>
      </w:r>
    </w:p>
    <w:bookmarkEnd w:id="13"/>
    <w:bookmarkStart w:id="14" w:name="card-metadata-generation"/>
    <w:p>
      <w:pPr>
        <w:pStyle w:val="Heading3"/>
      </w:pPr>
      <w:r>
        <w:t xml:space="preserve">2.5 Card metadata generation</w:t>
      </w:r>
    </w:p>
    <w:p>
      <w:pPr>
        <w:pStyle w:val="FirstParagraph"/>
      </w:pPr>
      <w:r>
        <w:t xml:space="preserve">After image synthesis, the backend submits the generated portrait together</w:t>
      </w:r>
      <w:r>
        <w:t xml:space="preserve"> </w:t>
      </w:r>
      <w:r>
        <w:t xml:space="preserve">with the original user prompt to a locally hosted</w:t>
      </w:r>
      <w:r>
        <w:t xml:space="preserve"> </w:t>
      </w:r>
      <w:r>
        <w:rPr>
          <w:b/>
          <w:bCs/>
        </w:rPr>
        <w:t xml:space="preserve">Qwen2.5-VL 7B</w:t>
      </w:r>
      <w:r>
        <w:t xml:space="preserve"> </w:t>
      </w:r>
      <w:r>
        <w:t xml:space="preserve">multimodal model, configured to return strict JSON. The model produces a</w:t>
      </w:r>
      <w:r>
        <w:t xml:space="preserve"> </w:t>
      </w:r>
      <w:r>
        <w:t xml:space="preserve">character title, a short piece of flavour lore that must reference at</w:t>
      </w:r>
      <w:r>
        <w:t xml:space="preserve"> </w:t>
      </w:r>
      <w:r>
        <w:t xml:space="preserve">least one visual element of the image, four numerical attribute values</w:t>
      </w:r>
      <w:r>
        <w:t xml:space="preserve"> </w:t>
      </w:r>
      <w:r>
        <w:t xml:space="preserve">inferred from what is visible in the portrait, and a creativity score</w:t>
      </w:r>
      <w:r>
        <w:t xml:space="preserve"> </w:t>
      </w:r>
      <w:r>
        <w:t xml:space="preserve">inferred from the prompt itself. The use of a vision-language model — as</w:t>
      </w:r>
      <w:r>
        <w:t xml:space="preserve"> </w:t>
      </w:r>
      <w:r>
        <w:t xml:space="preserve">opposed to a purely textual one — is deliberate, as it allows the card’s</w:t>
      </w:r>
      <w:r>
        <w:t xml:space="preserve"> </w:t>
      </w:r>
      <w:r>
        <w:t xml:space="preserve">narrative and statistics to be grounded in the rendered image rather than</w:t>
      </w:r>
      <w:r>
        <w:t xml:space="preserve"> </w:t>
      </w:r>
      <w:r>
        <w:t xml:space="preserve">in the prompt alone. The metadata is cached in a JSON sidecar file located</w:t>
      </w:r>
      <w:r>
        <w:t xml:space="preserve"> </w:t>
      </w:r>
      <w:r>
        <w:t xml:space="preserve">beside the image, ensuring deterministic retrieval and avoiding repeated</w:t>
      </w:r>
      <w:r>
        <w:t xml:space="preserve"> </w:t>
      </w:r>
      <w:r>
        <w:t xml:space="preserve">inference.</w:t>
      </w:r>
    </w:p>
    <w:bookmarkEnd w:id="14"/>
    <w:bookmarkStart w:id="15" w:name="storage-model"/>
    <w:p>
      <w:pPr>
        <w:pStyle w:val="Heading3"/>
      </w:pPr>
      <w:r>
        <w:t xml:space="preserve">2.6 Storage model</w:t>
      </w:r>
    </w:p>
    <w:p>
      <w:pPr>
        <w:pStyle w:val="FirstParagraph"/>
      </w:pPr>
      <w:r>
        <w:t xml:space="preserve">A deliberate architectural choice is the use of the backend’s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 </w:t>
      </w:r>
      <w:r>
        <w:t xml:space="preserve">directory as the canonical card database. Each generated card consists of</w:t>
      </w:r>
      <w:r>
        <w:t xml:space="preserve"> </w:t>
      </w:r>
      <w:r>
        <w:t xml:space="preserve">a PNG file, a JSON metadata sidecar and, optionally, an MP4 video file,</w:t>
      </w:r>
      <w:r>
        <w:t xml:space="preserve"> </w:t>
      </w:r>
      <w:r>
        <w:t xml:space="preserve">all sharing a common identifier prefix. The gallery endpoint reconstructs</w:t>
      </w:r>
      <w:r>
        <w:t xml:space="preserve"> </w:t>
      </w:r>
      <w:r>
        <w:t xml:space="preserve">the user’s collection by enumerating the directory at request time. This</w:t>
      </w:r>
      <w:r>
        <w:t xml:space="preserve"> </w:t>
      </w:r>
      <w:r>
        <w:t xml:space="preserve">arrangement removes the need for a separate database, makes the gallery</w:t>
      </w:r>
      <w:r>
        <w:t xml:space="preserve"> </w:t>
      </w:r>
      <w:r>
        <w:t xml:space="preserve">trivially backupable through a directory copy, and avoids a class of</w:t>
      </w:r>
      <w:r>
        <w:t xml:space="preserve"> </w:t>
      </w:r>
      <w:r>
        <w:t xml:space="preserve">synchronisation errors observed in earlier prototypes that relied on the</w:t>
      </w:r>
      <w:r>
        <w:t xml:space="preserve"> </w:t>
      </w:r>
      <w:r>
        <w:t xml:space="preserve">device’s local storage.</w:t>
      </w:r>
    </w:p>
    <w:bookmarkEnd w:id="15"/>
    <w:bookmarkStart w:id="16" w:name="mobile-client"/>
    <w:p>
      <w:pPr>
        <w:pStyle w:val="Heading3"/>
      </w:pPr>
      <w:r>
        <w:t xml:space="preserve">2.7 Mobile client</w:t>
      </w:r>
    </w:p>
    <w:p>
      <w:pPr>
        <w:pStyle w:val="FirstParagraph"/>
      </w:pPr>
      <w:r>
        <w:t xml:space="preserve">The client is built with</w:t>
      </w:r>
      <w:r>
        <w:t xml:space="preserve"> </w:t>
      </w:r>
      <w:r>
        <w:rPr>
          <w:b/>
          <w:bCs/>
        </w:rPr>
        <w:t xml:space="preserve">Expo Router</w:t>
      </w:r>
      <w:r>
        <w:t xml:space="preserve"> </w:t>
      </w:r>
      <w:r>
        <w:t xml:space="preserve">in a file-based routing</w:t>
      </w:r>
      <w:r>
        <w:t xml:space="preserve"> </w:t>
      </w:r>
      <w:r>
        <w:t xml:space="preserve">configuration. Cross-screen state is managed through a single React</w:t>
      </w:r>
      <w:r>
        <w:t xml:space="preserve"> </w:t>
      </w:r>
      <w:r>
        <w:t xml:space="preserve">context, while battle-specific state is kept locally in the relevant</w:t>
      </w:r>
      <w:r>
        <w:t xml:space="preserve"> </w:t>
      </w:r>
      <w:r>
        <w:t xml:space="preserve">screens. The card reveal employs a three-revolution flip animation</w:t>
      </w:r>
      <w:r>
        <w:t xml:space="preserve"> </w:t>
      </w:r>
      <w:r>
        <w:t xml:space="preserve">followed by a scale-in face reveal, transforming the unavoidable</w:t>
      </w:r>
      <w:r>
        <w:t xml:space="preserve"> </w:t>
      </w:r>
      <w:r>
        <w:t xml:space="preserve">generation latency into a deliberate visual ritual. All screens follow a</w:t>
      </w:r>
      <w:r>
        <w:t xml:space="preserve"> </w:t>
      </w:r>
      <w:r>
        <w:t xml:space="preserve">unified dark fantasy theme implemented through a centralised theme module.</w:t>
      </w:r>
    </w:p>
    <w:bookmarkEnd w:id="16"/>
    <w:bookmarkStart w:id="17" w:name="game-layer"/>
    <w:p>
      <w:pPr>
        <w:pStyle w:val="Heading3"/>
      </w:pPr>
      <w:r>
        <w:t xml:space="preserve">2.8 Game layer</w:t>
      </w:r>
    </w:p>
    <w:p>
      <w:pPr>
        <w:pStyle w:val="FirstParagraph"/>
      </w:pPr>
      <w:r>
        <w:t xml:space="preserve">A rarity system computes the sum of the four attributes plus half of the</w:t>
      </w:r>
      <w:r>
        <w:t xml:space="preserve"> </w:t>
      </w:r>
      <w:r>
        <w:t xml:space="preserve">creativity score, mapping the result to one of five tiers — Common,</w:t>
      </w:r>
      <w:r>
        <w:t xml:space="preserve"> </w:t>
      </w:r>
      <w:r>
        <w:t xml:space="preserve">Uncommon, Rare, Epic and Legendary — visualised through coloured borders</w:t>
      </w:r>
      <w:r>
        <w:t xml:space="preserve"> </w:t>
      </w:r>
      <w:r>
        <w:t xml:space="preserve">and badges. The combat engine resolves four simultaneous-attack rounds,</w:t>
      </w:r>
      <w:r>
        <w:t xml:space="preserve"> </w:t>
      </w:r>
      <w:r>
        <w:t xml:space="preserve">where every attribute contributes every round: Strength provides base</w:t>
      </w:r>
      <w:r>
        <w:t xml:space="preserve"> </w:t>
      </w:r>
      <w:r>
        <w:t xml:space="preserve">damage, Magic determines critical-hit probability, Defense reduces incoming</w:t>
      </w:r>
      <w:r>
        <w:t xml:space="preserve"> </w:t>
      </w:r>
      <w:r>
        <w:t xml:space="preserve">damage and Agility provides a flat dodge chance. All combatants share a</w:t>
      </w:r>
      <w:r>
        <w:t xml:space="preserve"> </w:t>
      </w:r>
      <w:r>
        <w:t xml:space="preserve">fixed health pool, ensuring that rarity advantages translate into more</w:t>
      </w:r>
      <w:r>
        <w:t xml:space="preserve"> </w:t>
      </w:r>
      <w:r>
        <w:t xml:space="preserve">favourable passive effects rather than into raw numerical superiority. The</w:t>
      </w:r>
      <w:r>
        <w:t xml:space="preserve"> </w:t>
      </w:r>
      <w:r>
        <w:t xml:space="preserve">campaign mode features twelve hand-tuned boss opponents of progressively</w:t>
      </w:r>
      <w:r>
        <w:t xml:space="preserve"> </w:t>
      </w:r>
      <w:r>
        <w:t xml:space="preserve">increasing difficulty, whose portraits were pre-generated using the same</w:t>
      </w:r>
      <w:r>
        <w:t xml:space="preserve"> </w:t>
      </w:r>
      <w:r>
        <w:t xml:space="preserve">text-to-image pipeline and bundled as static assets. A daily limit of three</w:t>
      </w:r>
      <w:r>
        <w:t xml:space="preserve"> </w:t>
      </w:r>
      <w:r>
        <w:t xml:space="preserve">free generations, complemented by tokens earned through battle, closes the</w:t>
      </w:r>
      <w:r>
        <w:t xml:space="preserve"> </w:t>
      </w:r>
      <w:r>
        <w:t xml:space="preserve">loop between generation and play.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the-contribution-of-ai-tooling"/>
    <w:p>
      <w:pPr>
        <w:pStyle w:val="Heading2"/>
      </w:pPr>
      <w:r>
        <w:t xml:space="preserve">3. The contribution of AI tooling</w:t>
      </w:r>
    </w:p>
    <w:p>
      <w:pPr>
        <w:pStyle w:val="FirstParagraph"/>
      </w:pPr>
      <w:r>
        <w:t xml:space="preserve">The development of this thesis project benefited from the assistance of an</w:t>
      </w:r>
      <w:r>
        <w:t xml:space="preserve"> </w:t>
      </w:r>
      <w:r>
        <w:t xml:space="preserve">agentic AI coding tool — specifically</w:t>
      </w:r>
      <w:r>
        <w:t xml:space="preserve"> </w:t>
      </w:r>
      <w:r>
        <w:rPr>
          <w:b/>
          <w:bCs/>
        </w:rPr>
        <w:t xml:space="preserve">Claude Code</w:t>
      </w:r>
      <w:r>
        <w:t xml:space="preserve">, the command-line</w:t>
      </w:r>
      <w:r>
        <w:t xml:space="preserve"> </w:t>
      </w:r>
      <w:r>
        <w:t xml:space="preserve">agent released by Anthropic — used throughout as a programming companion.</w:t>
      </w:r>
      <w:r>
        <w:t xml:space="preserve"> </w:t>
      </w:r>
      <w:r>
        <w:t xml:space="preserve">Its contribution was most significant in three areas: the translation of</w:t>
      </w:r>
      <w:r>
        <w:t xml:space="preserve"> </w:t>
      </w:r>
      <w:r>
        <w:t xml:space="preserve">the original ComfyUI node graphs into idiomatic Python through the</w:t>
      </w:r>
      <w:r>
        <w:t xml:space="preserve"> </w:t>
      </w:r>
      <w:r>
        <w:rPr>
          <w:rStyle w:val="VerbatimChar"/>
        </w:rPr>
        <w:t xml:space="preserve">comfy_script</w:t>
      </w:r>
      <w:r>
        <w:t xml:space="preserve"> </w:t>
      </w:r>
      <w:r>
        <w:t xml:space="preserve">runtime, including the dual high-noise / low-noise sampler</w:t>
      </w:r>
      <w:r>
        <w:t xml:space="preserve"> </w:t>
      </w:r>
      <w:r>
        <w:t xml:space="preserve">configuration of the Wan 2.2 pipeline; the design and refinement of the</w:t>
      </w:r>
      <w:r>
        <w:t xml:space="preserve"> </w:t>
      </w:r>
      <w:r>
        <w:t xml:space="preserve">prompt template used to elicit strict JSON output from the vision-language</w:t>
      </w:r>
      <w:r>
        <w:t xml:space="preserve"> </w:t>
      </w:r>
      <w:r>
        <w:t xml:space="preserve">metadata model; and the elaboration of the collectible-card-game balance,</w:t>
      </w:r>
      <w:r>
        <w:t xml:space="preserve"> </w:t>
      </w:r>
      <w:r>
        <w:t xml:space="preserve">particularly the rarity formula and the per-round combat resolution. The</w:t>
      </w:r>
      <w:r>
        <w:t xml:space="preserve"> </w:t>
      </w:r>
      <w:r>
        <w:t xml:space="preserve">AI also accelerated the production of supporting infrastructure — REST</w:t>
      </w:r>
      <w:r>
        <w:t xml:space="preserve"> </w:t>
      </w:r>
      <w:r>
        <w:t xml:space="preserve">client code, TypeScript type definitions, error-handling middleware and</w:t>
      </w:r>
      <w:r>
        <w:t xml:space="preserve"> </w:t>
      </w:r>
      <w:r>
        <w:t xml:space="preserve">React Native screen scaffolding — that would otherwise have consumed a</w:t>
      </w:r>
      <w:r>
        <w:t xml:space="preserve"> </w:t>
      </w:r>
      <w:r>
        <w:t xml:space="preserve">disproportionate amount of development time relative to its scientific</w:t>
      </w:r>
      <w:r>
        <w:t xml:space="preserve"> </w:t>
      </w:r>
      <w:r>
        <w:t xml:space="preserve">content.</w:t>
      </w:r>
    </w:p>
    <w:p>
      <w:pPr>
        <w:pStyle w:val="BodyText"/>
      </w:pPr>
      <w:r>
        <w:t xml:space="preserve">The selection of model families, the academic framing, the decision to</w:t>
      </w:r>
      <w:r>
        <w:t xml:space="preserve"> </w:t>
      </w:r>
      <w:r>
        <w:t xml:space="preserve">embed the generative pipeline within a card game, and all design judgments</w:t>
      </w:r>
      <w:r>
        <w:t xml:space="preserve"> </w:t>
      </w:r>
      <w:r>
        <w:t xml:space="preserve">were made by the author. Every block of generated code was reviewed and,</w:t>
      </w:r>
      <w:r>
        <w:t xml:space="preserve"> </w:t>
      </w:r>
      <w:r>
        <w:t xml:space="preserve">where necessary, adapted before being incorporated into the project. The</w:t>
      </w:r>
      <w:r>
        <w:t xml:space="preserve"> </w:t>
      </w:r>
      <w:r>
        <w:t xml:space="preserve">AI tool was therefore used as an accelerator and as a sounding board for</w:t>
      </w:r>
      <w:r>
        <w:t xml:space="preserve"> </w:t>
      </w:r>
      <w:r>
        <w:t xml:space="preserve">design alternatives, not as a substitute for the engineering and modelling</w:t>
      </w:r>
      <w:r>
        <w:t xml:space="preserve"> </w:t>
      </w:r>
      <w:r>
        <w:t xml:space="preserve">decisions that constitute the substance of the thesis.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2026-04-27T08:06:03Z</dcterms:created>
  <dcterms:modified xsi:type="dcterms:W3CDTF">2026-04-27T08:06:03Z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