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_rels/document.xml.rels" ContentType="application/vnd.openxmlformats-package.relationships+xml"/>
  <Override PartName="/customXml/item1.xml" ContentType="application/xml"/>
  <Override PartName="/customXml/item2.xml" ContentType="application/xml"/>
  <Override PartName="/customXml/itemProps1.xml" ContentType="application/vnd.openxmlformats-officedocument.customXmlProperties+xml"/>
  <Override PartName="/customXml/_rels/item1.xml.rels" ContentType="application/vnd.openxmlformats-package.relationships+xml"/>
  <Override PartName="/customXml/_rels/item2.xml.rels" ContentType="application/vnd.openxmlformats-package.relationships+xml"/>
  <Override PartName="/customXml/_rels/item3.xml.rels" ContentType="application/vnd.openxmlformats-package.relationships+xml"/>
  <Override PartName="/customXml/_rels/item4.xml.rels" ContentType="application/vnd.openxmlformats-package.relationships+xml"/>
  <Override PartName="/customXml/item3.xml" ContentType="application/xml"/>
  <Override PartName="/customXml/itemProps2.xml" ContentType="application/vnd.openxmlformats-officedocument.customXmlProperties+xml"/>
  <Override PartName="/customXml/item4.xml" ContentType="application/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pPr>
      <w:r>
        <w:rPr/>
      </w:r>
      <w:bookmarkStart w:id="0" w:name="OLE_LINK153"/>
      <w:bookmarkStart w:id="1" w:name="OLE_LINK104"/>
      <w:bookmarkStart w:id="2" w:name="OLE_LINK153"/>
      <w:bookmarkStart w:id="3" w:name="OLE_LINK104"/>
    </w:p>
    <w:p>
      <w:pPr>
        <w:pStyle w:val="TtuloApartado1sinnivel"/>
        <w:jc w:val="both"/>
        <w:rPr/>
      </w:pPr>
      <w:bookmarkStart w:id="4" w:name="OLE_LINK153"/>
      <w:bookmarkStart w:id="5" w:name="OLE_LINK104"/>
      <w:r>
        <w:rPr/>
        <w:t>Actividad 2 (grupal): Integración de sistemas IoT</w:t>
      </w:r>
      <w:bookmarkEnd w:id="4"/>
      <w:bookmarkEnd w:id="5"/>
    </w:p>
    <w:p>
      <w:pPr>
        <w:pStyle w:val="Normal"/>
        <w:rPr>
          <w:b/>
          <w:b/>
        </w:rPr>
      </w:pPr>
      <w:r>
        <w:rPr>
          <w:b/>
        </w:rPr>
      </w:r>
    </w:p>
    <w:p>
      <w:pPr>
        <w:pStyle w:val="Normal"/>
        <w:rPr>
          <w:b/>
          <w:b/>
        </w:rPr>
      </w:pPr>
      <w:r>
        <w:rPr>
          <w:b/>
        </w:rPr>
        <w:t>Objetivos</w:t>
      </w:r>
    </w:p>
    <w:p>
      <w:pPr>
        <w:pStyle w:val="Normal"/>
        <w:rPr>
          <w:b/>
          <w:b/>
        </w:rPr>
      </w:pPr>
      <w:r>
        <w:rPr>
          <w:b/>
        </w:rPr>
      </w:r>
    </w:p>
    <w:p>
      <w:pPr>
        <w:pStyle w:val="ListParagraph"/>
        <w:numPr>
          <w:ilvl w:val="0"/>
          <w:numId w:val="1"/>
        </w:numPr>
        <w:rPr/>
      </w:pPr>
      <w:r>
        <w:rPr/>
        <w:t>Familiarizarse con la plataforma IoT ThingSpeak.</w:t>
      </w:r>
    </w:p>
    <w:p>
      <w:pPr>
        <w:pStyle w:val="ListParagraph"/>
        <w:numPr>
          <w:ilvl w:val="0"/>
          <w:numId w:val="1"/>
        </w:numPr>
        <w:rPr/>
      </w:pPr>
      <w:r>
        <w:rPr/>
        <w:t>Gestionar canales para manejo de datos de dispositivos IoT.</w:t>
      </w:r>
    </w:p>
    <w:p>
      <w:pPr>
        <w:pStyle w:val="ListParagraph"/>
        <w:numPr>
          <w:ilvl w:val="0"/>
          <w:numId w:val="1"/>
        </w:numPr>
        <w:rPr/>
      </w:pPr>
      <w:r>
        <w:rPr/>
        <w:t>Comprender el uso de las claves y direcciones de la API de ThingSpeak.</w:t>
      </w:r>
    </w:p>
    <w:p>
      <w:pPr>
        <w:pStyle w:val="ListParagraph"/>
        <w:numPr>
          <w:ilvl w:val="0"/>
          <w:numId w:val="1"/>
        </w:numPr>
        <w:rPr/>
      </w:pPr>
      <w:r>
        <w:rPr/>
        <w:t>Diseñar e implementar una aplicación que permita la gestión de los datos de los canales.</w:t>
      </w:r>
      <w:bookmarkStart w:id="6" w:name="OLE_LINK1"/>
      <w:bookmarkEnd w:id="6"/>
    </w:p>
    <w:p>
      <w:pPr>
        <w:pStyle w:val="Normal"/>
        <w:rPr/>
      </w:pPr>
      <w:r>
        <w:rPr/>
      </w:r>
    </w:p>
    <w:p>
      <w:pPr>
        <w:pStyle w:val="TtuloApartado3"/>
        <w:rPr/>
      </w:pPr>
      <w:r>
        <w:rPr/>
        <w:t>Descripción de la actividad</w:t>
      </w:r>
    </w:p>
    <w:p>
      <w:pPr>
        <w:pStyle w:val="Normal"/>
        <w:rPr>
          <w:rFonts w:cs="Calibri"/>
        </w:rPr>
      </w:pPr>
      <w:r>
        <w:rPr>
          <w:rFonts w:cs="Calibri"/>
        </w:rPr>
      </w:r>
    </w:p>
    <w:p>
      <w:pPr>
        <w:pStyle w:val="Normal"/>
        <w:rPr>
          <w:rFonts w:cs="Calibri"/>
        </w:rPr>
      </w:pPr>
      <w:r>
        <w:rPr>
          <w:rFonts w:cs="Calibri"/>
        </w:rPr>
        <w:t xml:space="preserve">La proliferación de dispositivos de IoT (internet de las cosas) está transformando profundamente nuestra sociedad al conectar objetos cotidianos a internet, permitiendo así la recopilación y el intercambio de datos para ofrecer servicios más inteligentes y eficientes. Este tipo de dispositivos abarca una amplia gama de tecnologías y aplicaciones, desde sensores ambientales hasta electrodomésticos conectados pasando por equipos industriales. Estos pueden comunicarse entre sí y con plataformas en la nube a través de redes inalámbricas, como wifi, </w:t>
      </w:r>
      <w:r>
        <w:rPr>
          <w:rFonts w:cs="Calibri"/>
          <w:i/>
          <w:iCs/>
        </w:rPr>
        <w:t>bluetooth</w:t>
      </w:r>
      <w:r>
        <w:rPr>
          <w:rFonts w:cs="Calibri"/>
        </w:rPr>
        <w:t xml:space="preserve"> o tecnologías específicas para IoT como LoRa y Sigfox.</w:t>
      </w:r>
    </w:p>
    <w:p>
      <w:pPr>
        <w:pStyle w:val="Normal"/>
        <w:rPr>
          <w:rFonts w:cs="Calibri"/>
        </w:rPr>
      </w:pPr>
      <w:r>
        <w:rPr>
          <w:rFonts w:cs="Calibri"/>
        </w:rPr>
      </w:r>
    </w:p>
    <w:p>
      <w:pPr>
        <w:pStyle w:val="Normal"/>
        <w:rPr>
          <w:rFonts w:cs="Calibri"/>
        </w:rPr>
      </w:pPr>
      <w:r>
        <w:rPr>
          <w:rFonts w:cs="Calibri"/>
        </w:rPr>
        <w:t>Para gestionar y analizar la enorme cantidad de datos generados por los dispositivos IoT, se utilizan plataformas de gestión que ofrecen capacidades de procesamiento, almacenamiento y análisis de datos en tiempo real, además de herramientas para desarrollar aplicaciones y servicios basados en IoT. Algunas de las plataformas populares incluyen AWS IoT de Amazon, Azure IoT de Microsoft, Google Cloud IoT y ThingSpeak, entre otras.</w:t>
      </w:r>
    </w:p>
    <w:p>
      <w:pPr>
        <w:pStyle w:val="Normal"/>
        <w:rPr>
          <w:rFonts w:cs="Calibri"/>
        </w:rPr>
      </w:pPr>
      <w:r>
        <w:rPr>
          <w:rFonts w:cs="Calibri"/>
        </w:rPr>
      </w:r>
    </w:p>
    <w:p>
      <w:pPr>
        <w:pStyle w:val="TtuloApartado3"/>
        <w:rPr/>
      </w:pPr>
      <w:r>
        <w:rPr/>
        <w:t>Pautas de elaboración</w:t>
      </w:r>
    </w:p>
    <w:p>
      <w:pPr>
        <w:pStyle w:val="Normal"/>
        <w:rPr/>
      </w:pPr>
      <w:r>
        <w:rPr/>
      </w:r>
    </w:p>
    <w:p>
      <w:pPr>
        <w:pStyle w:val="ListanumeradaTEST"/>
        <w:numPr>
          <w:ilvl w:val="0"/>
          <w:numId w:val="2"/>
        </w:numPr>
        <w:rPr/>
      </w:pPr>
      <w:r>
        <w:rPr/>
        <w:t xml:space="preserve">Apartado 1. Creando el canal para la gestión de los datos: </w:t>
      </w:r>
    </w:p>
    <w:p>
      <w:pPr>
        <w:pStyle w:val="Normal"/>
        <w:rPr/>
      </w:pPr>
      <w:r>
        <w:rPr/>
      </w:r>
    </w:p>
    <w:p>
      <w:pPr>
        <w:pStyle w:val="Normal"/>
        <w:rPr/>
      </w:pPr>
      <w:r>
        <w:rPr/>
        <w:t xml:space="preserve">Tras la lectura del Anexo I, en el que se muestra un ejemplo con los pasos para la creación de un canal, así como su uso, y tomándolo como referencia, se deberá crear un canal </w:t>
      </w:r>
      <w:r>
        <w:rPr>
          <w:b/>
          <w:bCs/>
        </w:rPr>
        <w:t xml:space="preserve">cuyos datos serán proporcionados por el profesorado de la asignatura </w:t>
      </w:r>
      <w:r>
        <w:rPr/>
        <w:t xml:space="preserve">y que servirá como punto de partida para la aplicación del apartado 2. </w:t>
      </w:r>
    </w:p>
    <w:p>
      <w:pPr>
        <w:pStyle w:val="Normal"/>
        <w:rPr/>
      </w:pPr>
      <w:r>
        <w:rPr/>
      </w:r>
    </w:p>
    <w:p>
      <w:pPr>
        <w:pStyle w:val="Normal"/>
        <w:rPr/>
      </w:pPr>
      <w:r>
        <w:rPr/>
        <w:t xml:space="preserve">Por tanto, se deben </w:t>
      </w:r>
      <w:r>
        <w:rPr>
          <w:b/>
          <w:bCs/>
        </w:rPr>
        <w:t xml:space="preserve">adjuntar el identificador del canal (Channel ID) junto el autor (Author), </w:t>
      </w:r>
      <w:r>
        <w:rPr/>
        <w:t>así como las</w:t>
      </w:r>
      <w:r>
        <w:rPr>
          <w:b/>
          <w:bCs/>
        </w:rPr>
        <w:t xml:space="preserve"> diferentes direcciones de peticiones API (</w:t>
      </w:r>
      <w:r>
        <w:rPr>
          <w:b/>
          <w:bCs/>
          <w:i/>
          <w:iCs/>
        </w:rPr>
        <w:t>API requests</w:t>
      </w:r>
      <w:r>
        <w:rPr>
          <w:b/>
          <w:bCs/>
        </w:rPr>
        <w:t xml:space="preserve">) de la pestaña API Keys. </w:t>
      </w:r>
      <w:r>
        <w:rPr/>
        <w:t>El canal deberá ser</w:t>
      </w:r>
      <w:r>
        <w:rPr>
          <w:b/>
          <w:bCs/>
        </w:rPr>
        <w:t xml:space="preserve"> público </w:t>
      </w:r>
      <w:r>
        <w:rPr/>
        <w:t>para poder acceder por parte del profesorado</w:t>
      </w:r>
      <w:r>
        <w:rPr>
          <w:i/>
          <w:iCs/>
        </w:rPr>
        <w:t>.</w:t>
      </w:r>
    </w:p>
    <w:p>
      <w:pPr>
        <w:pStyle w:val="Normal"/>
        <w:rPr/>
      </w:pPr>
      <w:r>
        <w:rPr/>
      </w:r>
    </w:p>
    <w:p>
      <w:pPr>
        <w:pStyle w:val="ListanumeradaTEST"/>
        <w:numPr>
          <w:ilvl w:val="0"/>
          <w:numId w:val="2"/>
        </w:numPr>
        <w:rPr/>
      </w:pPr>
      <w:r>
        <w:rPr/>
        <w:t>Apartado 2. Creando la aplicación para la gestión del canal:</w:t>
      </w:r>
    </w:p>
    <w:p>
      <w:pPr>
        <w:pStyle w:val="Normal"/>
        <w:rPr/>
      </w:pPr>
      <w:r>
        <w:rPr/>
      </w:r>
    </w:p>
    <w:p>
      <w:pPr>
        <w:pStyle w:val="Normal"/>
        <w:rPr/>
      </w:pPr>
      <w:r>
        <w:rPr/>
        <w:t>Llega el momento de implementar la solución que nos permitirá gestionar los datos del canal creado en el apartado anterior. La aplicación, desarrollada en el lenguaje que seleccione el alumnado, deberá permitir la gestión de los datos de los canales creados en el apartado anterior, tanto lecturas como escrituras ofrecidas por la API (</w:t>
      </w:r>
      <w:r>
        <w:rPr>
          <w:i/>
          <w:iCs/>
        </w:rPr>
        <w:t>API requests</w:t>
      </w:r>
      <w:r>
        <w:rPr/>
        <w:t xml:space="preserve">), mediante el uso de llamadas a las direcciones de la API del canal. </w:t>
      </w:r>
    </w:p>
    <w:p>
      <w:pPr>
        <w:pStyle w:val="Normal"/>
        <w:rPr/>
      </w:pPr>
      <w:r>
        <w:rPr/>
      </w:r>
    </w:p>
    <w:p>
      <w:pPr>
        <w:pStyle w:val="Normal"/>
        <w:rPr/>
      </w:pPr>
      <w:r>
        <w:rPr/>
        <w:t xml:space="preserve">En este punto se </w:t>
      </w:r>
      <w:r>
        <w:rPr>
          <w:b/>
          <w:bCs/>
        </w:rPr>
        <w:t xml:space="preserve">debe documentar, </w:t>
      </w:r>
      <w:r>
        <w:rPr/>
        <w:t>de forma breve,</w:t>
      </w:r>
      <w:r>
        <w:rPr>
          <w:b/>
          <w:bCs/>
        </w:rPr>
        <w:t xml:space="preserve"> el</w:t>
      </w:r>
      <w:r>
        <w:rPr/>
        <w:t xml:space="preserve"> </w:t>
      </w:r>
      <w:r>
        <w:rPr>
          <w:b/>
          <w:bCs/>
        </w:rPr>
        <w:t xml:space="preserve">funcionamiento de la aplicación, indicando sus operaciones y el procedimiento </w:t>
      </w:r>
      <w:r>
        <w:rPr/>
        <w:t>a seguir para la instalación/configuración de esta.</w:t>
      </w:r>
      <w:r>
        <w:rPr>
          <w:b/>
          <w:bCs/>
        </w:rPr>
        <w:t xml:space="preserve"> </w:t>
      </w:r>
      <w:r>
        <w:rPr/>
        <w:t>Además, se debe</w:t>
      </w:r>
      <w:r>
        <w:rPr>
          <w:b/>
          <w:bCs/>
        </w:rPr>
        <w:t xml:space="preserve"> incluir el código de la aplicación generada dentro del fichero comprimido.</w:t>
      </w:r>
    </w:p>
    <w:p>
      <w:pPr>
        <w:pStyle w:val="Normal"/>
        <w:spacing w:lineRule="auto" w:line="259" w:before="0" w:after="160"/>
        <w:jc w:val="left"/>
        <w:rPr/>
      </w:pPr>
      <w:r>
        <w:rPr/>
      </w:r>
      <w:r>
        <w:br w:type="page"/>
      </w:r>
    </w:p>
    <w:p>
      <w:pPr>
        <w:pStyle w:val="TtuloApartado3"/>
        <w:rPr>
          <w:rStyle w:val="Normaltextrun"/>
          <w:rFonts w:cs="Calibri"/>
          <w:szCs w:val="28"/>
        </w:rPr>
      </w:pPr>
      <w:r>
        <w:rPr>
          <w:rStyle w:val="Normaltextrun"/>
          <w:rFonts w:cs="Calibri"/>
          <w:szCs w:val="28"/>
        </w:rPr>
        <w:t>Extensión y formato</w:t>
      </w:r>
    </w:p>
    <w:p>
      <w:pPr>
        <w:pStyle w:val="Normal"/>
        <w:rPr/>
      </w:pPr>
      <w:r>
        <w:rPr/>
      </w:r>
    </w:p>
    <w:p>
      <w:pPr>
        <w:pStyle w:val="Normal"/>
        <w:rPr/>
      </w:pPr>
      <w:r>
        <w:rPr/>
        <w:t>La entrega consistirá en un documento en formato comprimido ZIP cuya nomenclatura será la siguiente:</w:t>
      </w:r>
    </w:p>
    <w:p>
      <w:pPr>
        <w:pStyle w:val="Normal"/>
        <w:rPr/>
      </w:pPr>
      <w:r>
        <w:rPr/>
      </w:r>
    </w:p>
    <w:p>
      <w:pPr>
        <w:pStyle w:val="Normal"/>
        <w:jc w:val="center"/>
        <w:rPr/>
      </w:pPr>
      <w:r>
        <w:rPr/>
        <w:t>APELLIDO1_APELLIDO2_NOMBRE_ActividadGrupoX.zip</w:t>
      </w:r>
    </w:p>
    <w:p>
      <w:pPr>
        <w:pStyle w:val="Normal"/>
        <w:rPr/>
      </w:pPr>
      <w:r>
        <w:rPr/>
      </w:r>
    </w:p>
    <w:p>
      <w:pPr>
        <w:pStyle w:val="Normal"/>
        <w:rPr/>
      </w:pPr>
      <w:r>
        <w:rPr/>
        <w:t>El mismo, contendrá la práctica en formato editable (.doc, .docx, .odt, etc.) con la nomenclatura siguiente:</w:t>
      </w:r>
    </w:p>
    <w:p>
      <w:pPr>
        <w:pStyle w:val="Normal"/>
        <w:rPr/>
      </w:pPr>
      <w:r>
        <w:rPr/>
      </w:r>
    </w:p>
    <w:p>
      <w:pPr>
        <w:pStyle w:val="Normal"/>
        <w:jc w:val="center"/>
        <w:rPr/>
      </w:pPr>
      <w:r>
        <w:rPr/>
        <w:t>APELLIDO1_APELLIDO2_NOMBRE_ActividadGrupoX.doc/docx/odt</w:t>
      </w:r>
    </w:p>
    <w:p>
      <w:pPr>
        <w:pStyle w:val="Normal"/>
        <w:rPr/>
      </w:pPr>
      <w:r>
        <w:rPr/>
      </w:r>
    </w:p>
    <w:p>
      <w:pPr>
        <w:pStyle w:val="Normal"/>
        <w:rPr/>
      </w:pPr>
      <w:r>
        <w:rPr/>
        <w:t xml:space="preserve">así como los demás ficheros (código fuente de la aplicación, hoja de control, etc.). </w:t>
      </w:r>
    </w:p>
    <w:p>
      <w:pPr>
        <w:pStyle w:val="Normal"/>
        <w:rPr/>
      </w:pPr>
      <w:r>
        <w:rPr/>
      </w:r>
    </w:p>
    <w:p>
      <w:pPr>
        <w:pStyle w:val="Destacados"/>
        <w:rPr/>
      </w:pPr>
      <w:r>
        <w:rPr/>
        <w:t>Todos los miembros del equipo deberán hacer la entrega en el aula virtual y adjuntar los mismos documentos.</w:t>
      </w:r>
    </w:p>
    <w:p>
      <w:pPr>
        <w:pStyle w:val="Normal"/>
        <w:rPr/>
      </w:pPr>
      <w:r>
        <w:rPr/>
      </w:r>
    </w:p>
    <w:p>
      <w:pPr>
        <w:pStyle w:val="TtuloApartado3"/>
        <w:rPr/>
      </w:pPr>
      <w:r>
        <w:rPr/>
        <w:t>Pautas de presentación</w:t>
      </w:r>
    </w:p>
    <w:p>
      <w:pPr>
        <w:pStyle w:val="Normal"/>
        <w:rPr/>
      </w:pPr>
      <w:r>
        <w:rPr/>
      </w:r>
    </w:p>
    <w:p>
      <w:pPr>
        <w:pStyle w:val="Vietaprimernivel"/>
        <w:numPr>
          <w:ilvl w:val="0"/>
          <w:numId w:val="3"/>
        </w:numPr>
        <w:rPr>
          <w:b/>
          <w:b/>
        </w:rPr>
      </w:pPr>
      <w:r>
        <w:rPr/>
        <w:t>Se han de documentar los apartados de forma razonada y justificada</w:t>
      </w:r>
      <w:r>
        <w:rPr>
          <w:b/>
        </w:rPr>
        <w:t>.</w:t>
      </w:r>
    </w:p>
    <w:p>
      <w:pPr>
        <w:pStyle w:val="Vietaprimernivel"/>
        <w:numPr>
          <w:ilvl w:val="0"/>
          <w:numId w:val="3"/>
        </w:numPr>
        <w:rPr/>
      </w:pPr>
      <w:r>
        <w:rPr>
          <w:bCs/>
        </w:rPr>
        <w:t xml:space="preserve">El </w:t>
      </w:r>
      <w:r>
        <w:rPr/>
        <w:t xml:space="preserve">interlineado será de 1.5, la fuente Calibri y el tamaño de letra 12. </w:t>
      </w:r>
    </w:p>
    <w:p>
      <w:pPr>
        <w:pStyle w:val="Vietaprimernivel"/>
        <w:numPr>
          <w:ilvl w:val="0"/>
          <w:numId w:val="3"/>
        </w:numPr>
        <w:rPr/>
      </w:pPr>
      <w:r>
        <w:rPr/>
        <w:t>La extensión máxima será de 10 páginas, sin contar portada, índice y anexos.</w:t>
      </w:r>
    </w:p>
    <w:p>
      <w:pPr>
        <w:pStyle w:val="Vietaprimernivel"/>
        <w:numPr>
          <w:ilvl w:val="0"/>
          <w:numId w:val="3"/>
        </w:numPr>
        <w:rPr/>
      </w:pPr>
      <w:r>
        <w:rPr/>
        <w:t>Se valorará la originalidad y la usabilidad a la hora de desarrollar la aplicación.</w:t>
      </w:r>
    </w:p>
    <w:p>
      <w:pPr>
        <w:pStyle w:val="Normal"/>
        <w:spacing w:lineRule="auto" w:line="259" w:before="0" w:after="160"/>
        <w:jc w:val="left"/>
        <w:rPr/>
      </w:pPr>
      <w:r>
        <w:rPr/>
      </w:r>
      <w:r>
        <w:br w:type="page"/>
      </w:r>
    </w:p>
    <w:p>
      <w:pPr>
        <w:pStyle w:val="Normal"/>
        <w:rPr/>
      </w:pPr>
      <w:r>
        <w:rPr>
          <w:b/>
        </w:rPr>
        <w:t>Rúbrica</w:t>
      </w:r>
    </w:p>
    <w:p>
      <w:pPr>
        <w:pStyle w:val="Normal"/>
        <w:rPr/>
      </w:pPr>
      <w:r>
        <w:rPr/>
      </w:r>
    </w:p>
    <w:tbl>
      <w:tblPr>
        <w:tblStyle w:val="Tabladecuadrcula5oscura-nfasis51"/>
        <w:tblW w:w="8210" w:type="dxa"/>
        <w:jc w:val="left"/>
        <w:tblInd w:w="0" w:type="dxa"/>
        <w:shd w:fill="D9E2F3" w:val="clear"/>
        <w:tblCellMar>
          <w:top w:w="0" w:type="dxa"/>
          <w:left w:w="108" w:type="dxa"/>
          <w:bottom w:w="0" w:type="dxa"/>
          <w:right w:w="108" w:type="dxa"/>
        </w:tblCellMar>
        <w:tblLook w:firstRow="1" w:noVBand="1" w:lastRow="0" w:firstColumn="1" w:lastColumn="0" w:noHBand="0" w:val="04a0"/>
      </w:tblPr>
      <w:tblGrid>
        <w:gridCol w:w="1613"/>
        <w:gridCol w:w="4051"/>
        <w:gridCol w:w="1524"/>
        <w:gridCol w:w="1021"/>
      </w:tblGrid>
      <w:tr>
        <w:trPr>
          <w:trHeight w:val="1003" w:hRule="atLeast"/>
          <w:cnfStyle w:val="100000000000" w:firstRow="1" w:lastRow="0" w:firstColumn="0" w:lastColumn="0" w:oddVBand="0" w:evenVBand="0" w:oddHBand="0" w:evenHBand="0" w:firstRowFirstColumn="0" w:firstRowLastColumn="0" w:lastRowFirstColumn="0" w:lastRowLastColumn="0"/>
        </w:trPr>
        <w:tc>
          <w:tcPr>
            <w:tcW w:w="1613" w:type="dxa"/>
            <w:cnfStyle w:val="001000000000" w:firstRow="0" w:lastRow="0" w:firstColumn="1" w:lastColumn="0" w:oddVBand="0" w:evenVBand="0" w:oddHBand="0" w:evenHBand="0" w:firstRowFirstColumn="0" w:firstRowLastColumn="0" w:lastRowFirstColumn="0" w:lastRowLastColumn="0"/>
            <w:tcBorders/>
            <w:shd w:color="auto" w:fill="0098CD" w:val="clear"/>
            <w:vAlign w:val="center"/>
          </w:tcPr>
          <w:p>
            <w:pPr>
              <w:pStyle w:val="Normal"/>
              <w:spacing w:lineRule="auto" w:line="240" w:before="0" w:after="0"/>
              <w:jc w:val="center"/>
              <w:rPr>
                <w:rFonts w:cs="UnitOT-Medi"/>
                <w:b w:val="false"/>
                <w:b w:val="false"/>
                <w:color w:val="FFFFFF" w:themeColor="background1"/>
                <w:sz w:val="22"/>
                <w:szCs w:val="22"/>
              </w:rPr>
            </w:pPr>
            <w:r>
              <w:rPr>
                <w:rFonts w:cs="UnitOT-Medi"/>
                <w:b w:val="false"/>
                <w:bCs w:val="false"/>
                <w:color w:val="FFFFFF" w:themeColor="background1"/>
                <w:sz w:val="22"/>
                <w:szCs w:val="22"/>
              </w:rPr>
              <w:t>Integración de sistemas IoT</w:t>
            </w:r>
          </w:p>
        </w:tc>
        <w:tc>
          <w:tcPr>
            <w:tcW w:w="4051" w:type="dxa"/>
            <w:tcBorders/>
            <w:shd w:color="auto" w:fill="0098CD" w:val="clear"/>
            <w:vAlign w:val="center"/>
          </w:tcPr>
          <w:p>
            <w:pPr>
              <w:pStyle w:val="Normal"/>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cs="UnitOT-Medi"/>
                <w:b w:val="false"/>
                <w:b w:val="false"/>
                <w:color w:val="FFFFFF" w:themeColor="background1"/>
                <w:sz w:val="22"/>
                <w:szCs w:val="22"/>
              </w:rPr>
            </w:pPr>
            <w:r>
              <w:rPr>
                <w:rFonts w:cs="UnitOT-Medi"/>
                <w:b w:val="false"/>
                <w:bCs w:val="false"/>
                <w:color w:val="FFFFFF" w:themeColor="background1"/>
                <w:sz w:val="22"/>
                <w:szCs w:val="22"/>
              </w:rPr>
              <w:t>Descripción</w:t>
            </w:r>
          </w:p>
        </w:tc>
        <w:tc>
          <w:tcPr>
            <w:tcW w:w="1524" w:type="dxa"/>
            <w:tcBorders/>
            <w:shd w:color="auto" w:fill="0098CD" w:val="clear"/>
            <w:vAlign w:val="center"/>
          </w:tcPr>
          <w:p>
            <w:pPr>
              <w:pStyle w:val="Normal"/>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cs="UnitOT-Medi"/>
                <w:b w:val="false"/>
                <w:b w:val="false"/>
                <w:color w:val="FFFFFF" w:themeColor="background1"/>
                <w:sz w:val="22"/>
                <w:szCs w:val="22"/>
              </w:rPr>
            </w:pPr>
            <w:r>
              <w:rPr>
                <w:rFonts w:cs="UnitOT-Medi"/>
                <w:b w:val="false"/>
                <w:bCs w:val="false"/>
                <w:color w:val="FFFFFF" w:themeColor="background1"/>
                <w:sz w:val="22"/>
                <w:szCs w:val="22"/>
              </w:rPr>
              <w:t>Puntuación máxima</w:t>
            </w:r>
          </w:p>
          <w:p>
            <w:pPr>
              <w:pStyle w:val="Normal"/>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cs="UnitOT-Medi"/>
                <w:b w:val="false"/>
                <w:b w:val="false"/>
                <w:color w:val="FFFFFF" w:themeColor="background1"/>
                <w:sz w:val="22"/>
                <w:szCs w:val="22"/>
              </w:rPr>
            </w:pPr>
            <w:r>
              <w:rPr>
                <w:rFonts w:cs="UnitOT-Medi"/>
                <w:b w:val="false"/>
                <w:bCs w:val="false"/>
                <w:color w:val="FFFFFF" w:themeColor="background1"/>
                <w:sz w:val="22"/>
                <w:szCs w:val="22"/>
              </w:rPr>
              <w:t>(puntos)</w:t>
            </w:r>
          </w:p>
        </w:tc>
        <w:tc>
          <w:tcPr>
            <w:tcW w:w="1021" w:type="dxa"/>
            <w:tcBorders/>
            <w:shd w:color="auto" w:fill="0098CD" w:val="clear"/>
            <w:vAlign w:val="center"/>
          </w:tcPr>
          <w:p>
            <w:pPr>
              <w:pStyle w:val="Normal"/>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cs="UnitOT-Medi"/>
                <w:b w:val="false"/>
                <w:b w:val="false"/>
                <w:color w:val="FFFFFF" w:themeColor="background1"/>
                <w:sz w:val="22"/>
                <w:szCs w:val="22"/>
              </w:rPr>
            </w:pPr>
            <w:r>
              <w:rPr>
                <w:rFonts w:cs="UnitOT-Medi"/>
                <w:b w:val="false"/>
                <w:bCs w:val="false"/>
                <w:color w:val="FFFFFF" w:themeColor="background1"/>
                <w:sz w:val="22"/>
                <w:szCs w:val="22"/>
              </w:rPr>
              <w:t>Peso</w:t>
            </w:r>
          </w:p>
          <w:p>
            <w:pPr>
              <w:pStyle w:val="Normal"/>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cs="UnitOT-Medi"/>
                <w:b w:val="false"/>
                <w:b w:val="false"/>
                <w:color w:val="FFFFFF" w:themeColor="background1"/>
                <w:sz w:val="22"/>
                <w:szCs w:val="22"/>
              </w:rPr>
            </w:pPr>
            <w:r>
              <w:rPr>
                <w:rFonts w:cs="UnitOT-Medi"/>
                <w:b w:val="false"/>
                <w:bCs w:val="false"/>
                <w:color w:val="FFFFFF" w:themeColor="background1"/>
                <w:sz w:val="22"/>
                <w:szCs w:val="22"/>
              </w:rPr>
              <w:t>%</w:t>
            </w:r>
          </w:p>
        </w:tc>
      </w:tr>
      <w:tr>
        <w:trPr>
          <w:trHeight w:val="564" w:hRule="atLeast"/>
          <w:cnfStyle w:val="000000100000" w:firstRow="0" w:lastRow="0" w:firstColumn="0" w:lastColumn="0" w:oddVBand="0" w:evenVBand="0" w:oddHBand="1" w:evenHBand="0" w:firstRowFirstColumn="0" w:firstRowLastColumn="0" w:lastRowFirstColumn="0" w:lastRowLastColumn="0"/>
        </w:trPr>
        <w:tc>
          <w:tcPr>
            <w:tcW w:w="1613" w:type="dxa"/>
            <w:cnfStyle w:val="001000000000" w:firstRow="0" w:lastRow="0" w:firstColumn="1" w:lastColumn="0" w:oddVBand="0" w:evenVBand="0" w:oddHBand="0" w:evenHBand="0" w:firstRowFirstColumn="0" w:firstRowLastColumn="0" w:lastRowFirstColumn="0" w:lastRowLastColumn="0"/>
            <w:tcBorders>
              <w:bottom w:val="single" w:sz="4" w:space="0" w:color="0098CD"/>
              <w:right w:val="single" w:sz="4" w:space="0" w:color="0098CD"/>
            </w:tcBorders>
            <w:shd w:color="auto" w:fill="E6F4F9" w:val="clear"/>
            <w:vAlign w:val="center"/>
          </w:tcPr>
          <w:p>
            <w:pPr>
              <w:pStyle w:val="Normal"/>
              <w:spacing w:lineRule="auto" w:line="240" w:before="0" w:after="0"/>
              <w:jc w:val="center"/>
              <w:rPr>
                <w:rFonts w:cs="UnitOT-Medi"/>
                <w:b w:val="false"/>
                <w:b w:val="false"/>
                <w:bCs w:val="false"/>
                <w:sz w:val="20"/>
                <w:szCs w:val="20"/>
              </w:rPr>
            </w:pPr>
            <w:r>
              <w:rPr>
                <w:rFonts w:cs="UnitOT-Medi"/>
                <w:b w:val="false"/>
                <w:bCs w:val="false"/>
                <w:color w:val="FFFFFF" w:themeColor="background1"/>
                <w:sz w:val="20"/>
                <w:szCs w:val="20"/>
              </w:rPr>
              <w:t>Criterio 1</w:t>
            </w:r>
          </w:p>
        </w:tc>
        <w:tc>
          <w:tcPr>
            <w:tcW w:w="4051" w:type="dxa"/>
            <w:tcBorders>
              <w:left w:val="single" w:sz="4" w:space="0" w:color="0098CD"/>
              <w:bottom w:val="single" w:sz="4" w:space="0" w:color="0098CD"/>
              <w:right w:val="single" w:sz="4" w:space="0" w:color="0098CD"/>
            </w:tcBorders>
            <w:shd w:fill="D9E2F3" w:val="clear"/>
            <w:vAlign w:val="center"/>
          </w:tcPr>
          <w:p>
            <w:pPr>
              <w:pStyle w:val="Normal"/>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El canal está creado y funciona correctamente.</w:t>
            </w:r>
          </w:p>
        </w:tc>
        <w:tc>
          <w:tcPr>
            <w:tcW w:w="1524" w:type="dxa"/>
            <w:tcBorders>
              <w:left w:val="single" w:sz="4" w:space="0" w:color="0098CD"/>
              <w:bottom w:val="single" w:sz="4" w:space="0" w:color="0098CD"/>
              <w:right w:val="single" w:sz="4" w:space="0" w:color="0098CD"/>
            </w:tcBorders>
            <w:shd w:fill="D9E2F3" w:val="clear"/>
            <w:vAlign w:val="center"/>
          </w:tcPr>
          <w:p>
            <w:pPr>
              <w:pStyle w:val="Normal"/>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2</w:t>
            </w:r>
          </w:p>
        </w:tc>
        <w:tc>
          <w:tcPr>
            <w:tcW w:w="1021" w:type="dxa"/>
            <w:tcBorders>
              <w:left w:val="single" w:sz="4" w:space="0" w:color="0098CD"/>
              <w:bottom w:val="single" w:sz="4" w:space="0" w:color="0098CD"/>
            </w:tcBorders>
            <w:shd w:fill="D9E2F3" w:val="clear"/>
            <w:vAlign w:val="center"/>
          </w:tcPr>
          <w:p>
            <w:pPr>
              <w:pStyle w:val="Normal"/>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20 %</w:t>
            </w:r>
          </w:p>
        </w:tc>
      </w:tr>
      <w:tr>
        <w:trPr>
          <w:trHeight w:val="700" w:hRule="atLeast"/>
        </w:trPr>
        <w:tc>
          <w:tcPr>
            <w:tcW w:w="1613" w:type="dxa"/>
            <w:cnfStyle w:val="001000000000" w:firstRow="0" w:lastRow="0" w:firstColumn="1" w:lastColumn="0" w:oddVBand="0" w:evenVBand="0" w:oddHBand="0" w:evenHBand="0" w:firstRowFirstColumn="0" w:firstRowLastColumn="0" w:lastRowFirstColumn="0" w:lastRowLastColumn="0"/>
            <w:tcBorders>
              <w:top w:val="single" w:sz="4" w:space="0" w:color="0098CD"/>
              <w:bottom w:val="single" w:sz="4" w:space="0" w:color="0098CD"/>
              <w:right w:val="single" w:sz="4" w:space="0" w:color="0098CD"/>
            </w:tcBorders>
            <w:shd w:color="auto" w:fill="E6F4F9" w:val="clear"/>
            <w:vAlign w:val="center"/>
          </w:tcPr>
          <w:p>
            <w:pPr>
              <w:pStyle w:val="Normal"/>
              <w:spacing w:lineRule="auto" w:line="240" w:before="0" w:after="0"/>
              <w:jc w:val="center"/>
              <w:rPr>
                <w:rFonts w:cs="UnitOT-Medi"/>
                <w:b w:val="false"/>
                <w:b w:val="false"/>
                <w:bCs w:val="false"/>
                <w:sz w:val="20"/>
                <w:szCs w:val="20"/>
              </w:rPr>
            </w:pPr>
            <w:r>
              <w:rPr>
                <w:rFonts w:cs="UnitOT-Medi"/>
                <w:b w:val="false"/>
                <w:bCs w:val="false"/>
                <w:color w:val="FFFFFF" w:themeColor="background1"/>
                <w:sz w:val="20"/>
                <w:szCs w:val="20"/>
              </w:rPr>
              <w:t>Criterio 2</w:t>
            </w:r>
          </w:p>
        </w:tc>
        <w:tc>
          <w:tcPr>
            <w:tcW w:w="4051" w:type="dxa"/>
            <w:tcBorders>
              <w:top w:val="single" w:sz="4" w:space="0" w:color="0098CD"/>
              <w:left w:val="single" w:sz="4" w:space="0" w:color="0098CD"/>
              <w:bottom w:val="single" w:sz="4" w:space="0" w:color="0098CD"/>
              <w:right w:val="single" w:sz="4" w:space="0" w:color="0098CD"/>
            </w:tcBorders>
            <w:shd w:fill="D9E2F3" w:val="clear"/>
            <w:vAlign w:val="center"/>
          </w:tcPr>
          <w:p>
            <w:pPr>
              <w:pStyle w:val="Normal"/>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La aplicación funciona correctamente siguiendo las indicaciones del tutorial.</w:t>
            </w:r>
          </w:p>
        </w:tc>
        <w:tc>
          <w:tcPr>
            <w:tcW w:w="1524" w:type="dxa"/>
            <w:tcBorders>
              <w:top w:val="single" w:sz="4" w:space="0" w:color="0098CD"/>
              <w:left w:val="single" w:sz="4" w:space="0" w:color="0098CD"/>
              <w:bottom w:val="single" w:sz="4" w:space="0" w:color="0098CD"/>
              <w:right w:val="single" w:sz="4" w:space="0" w:color="0098CD"/>
            </w:tcBorders>
            <w:shd w:fill="D9E2F3" w:val="clear"/>
            <w:vAlign w:val="center"/>
          </w:tcPr>
          <w:p>
            <w:pPr>
              <w:pStyle w:val="Normal"/>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6</w:t>
            </w:r>
          </w:p>
        </w:tc>
        <w:tc>
          <w:tcPr>
            <w:tcW w:w="1021" w:type="dxa"/>
            <w:tcBorders>
              <w:top w:val="single" w:sz="4" w:space="0" w:color="0098CD"/>
              <w:left w:val="single" w:sz="4" w:space="0" w:color="0098CD"/>
              <w:bottom w:val="single" w:sz="4" w:space="0" w:color="0098CD"/>
            </w:tcBorders>
            <w:shd w:fill="D9E2F3" w:val="clear"/>
            <w:vAlign w:val="center"/>
          </w:tcPr>
          <w:p>
            <w:pPr>
              <w:pStyle w:val="Normal"/>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60 %</w:t>
            </w:r>
          </w:p>
        </w:tc>
      </w:tr>
      <w:tr>
        <w:trPr>
          <w:trHeight w:val="697" w:hRule="atLeast"/>
          <w:cnfStyle w:val="000000100000" w:firstRow="0" w:lastRow="0" w:firstColumn="0" w:lastColumn="0" w:oddVBand="0" w:evenVBand="0" w:oddHBand="1" w:evenHBand="0" w:firstRowFirstColumn="0" w:firstRowLastColumn="0" w:lastRowFirstColumn="0" w:lastRowLastColumn="0"/>
        </w:trPr>
        <w:tc>
          <w:tcPr>
            <w:tcW w:w="1613" w:type="dxa"/>
            <w:cnfStyle w:val="001000000000" w:firstRow="0" w:lastRow="0" w:firstColumn="1" w:lastColumn="0" w:oddVBand="0" w:evenVBand="0" w:oddHBand="0" w:evenHBand="0" w:firstRowFirstColumn="0" w:firstRowLastColumn="0" w:lastRowFirstColumn="0" w:lastRowLastColumn="0"/>
            <w:tcBorders>
              <w:top w:val="single" w:sz="4" w:space="0" w:color="0098CD"/>
              <w:bottom w:val="single" w:sz="4" w:space="0" w:color="0098CD"/>
              <w:right w:val="single" w:sz="4" w:space="0" w:color="0098CD"/>
            </w:tcBorders>
            <w:shd w:color="auto" w:fill="E6F4F9" w:val="clear"/>
            <w:vAlign w:val="center"/>
          </w:tcPr>
          <w:p>
            <w:pPr>
              <w:pStyle w:val="Normal"/>
              <w:spacing w:lineRule="auto" w:line="240" w:before="0" w:after="0"/>
              <w:jc w:val="center"/>
              <w:rPr>
                <w:rFonts w:cs="UnitOT-Medi"/>
                <w:b w:val="false"/>
                <w:b w:val="false"/>
                <w:bCs w:val="false"/>
                <w:sz w:val="20"/>
                <w:szCs w:val="20"/>
              </w:rPr>
            </w:pPr>
            <w:r>
              <w:rPr>
                <w:rFonts w:cs="UnitOT-Medi"/>
                <w:b w:val="false"/>
                <w:bCs w:val="false"/>
                <w:color w:val="FFFFFF" w:themeColor="background1"/>
                <w:sz w:val="20"/>
                <w:szCs w:val="20"/>
              </w:rPr>
              <w:t>Criterio 3</w:t>
            </w:r>
          </w:p>
        </w:tc>
        <w:tc>
          <w:tcPr>
            <w:tcW w:w="4051" w:type="dxa"/>
            <w:tcBorders>
              <w:top w:val="single" w:sz="4" w:space="0" w:color="0098CD"/>
              <w:left w:val="single" w:sz="4" w:space="0" w:color="0098CD"/>
              <w:bottom w:val="single" w:sz="4" w:space="0" w:color="0098CD"/>
              <w:right w:val="single" w:sz="4" w:space="0" w:color="0098CD"/>
            </w:tcBorders>
            <w:shd w:fill="D9E2F3" w:val="clear"/>
            <w:vAlign w:val="center"/>
          </w:tcPr>
          <w:p>
            <w:pPr>
              <w:pStyle w:val="Normal"/>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Se tienen en cuenta tanto el formato de entrega como las pautas de elaboración.</w:t>
            </w:r>
          </w:p>
        </w:tc>
        <w:tc>
          <w:tcPr>
            <w:tcW w:w="1524" w:type="dxa"/>
            <w:tcBorders>
              <w:top w:val="single" w:sz="4" w:space="0" w:color="0098CD"/>
              <w:left w:val="single" w:sz="4" w:space="0" w:color="0098CD"/>
              <w:bottom w:val="single" w:sz="4" w:space="0" w:color="0098CD"/>
              <w:right w:val="single" w:sz="4" w:space="0" w:color="0098CD"/>
            </w:tcBorders>
            <w:shd w:fill="D9E2F3" w:val="clear"/>
            <w:vAlign w:val="center"/>
          </w:tcPr>
          <w:p>
            <w:pPr>
              <w:pStyle w:val="Normal"/>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2</w:t>
            </w:r>
          </w:p>
        </w:tc>
        <w:tc>
          <w:tcPr>
            <w:tcW w:w="1021" w:type="dxa"/>
            <w:tcBorders>
              <w:top w:val="single" w:sz="4" w:space="0" w:color="0098CD"/>
              <w:left w:val="single" w:sz="4" w:space="0" w:color="0098CD"/>
              <w:bottom w:val="single" w:sz="4" w:space="0" w:color="0098CD"/>
            </w:tcBorders>
            <w:shd w:fill="D9E2F3" w:val="clear"/>
            <w:vAlign w:val="center"/>
          </w:tcPr>
          <w:p>
            <w:pPr>
              <w:pStyle w:val="Normal"/>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20 %</w:t>
            </w:r>
          </w:p>
        </w:tc>
      </w:tr>
      <w:tr>
        <w:trPr/>
        <w:tc>
          <w:tcPr>
            <w:tcW w:w="1613" w:type="dxa"/>
            <w:cnfStyle w:val="001000000000" w:firstRow="0" w:lastRow="0" w:firstColumn="1" w:lastColumn="0" w:oddVBand="0" w:evenVBand="0" w:oddHBand="0" w:evenHBand="0" w:firstRowFirstColumn="0" w:firstRowLastColumn="0" w:lastRowFirstColumn="0" w:lastRowLastColumn="0"/>
            <w:tcBorders>
              <w:top w:val="single" w:sz="4" w:space="0" w:color="0098CD"/>
              <w:right w:val="nil"/>
            </w:tcBorders>
            <w:shd w:fill="D9E2F3" w:val="clear"/>
          </w:tcPr>
          <w:p>
            <w:pPr>
              <w:pStyle w:val="Normal"/>
              <w:spacing w:lineRule="auto" w:line="288" w:before="0" w:after="0"/>
              <w:jc w:val="center"/>
              <w:rPr>
                <w:b w:val="false"/>
                <w:b w:val="false"/>
                <w:bCs w:val="false"/>
                <w:color w:val="000000"/>
                <w:sz w:val="22"/>
                <w:szCs w:val="18"/>
                <w:lang w:eastAsia="en-GB"/>
              </w:rPr>
            </w:pPr>
            <w:r>
              <w:rPr>
                <w:b w:val="false"/>
                <w:bCs w:val="false"/>
                <w:color w:val="000000"/>
                <w:sz w:val="22"/>
                <w:szCs w:val="18"/>
                <w:lang w:eastAsia="en-GB"/>
              </w:rPr>
            </w:r>
          </w:p>
        </w:tc>
        <w:tc>
          <w:tcPr>
            <w:tcW w:w="4051" w:type="dxa"/>
            <w:tcBorders>
              <w:top w:val="single" w:sz="4" w:space="0" w:color="0098CD"/>
            </w:tcBorders>
            <w:shd w:fill="D9E2F3" w:val="clear"/>
          </w:tcPr>
          <w:p>
            <w:pPr>
              <w:pStyle w:val="Normal"/>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UnitOT-Light"/>
                <w:b/>
                <w:b/>
                <w:sz w:val="20"/>
                <w:szCs w:val="20"/>
              </w:rPr>
            </w:pPr>
            <w:r>
              <w:rPr>
                <w:rFonts w:cs="UnitOT-Light"/>
                <w:b/>
                <w:sz w:val="20"/>
                <w:szCs w:val="20"/>
              </w:rPr>
            </w:r>
          </w:p>
        </w:tc>
        <w:tc>
          <w:tcPr>
            <w:tcW w:w="1524" w:type="dxa"/>
            <w:tcBorders>
              <w:top w:val="single" w:sz="4" w:space="0" w:color="0098CD"/>
              <w:right w:val="single" w:sz="4" w:space="0" w:color="0098CD"/>
            </w:tcBorders>
            <w:shd w:color="auto" w:fill="E6F4F9" w:val="clear"/>
          </w:tcPr>
          <w:p>
            <w:pPr>
              <w:pStyle w:val="Normal"/>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UnitOT-Light"/>
                <w:b/>
                <w:b/>
                <w:sz w:val="20"/>
                <w:szCs w:val="20"/>
              </w:rPr>
            </w:pPr>
            <w:r>
              <w:rPr>
                <w:rFonts w:cs="UnitOT-Light"/>
                <w:b/>
                <w:sz w:val="20"/>
                <w:szCs w:val="20"/>
              </w:rPr>
              <w:t>10</w:t>
            </w:r>
          </w:p>
        </w:tc>
        <w:tc>
          <w:tcPr>
            <w:tcW w:w="1021" w:type="dxa"/>
            <w:tcBorders>
              <w:top w:val="single" w:sz="4" w:space="0" w:color="0098CD"/>
              <w:left w:val="single" w:sz="4" w:space="0" w:color="0098CD"/>
            </w:tcBorders>
            <w:shd w:color="auto" w:fill="E6F4F9" w:val="clear"/>
          </w:tcPr>
          <w:p>
            <w:pPr>
              <w:pStyle w:val="Normal"/>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UnitOT-Light"/>
                <w:b/>
                <w:b/>
                <w:sz w:val="20"/>
                <w:szCs w:val="20"/>
              </w:rPr>
            </w:pPr>
            <w:r>
              <w:rPr>
                <w:rFonts w:cs="UnitOT-Light"/>
                <w:b/>
                <w:sz w:val="20"/>
                <w:szCs w:val="20"/>
              </w:rPr>
              <w:t>100 %</w:t>
            </w:r>
            <w:bookmarkStart w:id="7" w:name="OLE_LINK105"/>
            <w:bookmarkEnd w:id="7"/>
          </w:p>
        </w:tc>
      </w:tr>
    </w:tbl>
    <w:p>
      <w:pPr>
        <w:pStyle w:val="Normal"/>
        <w:rPr/>
      </w:pPr>
      <w:r>
        <w:rPr/>
      </w:r>
    </w:p>
    <w:p>
      <w:pPr>
        <w:pStyle w:val="TtuloApartado2"/>
        <w:rPr/>
      </w:pPr>
      <w:r>
        <w:rPr/>
        <w:t>Anexo. Ejemplo de creación de un canal en ThingSpeak</w:t>
      </w:r>
    </w:p>
    <w:p>
      <w:pPr>
        <w:pStyle w:val="Normal"/>
        <w:rPr/>
      </w:pPr>
      <w:r>
        <w:rPr/>
      </w:r>
    </w:p>
    <w:p>
      <w:pPr>
        <w:pStyle w:val="Normal"/>
        <w:rPr/>
      </w:pPr>
      <w:r>
        <w:rPr/>
        <w:t xml:space="preserve">El primer paso para poder tratar los datos provenientes de nuestros dispositivos IoT es seleccionar un servicio que nos permita almacenar, analizar y visualizar los datos capturados. En este sentido, la plataforma ThingSpeak nos ofrece una oportunidad única para poder experimentar este proceso. Al ser una plataforma de </w:t>
      </w:r>
      <w:r>
        <w:rPr>
          <w:i/>
          <w:iCs/>
        </w:rPr>
        <w:t>software</w:t>
      </w:r>
      <w:r>
        <w:rPr/>
        <w:t xml:space="preserve"> de código abierto gratuito mantenida por una comunidad de desarrolladores, podemos, incluso, descargarlo e instalarlo en nuestros ordenadores.</w:t>
      </w:r>
    </w:p>
    <w:p>
      <w:pPr>
        <w:pStyle w:val="Normal"/>
        <w:rPr/>
      </w:pPr>
      <w:r>
        <w:rPr/>
      </w:r>
    </w:p>
    <w:p>
      <w:pPr>
        <w:pStyle w:val="Normal"/>
        <w:rPr>
          <w:b/>
          <w:b/>
          <w:bCs/>
        </w:rPr>
      </w:pPr>
      <w:r>
        <w:rPr>
          <w:b/>
          <w:bCs/>
        </w:rPr>
        <w:t>Registro en Thingspeak</w:t>
      </w:r>
    </w:p>
    <w:p>
      <w:pPr>
        <w:pStyle w:val="Normal"/>
        <w:rPr/>
      </w:pPr>
      <w:r>
        <w:rPr/>
      </w:r>
    </w:p>
    <w:p>
      <w:pPr>
        <w:pStyle w:val="Normal"/>
        <w:rPr/>
      </w:pPr>
      <w:r>
        <w:rPr/>
        <w:t>Antes de comenzar, deberemos crear una cuenta, para lo que deberemos acceder a su página web (</w:t>
      </w:r>
      <w:hyperlink r:id="rId2">
        <w:r>
          <w:rPr>
            <w:rStyle w:val="EnlacedeInternet"/>
          </w:rPr>
          <w:t>https://thingspeak.com/</w:t>
        </w:r>
      </w:hyperlink>
      <w:r>
        <w:rPr/>
        <w:t>) y registrar una cuenta gratuita en MathWorks, en caso de no tenerla.</w:t>
      </w:r>
    </w:p>
    <w:p>
      <w:pPr>
        <w:pStyle w:val="Normal"/>
        <w:jc w:val="center"/>
        <w:rPr/>
      </w:pPr>
      <w:r>
        <w:rPr/>
        <w:drawing>
          <wp:inline distT="0" distB="0" distL="0" distR="0">
            <wp:extent cx="5219700" cy="2944495"/>
            <wp:effectExtent l="0" t="0" r="0" b="0"/>
            <wp:docPr id="1" name="Imagen 8"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8" descr="Interfaz de usuario gráfica, Aplicación&#10;&#10;Descripción generada automáticamente"/>
                    <pic:cNvPicPr>
                      <a:picLocks noChangeAspect="1" noChangeArrowheads="1"/>
                    </pic:cNvPicPr>
                  </pic:nvPicPr>
                  <pic:blipFill>
                    <a:blip r:embed="rId3"/>
                    <a:stretch>
                      <a:fillRect/>
                    </a:stretch>
                  </pic:blipFill>
                  <pic:spPr bwMode="auto">
                    <a:xfrm>
                      <a:off x="0" y="0"/>
                      <a:ext cx="5219700" cy="2944495"/>
                    </a:xfrm>
                    <a:prstGeom prst="rect">
                      <a:avLst/>
                    </a:prstGeom>
                  </pic:spPr>
                </pic:pic>
              </a:graphicData>
            </a:graphic>
          </wp:inline>
        </w:drawing>
      </w:r>
    </w:p>
    <w:p>
      <w:pPr>
        <w:pStyle w:val="Piedefototabla"/>
        <w:rPr/>
      </w:pPr>
      <w:r>
        <w:rPr/>
        <w:t>Figura 1. Registro de cuenta Mathworks.</w:t>
        <w:br/>
        <w:t>Fuente: producción propia.</w:t>
      </w:r>
    </w:p>
    <w:p>
      <w:pPr>
        <w:pStyle w:val="Normal"/>
        <w:rPr/>
      </w:pPr>
      <w:r>
        <w:rPr/>
      </w:r>
    </w:p>
    <w:p>
      <w:pPr>
        <w:pStyle w:val="Normal"/>
        <w:rPr/>
      </w:pPr>
      <w:r>
        <w:rPr/>
        <w:t>Una vez verificada la cuenta, mediante un correo que llega a la cuenta registrada, estaremos en disposición de acceder y comenzar a trabajar.</w:t>
      </w:r>
    </w:p>
    <w:p>
      <w:pPr>
        <w:pStyle w:val="Normal"/>
        <w:rPr/>
      </w:pPr>
      <w:r>
        <w:rPr/>
      </w:r>
    </w:p>
    <w:p>
      <w:pPr>
        <w:pStyle w:val="Normal"/>
        <w:rPr>
          <w:b/>
          <w:b/>
          <w:bCs/>
        </w:rPr>
      </w:pPr>
      <w:r>
        <w:rPr>
          <w:b/>
          <w:bCs/>
        </w:rPr>
        <w:t>Creación de canales</w:t>
      </w:r>
    </w:p>
    <w:p>
      <w:pPr>
        <w:pStyle w:val="Normal"/>
        <w:rPr/>
      </w:pPr>
      <w:r>
        <w:rPr/>
      </w:r>
    </w:p>
    <w:p>
      <w:pPr>
        <w:pStyle w:val="Normal"/>
        <w:rPr/>
      </w:pPr>
      <w:r>
        <w:rPr/>
        <w:t>Los canales son la forma de agrupar y organizar la información de la plataforma, es algo así como un contenedor virtual donde se almacenan los datos. Cada proyecto, por lo general, puede tener varios canales y, a su vez, cada canal tiene su propia URL y configuración.</w:t>
      </w:r>
    </w:p>
    <w:p>
      <w:pPr>
        <w:pStyle w:val="Normal"/>
        <w:rPr/>
      </w:pPr>
      <w:r>
        <w:rPr/>
      </w:r>
    </w:p>
    <w:p>
      <w:pPr>
        <w:pStyle w:val="Normal"/>
        <w:rPr/>
      </w:pPr>
      <w:r>
        <w:rPr/>
        <w:t>En este punto, y a modo de ejemplo, vamos a crear un canal con diferentes tipos de datos para poder gestionarlos posteriormente. En concreto, serán aquellos relacionados con una estación meteorológica, tales como puedes tener datos de temperatura, humedad, lluvia, calidad del aire, estado (encendido/apagado), nivel de luz, datos GPS, presión atmosférica, etc. Con esto deberás crear un canal para poder almacenar dichos datos. Para ello, existe una opción de menú llamada Channels y, dentro de esta, otra que se denomina My Channels.</w:t>
      </w:r>
    </w:p>
    <w:p>
      <w:pPr>
        <w:pStyle w:val="Normal"/>
        <w:rPr/>
      </w:pPr>
      <w:r>
        <w:rPr/>
      </w:r>
    </w:p>
    <w:p>
      <w:pPr>
        <w:pStyle w:val="Normal"/>
        <w:jc w:val="center"/>
        <w:rPr/>
      </w:pPr>
      <w:r>
        <w:rPr/>
        <w:drawing>
          <wp:inline distT="0" distB="0" distL="0" distR="0">
            <wp:extent cx="4716780" cy="2057400"/>
            <wp:effectExtent l="0" t="0" r="0" b="0"/>
            <wp:docPr id="2" name="Imagen 7" descr="Imagen que contiene exterior, firmar, verde, calle&#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7" descr="Imagen que contiene exterior, firmar, verde, calle&#10;&#10;Descripción generada automáticamente"/>
                    <pic:cNvPicPr>
                      <a:picLocks noChangeAspect="1" noChangeArrowheads="1"/>
                    </pic:cNvPicPr>
                  </pic:nvPicPr>
                  <pic:blipFill>
                    <a:blip r:embed="rId4"/>
                    <a:stretch>
                      <a:fillRect/>
                    </a:stretch>
                  </pic:blipFill>
                  <pic:spPr bwMode="auto">
                    <a:xfrm>
                      <a:off x="0" y="0"/>
                      <a:ext cx="4716780" cy="2057400"/>
                    </a:xfrm>
                    <a:prstGeom prst="rect">
                      <a:avLst/>
                    </a:prstGeom>
                  </pic:spPr>
                </pic:pic>
              </a:graphicData>
            </a:graphic>
          </wp:inline>
        </w:drawing>
      </w:r>
    </w:p>
    <w:p>
      <w:pPr>
        <w:pStyle w:val="Piedefototabla"/>
        <w:rPr/>
      </w:pPr>
      <w:r>
        <w:rPr>
          <w:i/>
        </w:rPr>
        <w:t xml:space="preserve"> </w:t>
      </w:r>
      <w:r>
        <w:rPr/>
        <w:t>Figura 2. Opción de menú Channels.</w:t>
        <w:br/>
        <w:t>Fuente: producción propia</w:t>
      </w:r>
      <w:bookmarkStart w:id="8" w:name="OLE_LINK5"/>
      <w:bookmarkStart w:id="9" w:name="OLE_LINK4"/>
      <w:bookmarkEnd w:id="8"/>
      <w:bookmarkEnd w:id="9"/>
    </w:p>
    <w:p>
      <w:pPr>
        <w:pStyle w:val="Normal"/>
        <w:rPr/>
      </w:pPr>
      <w:r>
        <w:rPr/>
      </w:r>
    </w:p>
    <w:p>
      <w:pPr>
        <w:pStyle w:val="Normal"/>
        <w:rPr/>
      </w:pPr>
      <w:r>
        <w:rPr/>
        <w:t>A continuación, crearemos uno, pulsando el botón New Channel, el cual se mostrará en la pantalla. Tras ello, se abrirá una página donde deberemos configurar el canal. Existen multitud de campos, los cuales se explican en la documentación oficial (</w:t>
      </w:r>
      <w:hyperlink r:id="rId5">
        <w:r>
          <w:rPr>
            <w:rStyle w:val="EnlacedeInternet"/>
          </w:rPr>
          <w:t>https://es.mathworks.com/help/thingspeak/channel-settings.html</w:t>
        </w:r>
      </w:hyperlink>
      <w:r>
        <w:rPr/>
        <w:t>). Mostramos la configuración de un canal de ejemplo utilizado para obtener la temperatura y la humedad:</w:t>
      </w:r>
    </w:p>
    <w:p>
      <w:pPr>
        <w:pStyle w:val="Normal"/>
        <w:rPr/>
      </w:pPr>
      <w:r>
        <w:rPr/>
      </w:r>
    </w:p>
    <w:p>
      <w:pPr>
        <w:pStyle w:val="Normal"/>
        <w:jc w:val="center"/>
        <w:rPr/>
      </w:pPr>
      <w:r>
        <w:rPr/>
        <w:drawing>
          <wp:inline distT="0" distB="0" distL="0" distR="0">
            <wp:extent cx="3345180" cy="2827020"/>
            <wp:effectExtent l="0" t="0" r="0" b="0"/>
            <wp:docPr id="3" name="Imagen 6"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6" descr="Interfaz de usuario gráfica&#10;&#10;Descripción generada automáticamente"/>
                    <pic:cNvPicPr>
                      <a:picLocks noChangeAspect="1" noChangeArrowheads="1"/>
                    </pic:cNvPicPr>
                  </pic:nvPicPr>
                  <pic:blipFill>
                    <a:blip r:embed="rId6"/>
                    <a:stretch>
                      <a:fillRect/>
                    </a:stretch>
                  </pic:blipFill>
                  <pic:spPr bwMode="auto">
                    <a:xfrm>
                      <a:off x="0" y="0"/>
                      <a:ext cx="3345180" cy="2827020"/>
                    </a:xfrm>
                    <a:prstGeom prst="rect">
                      <a:avLst/>
                    </a:prstGeom>
                  </pic:spPr>
                </pic:pic>
              </a:graphicData>
            </a:graphic>
          </wp:inline>
        </w:drawing>
      </w:r>
    </w:p>
    <w:p>
      <w:pPr>
        <w:pStyle w:val="Piedefototabla"/>
        <w:rPr/>
      </w:pPr>
      <w:r>
        <w:rPr/>
        <w:t>Figura 3. Opciones de un canal.</w:t>
        <w:br/>
        <w:t>Fuente: producción propia</w:t>
      </w:r>
    </w:p>
    <w:p>
      <w:pPr>
        <w:pStyle w:val="Normal"/>
        <w:rPr/>
      </w:pPr>
      <w:r>
        <w:rPr/>
      </w:r>
    </w:p>
    <w:p>
      <w:pPr>
        <w:pStyle w:val="Normal"/>
        <w:rPr/>
      </w:pPr>
      <w:r>
        <w:rPr/>
        <w:t>Tras pulsar el botón Save Channel, ubicado en la parte inferior de la pantalla, podremos ver otra pantalla con un panel de control donde se mostrarán los datos. Por ejemplo, el medidor que se ha configurado en la captura anterior quedaría de la siguiente manera:</w:t>
      </w:r>
    </w:p>
    <w:p>
      <w:pPr>
        <w:pStyle w:val="Normal"/>
        <w:rPr/>
      </w:pPr>
      <w:r>
        <w:rPr/>
      </w:r>
    </w:p>
    <w:p>
      <w:pPr>
        <w:pStyle w:val="Normal"/>
        <w:rPr/>
      </w:pPr>
      <w:r>
        <w:rPr/>
      </w:r>
    </w:p>
    <w:p>
      <w:pPr>
        <w:pStyle w:val="Normal"/>
        <w:jc w:val="center"/>
        <w:rPr/>
      </w:pPr>
      <w:r>
        <w:rPr/>
        <w:drawing>
          <wp:inline distT="0" distB="0" distL="0" distR="0">
            <wp:extent cx="4663440" cy="3116580"/>
            <wp:effectExtent l="0" t="0" r="0" b="0"/>
            <wp:docPr id="4" name="Imagen 5"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5" descr="Interfaz de usuario gráfica, Aplicación&#10;&#10;Descripción generada automáticamente"/>
                    <pic:cNvPicPr>
                      <a:picLocks noChangeAspect="1" noChangeArrowheads="1"/>
                    </pic:cNvPicPr>
                  </pic:nvPicPr>
                  <pic:blipFill>
                    <a:blip r:embed="rId7"/>
                    <a:stretch>
                      <a:fillRect/>
                    </a:stretch>
                  </pic:blipFill>
                  <pic:spPr bwMode="auto">
                    <a:xfrm>
                      <a:off x="0" y="0"/>
                      <a:ext cx="4663440" cy="3116580"/>
                    </a:xfrm>
                    <a:prstGeom prst="rect">
                      <a:avLst/>
                    </a:prstGeom>
                  </pic:spPr>
                </pic:pic>
              </a:graphicData>
            </a:graphic>
          </wp:inline>
        </w:drawing>
      </w:r>
    </w:p>
    <w:p>
      <w:pPr>
        <w:pStyle w:val="Piedefototabla"/>
        <w:rPr/>
      </w:pPr>
      <w:r>
        <w:rPr/>
        <w:t>Figura 4. Panel de control de un canal.</w:t>
        <w:br/>
        <w:t>Fuente: producción propia</w:t>
      </w:r>
    </w:p>
    <w:p>
      <w:pPr>
        <w:pStyle w:val="Normal"/>
        <w:rPr/>
      </w:pPr>
      <w:r>
        <w:rPr/>
      </w:r>
    </w:p>
    <w:p>
      <w:pPr>
        <w:pStyle w:val="Normal"/>
        <w:rPr>
          <w:b/>
          <w:b/>
          <w:bCs/>
        </w:rPr>
      </w:pPr>
      <w:r>
        <w:rPr>
          <w:b/>
          <w:bCs/>
        </w:rPr>
        <w:t>Gestión de canales</w:t>
      </w:r>
    </w:p>
    <w:p>
      <w:pPr>
        <w:pStyle w:val="Normal"/>
        <w:rPr/>
      </w:pPr>
      <w:r>
        <w:rPr/>
      </w:r>
    </w:p>
    <w:p>
      <w:pPr>
        <w:pStyle w:val="Normal"/>
        <w:rPr/>
      </w:pPr>
      <w:r>
        <w:rPr/>
        <w:t>El verdadero interés de la creación de canales es la obtención/adición de datos al mismo, ya sea desde dispositivos de adquisición o, directamente, desde los dispositivos que lo gestionan. La segunda opción se corresponde con la pestaña Api Keys, es la que contiene las claves para leer o escribir el canal. Son códigos que deberemos utilizar para interactuar con el canal y que nos identifican como usuarios autorizados. Concretamente, existen dos claves:</w:t>
      </w:r>
    </w:p>
    <w:p>
      <w:pPr>
        <w:pStyle w:val="Normal"/>
        <w:rPr/>
      </w:pPr>
      <w:r>
        <w:rPr/>
      </w:r>
    </w:p>
    <w:p>
      <w:pPr>
        <w:pStyle w:val="Vietaprimernivel"/>
        <w:numPr>
          <w:ilvl w:val="0"/>
          <w:numId w:val="3"/>
        </w:numPr>
        <w:rPr/>
      </w:pPr>
      <w:r>
        <w:rPr/>
        <w:t>Write API Key: para enviar datos al canal.</w:t>
      </w:r>
    </w:p>
    <w:p>
      <w:pPr>
        <w:pStyle w:val="Vietaprimernivel"/>
        <w:numPr>
          <w:ilvl w:val="0"/>
          <w:numId w:val="3"/>
        </w:numPr>
        <w:rPr/>
      </w:pPr>
      <w:r>
        <w:rPr/>
        <w:t>Read API Key: para leer datos del canal.</w:t>
      </w:r>
    </w:p>
    <w:p>
      <w:pPr>
        <w:pStyle w:val="Normal"/>
        <w:rPr/>
      </w:pPr>
      <w:r>
        <w:rPr/>
      </w:r>
    </w:p>
    <w:p>
      <w:pPr>
        <w:pStyle w:val="Normal"/>
        <w:rPr/>
      </w:pPr>
      <w:r>
        <w:rPr/>
        <w:drawing>
          <wp:inline distT="0" distB="0" distL="0" distR="0">
            <wp:extent cx="5219700" cy="3810000"/>
            <wp:effectExtent l="0" t="0" r="0" b="0"/>
            <wp:docPr id="5" name="Imagen 4"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descr="Interfaz de usuario gráfica, Texto, Aplicación&#10;&#10;Descripción generada automáticamente"/>
                    <pic:cNvPicPr>
                      <a:picLocks noChangeAspect="1" noChangeArrowheads="1"/>
                    </pic:cNvPicPr>
                  </pic:nvPicPr>
                  <pic:blipFill>
                    <a:blip r:embed="rId8"/>
                    <a:stretch>
                      <a:fillRect/>
                    </a:stretch>
                  </pic:blipFill>
                  <pic:spPr bwMode="auto">
                    <a:xfrm>
                      <a:off x="0" y="0"/>
                      <a:ext cx="5219700" cy="3810000"/>
                    </a:xfrm>
                    <a:prstGeom prst="rect">
                      <a:avLst/>
                    </a:prstGeom>
                  </pic:spPr>
                </pic:pic>
              </a:graphicData>
            </a:graphic>
          </wp:inline>
        </w:drawing>
      </w:r>
    </w:p>
    <w:p>
      <w:pPr>
        <w:pStyle w:val="Piedefototabla"/>
        <w:rPr/>
      </w:pPr>
      <w:r>
        <w:rPr/>
        <w:t>Figura 5. Claves de lectura y escritura del canal.</w:t>
        <w:br/>
        <w:t>Fuente: producción propia</w:t>
      </w:r>
    </w:p>
    <w:p>
      <w:pPr>
        <w:pStyle w:val="Normal"/>
        <w:rPr/>
      </w:pPr>
      <w:r>
        <w:rPr/>
      </w:r>
    </w:p>
    <w:p>
      <w:pPr>
        <w:pStyle w:val="Normal"/>
        <w:rPr/>
      </w:pPr>
      <w:r>
        <w:rPr/>
        <w:t>Además, en la parte derecha, se mostrará información que nos ayudará a poder acceder al canal para poder enviar o recibir datos de este. Para ello, hace uso del método GET, cuyo formato contiene una serie de partes (ubicadas después del símbolo ?). En la documentación oficial tienes más información al respecto (</w:t>
      </w:r>
      <w:hyperlink r:id="rId9">
        <w:r>
          <w:rPr>
            <w:rStyle w:val="EnlacedeInternet"/>
          </w:rPr>
          <w:t>https://es.mathworks.com/help/thingspeak/writedata.html</w:t>
        </w:r>
      </w:hyperlink>
      <w:r>
        <w:rPr/>
        <w:t xml:space="preserve">). </w:t>
      </w:r>
    </w:p>
    <w:p>
      <w:pPr>
        <w:pStyle w:val="Normal"/>
        <w:rPr/>
      </w:pPr>
      <w:r>
        <w:rPr/>
      </w:r>
    </w:p>
    <w:p>
      <w:pPr>
        <w:pStyle w:val="Normal"/>
        <w:rPr/>
      </w:pPr>
      <w:r>
        <w:rPr/>
        <w:t xml:space="preserve">En el siguiente ejemplo vemos una escritura en el canal del valor 0 en el campo </w:t>
      </w:r>
      <w:r>
        <w:rPr>
          <w:i/>
          <w:iCs/>
        </w:rPr>
        <w:t>field1</w:t>
      </w:r>
      <w:r>
        <w:rPr/>
        <w:t xml:space="preserve"> y el valor 33 en el campo </w:t>
      </w:r>
      <w:r>
        <w:rPr>
          <w:i/>
          <w:iCs/>
        </w:rPr>
        <w:t>field2</w:t>
      </w:r>
      <w:r>
        <w:rPr/>
        <w:t>:</w:t>
      </w:r>
    </w:p>
    <w:p>
      <w:pPr>
        <w:pStyle w:val="Normal"/>
        <w:rPr/>
      </w:pPr>
      <w:r>
        <w:rPr/>
      </w:r>
    </w:p>
    <w:p>
      <w:pPr>
        <w:pStyle w:val="Cuadroenlace"/>
        <w:rPr/>
      </w:pPr>
      <w:hyperlink r:id="rId10">
        <w:r>
          <w:rPr>
            <w:rStyle w:val="EnlacedeInternet"/>
          </w:rPr>
          <w:t>https://api.thingspeak.com/update?api_key=CLIF6GHF922B6DCL&amp;field1=0&amp;field2=33</w:t>
        </w:r>
      </w:hyperlink>
      <w:r>
        <w:rPr/>
        <w:t xml:space="preserve"> </w:t>
      </w:r>
    </w:p>
    <w:p>
      <w:pPr>
        <w:pStyle w:val="Normal"/>
        <w:rPr/>
      </w:pPr>
      <w:r>
        <w:rPr/>
      </w:r>
    </w:p>
    <w:p>
      <w:pPr>
        <w:pStyle w:val="Vietaprimernivel"/>
        <w:numPr>
          <w:ilvl w:val="0"/>
          <w:numId w:val="3"/>
        </w:numPr>
        <w:rPr/>
      </w:pPr>
      <w:r>
        <w:rPr/>
        <w:t>api_key: es la clave de escritura.</w:t>
      </w:r>
    </w:p>
    <w:p>
      <w:pPr>
        <w:pStyle w:val="Vietaprimernivel"/>
        <w:numPr>
          <w:ilvl w:val="0"/>
          <w:numId w:val="3"/>
        </w:numPr>
        <w:rPr/>
      </w:pPr>
      <w:r>
        <w:rPr/>
        <w:t>fieldX=Y: indica que el campo X tiene el valor Y.</w:t>
      </w:r>
    </w:p>
    <w:p>
      <w:pPr>
        <w:pStyle w:val="Normal"/>
        <w:rPr/>
      </w:pPr>
      <w:r>
        <w:rPr/>
      </w:r>
    </w:p>
    <w:p>
      <w:pPr>
        <w:pStyle w:val="Normal"/>
        <w:rPr/>
      </w:pPr>
      <w:r>
        <w:rPr/>
        <w:t>Si introducimos la dirección del canal con los campos y se almacenan correctamente, obtendremos un 1 como respuesta, el cual indica que se ha realizado de manera satisfactoria. Además, y para poder verificarlo, podemos comprobar que, en la pestaña Private View, se mostrarán los primeros datos recibidos.</w:t>
      </w:r>
    </w:p>
    <w:p>
      <w:pPr>
        <w:pStyle w:val="Normal"/>
        <w:rPr/>
      </w:pPr>
      <w:r>
        <w:rPr/>
      </w:r>
    </w:p>
    <w:p>
      <w:pPr>
        <w:pStyle w:val="Normal"/>
        <w:jc w:val="center"/>
        <w:rPr/>
      </w:pPr>
      <w:r>
        <w:rPr/>
        <w:drawing>
          <wp:inline distT="0" distB="0" distL="0" distR="0">
            <wp:extent cx="5219700" cy="3695700"/>
            <wp:effectExtent l="0" t="0" r="0" b="0"/>
            <wp:docPr id="6" name="Imagen 3" descr="Interfaz de usuario gráfica, Sitio web&#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3" descr="Interfaz de usuario gráfica, Sitio web&#10;&#10;Descripción generada automáticamente"/>
                    <pic:cNvPicPr>
                      <a:picLocks noChangeAspect="1" noChangeArrowheads="1"/>
                    </pic:cNvPicPr>
                  </pic:nvPicPr>
                  <pic:blipFill>
                    <a:blip r:embed="rId11"/>
                    <a:stretch>
                      <a:fillRect/>
                    </a:stretch>
                  </pic:blipFill>
                  <pic:spPr bwMode="auto">
                    <a:xfrm>
                      <a:off x="0" y="0"/>
                      <a:ext cx="5219700" cy="3695700"/>
                    </a:xfrm>
                    <a:prstGeom prst="rect">
                      <a:avLst/>
                    </a:prstGeom>
                  </pic:spPr>
                </pic:pic>
              </a:graphicData>
            </a:graphic>
          </wp:inline>
        </w:drawing>
      </w:r>
    </w:p>
    <w:p>
      <w:pPr>
        <w:pStyle w:val="Piedefototabla"/>
        <w:rPr/>
      </w:pPr>
      <w:r>
        <w:rPr/>
        <w:t>Figura 6. Valores almacenados en el canal.</w:t>
        <w:br/>
        <w:t>Fuente: producción propia</w:t>
      </w:r>
    </w:p>
    <w:p>
      <w:pPr>
        <w:pStyle w:val="Normal"/>
        <w:rPr/>
      </w:pPr>
      <w:r>
        <w:rPr/>
      </w:r>
    </w:p>
    <w:p>
      <w:pPr>
        <w:pStyle w:val="Normal"/>
        <w:rPr/>
      </w:pPr>
      <w:r>
        <w:rPr/>
        <w:t>También podremos realizar la lectura de los datos almacenados, pero, en este caso, el proceso deberá tomar como referencia las direcciones que indican Read. En la documentación oficial tienes más información al respecto (</w:t>
      </w:r>
      <w:hyperlink r:id="rId12">
        <w:r>
          <w:rPr>
            <w:rStyle w:val="EnlacedeInternet"/>
          </w:rPr>
          <w:t>https://es.mathworks.com/help/thingspeak/read-data-from-channel.html</w:t>
        </w:r>
      </w:hyperlink>
      <w:r>
        <w:rPr/>
        <w:t>).</w:t>
      </w:r>
    </w:p>
    <w:p>
      <w:pPr>
        <w:pStyle w:val="Normal"/>
        <w:rPr/>
      </w:pPr>
      <w:r>
        <w:rPr/>
      </w:r>
    </w:p>
    <w:p>
      <w:pPr>
        <w:pStyle w:val="Normal"/>
        <w:rPr/>
      </w:pPr>
      <w:r>
        <w:rPr/>
        <w:t>Vamos a poner el ejemplo de lectura de los dos elementos anteriormente almacenados:</w:t>
      </w:r>
    </w:p>
    <w:p>
      <w:pPr>
        <w:pStyle w:val="Normal"/>
        <w:rPr/>
      </w:pPr>
      <w:r>
        <w:rPr/>
      </w:r>
    </w:p>
    <w:p>
      <w:pPr>
        <w:pStyle w:val="Cuadroenlace"/>
        <w:rPr/>
      </w:pPr>
      <w:hyperlink r:id="rId13">
        <w:r>
          <w:rPr>
            <w:rStyle w:val="EnlacedeInternet"/>
          </w:rPr>
          <w:t>https://api.thingspeak.com/channels/2523066/feeds.json?api_key=AFC7FRTZGT85KTRS&amp;results=2</w:t>
        </w:r>
      </w:hyperlink>
      <w:r>
        <w:rPr/>
        <w:t xml:space="preserve"> </w:t>
      </w:r>
    </w:p>
    <w:p>
      <w:pPr>
        <w:pStyle w:val="Normal"/>
        <w:rPr/>
      </w:pPr>
      <w:r>
        <w:rPr/>
      </w:r>
    </w:p>
    <w:p>
      <w:pPr>
        <w:pStyle w:val="Normal"/>
        <w:jc w:val="center"/>
        <w:rPr/>
      </w:pPr>
      <w:r>
        <w:rPr/>
        <w:drawing>
          <wp:inline distT="0" distB="0" distL="0" distR="0">
            <wp:extent cx="4815840" cy="2766060"/>
            <wp:effectExtent l="0" t="0" r="0" b="0"/>
            <wp:docPr id="7" name="Imagen 2"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2" descr="Texto&#10;&#10;Descripción generada automáticamente"/>
                    <pic:cNvPicPr>
                      <a:picLocks noChangeAspect="1" noChangeArrowheads="1"/>
                    </pic:cNvPicPr>
                  </pic:nvPicPr>
                  <pic:blipFill>
                    <a:blip r:embed="rId14"/>
                    <a:stretch>
                      <a:fillRect/>
                    </a:stretch>
                  </pic:blipFill>
                  <pic:spPr bwMode="auto">
                    <a:xfrm>
                      <a:off x="0" y="0"/>
                      <a:ext cx="4815840" cy="2766060"/>
                    </a:xfrm>
                    <a:prstGeom prst="rect">
                      <a:avLst/>
                    </a:prstGeom>
                  </pic:spPr>
                </pic:pic>
              </a:graphicData>
            </a:graphic>
          </wp:inline>
        </w:drawing>
      </w:r>
    </w:p>
    <w:p>
      <w:pPr>
        <w:pStyle w:val="Piedefototabla"/>
        <w:rPr/>
      </w:pPr>
      <w:r>
        <w:rPr/>
        <w:t>Figura 7. Valores devueltos por el canal.</w:t>
        <w:br/>
        <w:t>Fuente: producción propia</w:t>
      </w:r>
    </w:p>
    <w:p>
      <w:pPr>
        <w:pStyle w:val="Normal"/>
        <w:rPr/>
      </w:pPr>
      <w:r>
        <w:rPr/>
      </w:r>
    </w:p>
    <w:p>
      <w:pPr>
        <w:pStyle w:val="Normal"/>
        <w:rPr/>
      </w:pPr>
      <w:r>
        <w:rPr/>
        <w:t xml:space="preserve">Si nos fijamos, los datos tienen formato JSON, por lo que podrán ser manipulados de forma sencilla desde cualquier lenguaje de programación. </w:t>
      </w:r>
    </w:p>
    <w:p>
      <w:pPr>
        <w:pStyle w:val="Normal"/>
        <w:rPr/>
      </w:pPr>
      <w:r>
        <w:rPr/>
      </w:r>
    </w:p>
    <w:p>
      <w:pPr>
        <w:pStyle w:val="Cuerpodetexto"/>
        <w:rPr/>
      </w:pPr>
      <w:r>
        <w:rPr/>
        <w:t> </w:t>
      </w:r>
    </w:p>
    <w:p>
      <w:pPr>
        <w:pStyle w:val="Ttulo1"/>
        <w:rPr>
          <w:rFonts w:ascii="apple-system;BlinkMacSystemFont;Segoe UI;system-ui;Apple Color Emoji;Segoe UI Emoji;Segoe UI Web;sans-serif" w:hAnsi="apple-system;BlinkMacSystemFont;Segoe UI;system-ui;Apple Color Emoji;Segoe UI Emoji;Segoe UI Web;sans-serif"/>
          <w:sz w:val="48"/>
        </w:rPr>
      </w:pPr>
      <w:r>
        <w:rPr>
          <w:rFonts w:ascii="apple-system;BlinkMacSystemFont;Segoe UI;system-ui;Apple Color Emoji;Segoe UI Emoji;Segoe UI Web;sans-serif" w:hAnsi="apple-system;BlinkMacSystemFont;Segoe UI;system-ui;Apple Color Emoji;Segoe UI Emoji;Segoe UI Web;sans-serif"/>
          <w:sz w:val="48"/>
        </w:rPr>
        <w:t>Telemetría Androide IA - NeuroBotics</w:t>
      </w:r>
    </w:p>
    <w:p>
      <w:pPr>
        <w:pStyle w:val="Cuerpodetexto"/>
        <w:numPr>
          <w:ilvl w:val="0"/>
          <w:numId w:val="4"/>
        </w:numPr>
        <w:tabs>
          <w:tab w:val="clear" w:pos="709"/>
          <w:tab w:val="left" w:pos="0" w:leader="none"/>
        </w:tabs>
        <w:spacing w:before="0" w:after="0"/>
        <w:ind w:left="707" w:hanging="283"/>
        <w:rPr/>
      </w:pPr>
      <w:r>
        <w:rPr>
          <w:rFonts w:ascii="apple-system;BlinkMacSystemFont;Segoe UI;system-ui;Apple Color Emoji;Segoe UI Emoji;Segoe UI Web;sans-serif" w:hAnsi="apple-system;BlinkMacSystemFont;Segoe UI;system-ui;Apple Color Emoji;Segoe UI Emoji;Segoe UI Web;sans-serif"/>
          <w:sz w:val="17"/>
        </w:rPr>
        <w:t xml:space="preserve">Channel ID: </w:t>
      </w:r>
      <w:r>
        <w:rPr>
          <w:rStyle w:val="Muydestacado"/>
          <w:rFonts w:ascii="apple-system;BlinkMacSystemFont;Segoe UI;system-ui;Apple Color Emoji;Segoe UI Emoji;Segoe UI Web;sans-serif" w:hAnsi="apple-system;BlinkMacSystemFont;Segoe UI;system-ui;Apple Color Emoji;Segoe UI Emoji;Segoe UI Web;sans-serif"/>
          <w:sz w:val="17"/>
        </w:rPr>
        <w:t>3351927</w:t>
      </w:r>
    </w:p>
    <w:p>
      <w:pPr>
        <w:pStyle w:val="Cuerpodetexto"/>
        <w:numPr>
          <w:ilvl w:val="0"/>
          <w:numId w:val="4"/>
        </w:numPr>
        <w:tabs>
          <w:tab w:val="clear" w:pos="709"/>
          <w:tab w:val="left" w:pos="0" w:leader="none"/>
        </w:tabs>
        <w:spacing w:before="0" w:after="0"/>
        <w:ind w:left="707" w:hanging="283"/>
        <w:rPr/>
      </w:pPr>
      <w:r>
        <w:rPr>
          <w:rFonts w:ascii="apple-system;BlinkMacSystemFont;Segoe UI;system-ui;Apple Color Emoji;Segoe UI Emoji;Segoe UI Web;sans-serif" w:hAnsi="apple-system;BlinkMacSystemFont;Segoe UI;system-ui;Apple Color Emoji;Segoe UI Emoji;Segoe UI Web;sans-serif"/>
          <w:sz w:val="17"/>
        </w:rPr>
        <w:t xml:space="preserve">Author: </w:t>
      </w:r>
      <w:hyperlink r:id="rId15" w:tgtFrame="_blank">
        <w:r>
          <w:rPr>
            <w:rStyle w:val="EnlacedeInternet"/>
            <w:rFonts w:ascii="apple-system;BlinkMacSystemFont;Segoe UI;system-ui;Apple Color Emoji;Segoe UI Emoji;Segoe UI Web;sans-serif" w:hAnsi="apple-system;BlinkMacSystemFont;Segoe UI;system-ui;Apple Color Emoji;Segoe UI Emoji;Segoe UI Web;sans-serif"/>
            <w:sz w:val="17"/>
          </w:rPr>
          <w:t>mwa0000041180118</w:t>
        </w:r>
      </w:hyperlink>
    </w:p>
    <w:p>
      <w:pPr>
        <w:pStyle w:val="Cuerpodetexto"/>
        <w:numPr>
          <w:ilvl w:val="0"/>
          <w:numId w:val="4"/>
        </w:numPr>
        <w:tabs>
          <w:tab w:val="clear" w:pos="709"/>
          <w:tab w:val="left" w:pos="0" w:leader="none"/>
        </w:tabs>
        <w:ind w:left="707" w:hanging="283"/>
        <w:rPr>
          <w:rFonts w:ascii="apple-system;BlinkMacSystemFont;Segoe UI;system-ui;Apple Color Emoji;Segoe UI Emoji;Segoe UI Web;sans-serif" w:hAnsi="apple-system;BlinkMacSystemFont;Segoe UI;system-ui;Apple Color Emoji;Segoe UI Emoji;Segoe UI Web;sans-serif"/>
          <w:sz w:val="17"/>
        </w:rPr>
      </w:pPr>
      <w:r>
        <w:rPr>
          <w:rFonts w:ascii="apple-system;BlinkMacSystemFont;Segoe UI;system-ui;Apple Color Emoji;Segoe UI Emoji;Segoe UI Web;sans-serif" w:hAnsi="apple-system;BlinkMacSystemFont;Segoe UI;system-ui;Apple Color Emoji;Segoe UI Emoji;Segoe UI Web;sans-serif"/>
          <w:sz w:val="17"/>
        </w:rPr>
        <w:t>Access: Public</w:t>
      </w:r>
    </w:p>
    <w:p>
      <w:pPr>
        <w:pStyle w:val="Cuerpodetexto"/>
        <w:rPr/>
      </w:pPr>
      <w:r>
        <w:rPr/>
        <w:t> </w:t>
      </w:r>
    </w:p>
    <w:p>
      <w:pPr>
        <w:pStyle w:val="Ttulo2"/>
        <w:spacing w:before="40" w:after="283"/>
        <w:rPr>
          <w:rFonts w:ascii="apple-system;BlinkMacSystemFont;Segoe UI;system-ui;Apple Color Emoji;Segoe UI Emoji;Segoe UI Web;sans-serif" w:hAnsi="apple-system;BlinkMacSystemFont;Segoe UI;system-ui;Apple Color Emoji;Segoe UI Emoji;Segoe UI Web;sans-serif"/>
          <w:sz w:val="48"/>
        </w:rPr>
      </w:pPr>
      <w:r>
        <w:rPr>
          <w:rFonts w:ascii="apple-system;BlinkMacSystemFont;Segoe UI;system-ui;Apple Color Emoji;Segoe UI Emoji;Segoe UI Web;sans-serif" w:hAnsi="apple-system;BlinkMacSystemFont;Segoe UI;system-ui;Apple Color Emoji;Segoe UI Emoji;Segoe UI Web;sans-serif"/>
          <w:sz w:val="48"/>
        </w:rPr>
        <w:t>Write API Key</w:t>
      </w:r>
    </w:p>
    <w:p>
      <w:pPr>
        <w:pStyle w:val="Cuerpodetexto"/>
        <w:rPr>
          <w:rFonts w:ascii="apple-system;BlinkMacSystemFont;Segoe UI;system-ui;Apple Color Emoji;Segoe UI Emoji;Segoe UI Web;sans-serif" w:hAnsi="apple-system;BlinkMacSystemFont;Segoe UI;system-ui;Apple Color Emoji;Segoe UI Emoji;Segoe UI Web;sans-serif"/>
          <w:sz w:val="17"/>
        </w:rPr>
      </w:pPr>
      <w:r>
        <w:rPr>
          <w:rFonts w:ascii="apple-system;BlinkMacSystemFont;Segoe UI;system-ui;Apple Color Emoji;Segoe UI Emoji;Segoe UI Web;sans-serif" w:hAnsi="apple-system;BlinkMacSystemFont;Segoe UI;system-ui;Apple Color Emoji;Segoe UI Emoji;Segoe UI Web;sans-serif"/>
          <w:sz w:val="17"/>
        </w:rPr>
        <w:t>Key</w:t>
      </w:r>
    </w:p>
    <w:p>
      <w:pPr>
        <w:pStyle w:val="Cuerpodetexto"/>
        <w:rPr>
          <w:rFonts w:ascii="apple-system;BlinkMacSystemFont;Segoe UI;system-ui;Apple Color Emoji;Segoe UI Emoji;Segoe UI Web;sans-serif" w:hAnsi="apple-system;BlinkMacSystemFont;Segoe UI;system-ui;Apple Color Emoji;Segoe UI Emoji;Segoe UI Web;sans-serif"/>
          <w:sz w:val="17"/>
        </w:rPr>
      </w:pPr>
      <w:r>
        <w:rPr>
          <w:rFonts w:ascii="apple-system;BlinkMacSystemFont;Segoe UI;system-ui;Apple Color Emoji;Segoe UI Emoji;Segoe UI Web;sans-serif" w:hAnsi="apple-system;BlinkMacSystemFont;Segoe UI;system-ui;Apple Color Emoji;Segoe UI Emoji;Segoe UI Web;sans-serif"/>
          <w:sz w:val="17"/>
        </w:rPr>
        <w:t>L0GLG6OX3NC3UEVK</w:t>
      </w:r>
    </w:p>
    <w:p>
      <w:pPr>
        <w:pStyle w:val="Cuerpodetexto"/>
        <w:rPr/>
      </w:pPr>
      <w:r>
        <w:rPr/>
        <w:t> </w:t>
      </w:r>
    </w:p>
    <w:p>
      <w:pPr>
        <w:pStyle w:val="Ttulo2"/>
        <w:spacing w:before="40" w:after="283"/>
        <w:rPr>
          <w:rFonts w:ascii="apple-system;BlinkMacSystemFont;Segoe UI;system-ui;Apple Color Emoji;Segoe UI Emoji;Segoe UI Web;sans-serif" w:hAnsi="apple-system;BlinkMacSystemFont;Segoe UI;system-ui;Apple Color Emoji;Segoe UI Emoji;Segoe UI Web;sans-serif"/>
          <w:sz w:val="48"/>
        </w:rPr>
      </w:pPr>
      <w:r>
        <w:rPr>
          <w:rFonts w:ascii="apple-system;BlinkMacSystemFont;Segoe UI;system-ui;Apple Color Emoji;Segoe UI Emoji;Segoe UI Web;sans-serif" w:hAnsi="apple-system;BlinkMacSystemFont;Segoe UI;system-ui;Apple Color Emoji;Segoe UI Emoji;Segoe UI Web;sans-serif"/>
          <w:sz w:val="48"/>
        </w:rPr>
        <w:t>Read API Keys</w:t>
      </w:r>
    </w:p>
    <w:p>
      <w:pPr>
        <w:pStyle w:val="Cuerpodetexto"/>
        <w:rPr>
          <w:rFonts w:ascii="apple-system;BlinkMacSystemFont;Segoe UI;system-ui;Apple Color Emoji;Segoe UI Emoji;Segoe UI Web;sans-serif" w:hAnsi="apple-system;BlinkMacSystemFont;Segoe UI;system-ui;Apple Color Emoji;Segoe UI Emoji;Segoe UI Web;sans-serif"/>
          <w:sz w:val="17"/>
        </w:rPr>
      </w:pPr>
      <w:r>
        <w:rPr>
          <w:rFonts w:ascii="apple-system;BlinkMacSystemFont;Segoe UI;system-ui;Apple Color Emoji;Segoe UI Emoji;Segoe UI Web;sans-serif" w:hAnsi="apple-system;BlinkMacSystemFont;Segoe UI;system-ui;Apple Color Emoji;Segoe UI Emoji;Segoe UI Web;sans-serif"/>
          <w:sz w:val="17"/>
        </w:rPr>
        <w:t>Key</w:t>
      </w:r>
    </w:p>
    <w:p>
      <w:pPr>
        <w:pStyle w:val="Cuerpodetexto"/>
        <w:rPr>
          <w:rFonts w:ascii="apple-system;BlinkMacSystemFont;Segoe UI;system-ui;Apple Color Emoji;Segoe UI Emoji;Segoe UI Web;sans-serif" w:hAnsi="apple-system;BlinkMacSystemFont;Segoe UI;system-ui;Apple Color Emoji;Segoe UI Emoji;Segoe UI Web;sans-serif"/>
          <w:sz w:val="17"/>
        </w:rPr>
      </w:pPr>
      <w:r>
        <w:rPr>
          <w:rFonts w:ascii="apple-system;BlinkMacSystemFont;Segoe UI;system-ui;Apple Color Emoji;Segoe UI Emoji;Segoe UI Web;sans-serif" w:hAnsi="apple-system;BlinkMacSystemFont;Segoe UI;system-ui;Apple Color Emoji;Segoe UI Emoji;Segoe UI Web;sans-serif"/>
          <w:sz w:val="17"/>
        </w:rPr>
        <w:t>JRBHA7XSM0ZZT1FT</w:t>
      </w:r>
    </w:p>
    <w:p>
      <w:pPr>
        <w:pStyle w:val="Cuerpodetexto"/>
        <w:spacing w:before="0" w:after="0"/>
        <w:ind w:left="0" w:right="0" w:hanging="0"/>
        <w:rPr>
          <w:rFonts w:ascii="apple-system;BlinkMacSystemFont;Segoe UI;system-ui;Apple Color Emoji;Segoe UI Emoji;Segoe UI Web;sans-serif" w:hAnsi="apple-system;BlinkMacSystemFont;Segoe UI;system-ui;Apple Color Emoji;Segoe UI Emoji;Segoe UI Web;sans-serif"/>
          <w:sz w:val="17"/>
        </w:rPr>
      </w:pPr>
      <w:r>
        <w:rPr>
          <w:rFonts w:ascii="apple-system;BlinkMacSystemFont;Segoe UI;system-ui;Apple Color Emoji;Segoe UI Emoji;Segoe UI Web;sans-serif" w:hAnsi="apple-system;BlinkMacSystemFont;Segoe UI;system-ui;Apple Color Emoji;Segoe UI Emoji;Segoe UI Web;sans-serif"/>
          <w:sz w:val="17"/>
        </w:rPr>
        <w:t xml:space="preserve">MATLAB Central contributions by Cristina. </w:t>
      </w:r>
    </w:p>
    <w:p>
      <w:pPr>
        <w:pStyle w:val="Cuerpodetexto"/>
        <w:spacing w:lineRule="auto" w:line="276" w:before="0" w:after="140"/>
        <w:rPr/>
      </w:pPr>
      <w:r>
        <w:rPr/>
        <w:t xml:space="preserve">  </w:t>
      </w:r>
    </w:p>
    <w:sectPr>
      <w:headerReference w:type="default" r:id="rId16"/>
      <w:footerReference w:type="default" r:id="rId17"/>
      <w:type w:val="nextPage"/>
      <w:pgSz w:w="11906" w:h="16838"/>
      <w:pgMar w:left="1843" w:right="1843" w:header="1134" w:top="1418" w:footer="397" w:bottom="1418"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Georgia">
    <w:charset w:val="00"/>
    <w:family w:val="roman"/>
    <w:pitch w:val="variable"/>
  </w:font>
  <w:font w:name="Calibri Light">
    <w:charset w:val="00"/>
    <w:family w:val="roman"/>
    <w:pitch w:val="variable"/>
  </w:font>
  <w:font w:name="Segoe UI">
    <w:charset w:val="00"/>
    <w:family w:val="roman"/>
    <w:pitch w:val="variable"/>
  </w:font>
  <w:font w:name="Consolas">
    <w:charset w:val="00"/>
    <w:family w:val="roman"/>
    <w:pitch w:val="variable"/>
  </w:font>
  <w:font w:name="OpenSymbol">
    <w:altName w:val="Arial Unicode MS"/>
    <w:charset w:val="02"/>
    <w:family w:val="auto"/>
    <w:pitch w:val="default"/>
  </w:font>
  <w:font w:name="Liberation Sans">
    <w:altName w:val="Arial"/>
    <w:charset w:val="00"/>
    <w:family w:val="swiss"/>
    <w:pitch w:val="variable"/>
  </w:font>
  <w:font w:name="apple-system">
    <w:altName w:val="BlinkMacSystemFont"/>
    <w:charset w:val="00"/>
    <w:family w:val="auto"/>
    <w:pitch w:val="default"/>
  </w:font>
  <w:font w:name="UnitOT-Bold">
    <w:charset w:val="00"/>
    <w:family w:val="roman"/>
    <w:pitch w:val="variable"/>
  </w:font>
  <w:font w:name="UnitOT-Light">
    <w:charset w:val="00"/>
    <w:family w:val="roman"/>
    <w:pitch w:val="variable"/>
  </w:font>
  <w:font w:name="Wingdings 3">
    <w:charset w:val="02"/>
    <w:family w:val="auto"/>
    <w:pitch w:val="default"/>
  </w:font>
  <w:font w:name="Calibri">
    <w:charset w:val="01"/>
    <w:family w:val="swiss"/>
    <w:pitch w:val="variable"/>
  </w:font>
  <w:font w:name="Wingdings">
    <w:charset w:val="02"/>
    <w:family w:val="auto"/>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PiedepginaAsignatura"/>
      <w:ind w:hanging="0"/>
      <w:jc w:val="both"/>
      <w:rPr/>
    </w:pPr>
    <w:r>
      <w:rPr/>
      <mc:AlternateContent>
        <mc:Choice Requires="wps">
          <w:drawing>
            <wp:anchor behindDoc="1" distT="0" distB="0" distL="114300" distR="252095" simplePos="0" locked="0" layoutInCell="1" allowOverlap="1" relativeHeight="20" wp14:anchorId="5E59C26E">
              <wp:simplePos x="0" y="0"/>
              <wp:positionH relativeFrom="rightMargin">
                <wp:posOffset>142875</wp:posOffset>
              </wp:positionH>
              <wp:positionV relativeFrom="page">
                <wp:posOffset>10072370</wp:posOffset>
              </wp:positionV>
              <wp:extent cx="252095" cy="612775"/>
              <wp:effectExtent l="0" t="0" r="0" b="0"/>
              <wp:wrapTight wrapText="bothSides">
                <wp:wrapPolygon edited="0">
                  <wp:start x="0" y="0"/>
                  <wp:lineTo x="0" y="20860"/>
                  <wp:lineTo x="19636" y="20860"/>
                  <wp:lineTo x="19636" y="0"/>
                  <wp:lineTo x="0" y="0"/>
                </wp:wrapPolygon>
              </wp:wrapTight>
              <wp:docPr id="8" name="Rectángulo 65"/>
              <a:graphic xmlns:a="http://schemas.openxmlformats.org/drawingml/2006/main">
                <a:graphicData uri="http://schemas.microsoft.com/office/word/2010/wordprocessingShape">
                  <wps:wsp>
                    <wps:cNvSpPr/>
                    <wps:spPr>
                      <a:xfrm>
                        <a:off x="0" y="0"/>
                        <a:ext cx="251640" cy="612000"/>
                      </a:xfrm>
                      <a:prstGeom prst="rect">
                        <a:avLst/>
                      </a:prstGeom>
                      <a:solidFill>
                        <a:srgbClr val="0098cd"/>
                      </a:solidFill>
                      <a:ln>
                        <a:noFill/>
                      </a:ln>
                    </wps:spPr>
                    <wps:style>
                      <a:lnRef idx="2">
                        <a:schemeClr val="accent1">
                          <a:shade val="50000"/>
                        </a:schemeClr>
                      </a:lnRef>
                      <a:fillRef idx="1">
                        <a:schemeClr val="accent1"/>
                      </a:fillRef>
                      <a:effectRef idx="0">
                        <a:schemeClr val="accent1"/>
                      </a:effectRef>
                      <a:fontRef idx="minor"/>
                    </wps:style>
                    <wps:txbx>
                      <w:txbxContent>
                        <w:p>
                          <w:pPr>
                            <w:pStyle w:val="Contenidodelmarco"/>
                            <w:jc w:val="center"/>
                            <w:rPr/>
                          </w:pPr>
                          <w:r>
                            <w:rPr>
                              <w:rFonts w:cs="UnitOT-Light"/>
                              <w:color w:val="FFFFFF" w:themeColor="background1"/>
                              <w:sz w:val="20"/>
                              <w:szCs w:val="20"/>
                            </w:rPr>
                            <w:fldChar w:fldCharType="begin"/>
                          </w:r>
                          <w:r>
                            <w:rPr>
                              <w:sz w:val="20"/>
                              <w:szCs w:val="20"/>
                              <w:rFonts w:cs="UnitOT-Light"/>
                            </w:rPr>
                            <w:instrText> PAGE </w:instrText>
                          </w:r>
                          <w:r>
                            <w:rPr>
                              <w:sz w:val="20"/>
                              <w:szCs w:val="20"/>
                              <w:rFonts w:cs="UnitOT-Light"/>
                            </w:rPr>
                            <w:fldChar w:fldCharType="separate"/>
                          </w:r>
                          <w:r>
                            <w:rPr>
                              <w:sz w:val="20"/>
                              <w:szCs w:val="20"/>
                              <w:rFonts w:cs="UnitOT-Light"/>
                            </w:rPr>
                            <w:t>12</w:t>
                          </w:r>
                          <w:r>
                            <w:rPr>
                              <w:sz w:val="20"/>
                              <w:szCs w:val="20"/>
                              <w:rFonts w:cs="UnitOT-Light"/>
                            </w:rPr>
                            <w:fldChar w:fldCharType="end"/>
                          </w:r>
                        </w:p>
                      </w:txbxContent>
                    </wps:txbx>
                    <wps:bodyPr lIns="0" rIns="0" tIns="144000">
                      <a:prstTxWarp prst="textNoShape"/>
                      <a:noAutofit/>
                    </wps:bodyPr>
                  </wps:wsp>
                </a:graphicData>
              </a:graphic>
            </wp:anchor>
          </w:drawing>
        </mc:Choice>
        <mc:Fallback>
          <w:pict>
            <v:rect id="shape_0" ID="Rectángulo 65" fillcolor="#0098cd" stroked="f" style="position:absolute;margin-left:11.25pt;margin-top:793.1pt;width:19.75pt;height:48.15pt;mso-position-horizontal-relative:page;mso-position-vertical-relative:page" wp14:anchorId="5E59C26E">
              <w10:wrap type="square"/>
              <v:fill o:detectmouseclick="t" type="solid" color2="#ff6732"/>
              <v:stroke color="#3465a4" weight="12600" joinstyle="miter" endcap="flat"/>
              <v:textbox>
                <w:txbxContent>
                  <w:p>
                    <w:pPr>
                      <w:pStyle w:val="Contenidodelmarco"/>
                      <w:jc w:val="center"/>
                      <w:rPr/>
                    </w:pPr>
                    <w:r>
                      <w:rPr>
                        <w:rFonts w:cs="UnitOT-Light"/>
                        <w:color w:val="FFFFFF" w:themeColor="background1"/>
                        <w:sz w:val="20"/>
                        <w:szCs w:val="20"/>
                      </w:rPr>
                      <w:fldChar w:fldCharType="begin"/>
                    </w:r>
                    <w:r>
                      <w:rPr>
                        <w:sz w:val="20"/>
                        <w:szCs w:val="20"/>
                        <w:rFonts w:cs="UnitOT-Light"/>
                      </w:rPr>
                      <w:instrText> PAGE </w:instrText>
                    </w:r>
                    <w:r>
                      <w:rPr>
                        <w:sz w:val="20"/>
                        <w:szCs w:val="20"/>
                        <w:rFonts w:cs="UnitOT-Light"/>
                      </w:rPr>
                      <w:fldChar w:fldCharType="separate"/>
                    </w:r>
                    <w:r>
                      <w:rPr>
                        <w:sz w:val="20"/>
                        <w:szCs w:val="20"/>
                        <w:rFonts w:cs="UnitOT-Light"/>
                      </w:rPr>
                      <w:t>12</w:t>
                    </w:r>
                    <w:r>
                      <w:rPr>
                        <w:sz w:val="20"/>
                        <w:szCs w:val="20"/>
                        <w:rFonts w:cs="UnitOT-Light"/>
                      </w:rPr>
                      <w:fldChar w:fldCharType="end"/>
                    </w:r>
                  </w:p>
                </w:txbxContent>
              </v:textbox>
            </v:rect>
          </w:pict>
        </mc:Fallback>
      </mc:AlternateContent>
    </w:r>
  </w:p>
  <w:p>
    <w:pPr>
      <w:pStyle w:val="PiedepginaSecciones"/>
      <w:tabs>
        <w:tab w:val="right" w:pos="8220" w:leader="none"/>
      </w:tabs>
      <w:spacing w:lineRule="auto" w:line="240" w:before="0" w:after="100"/>
      <w:jc w:val="right"/>
      <w:rPr>
        <w:color w:val="777777"/>
      </w:rPr>
    </w:pPr>
    <w:r>
      <w:rPr/>
      <w:t>Actividades</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Style w:val="TablaUNIR30"/>
      <w:tblW w:w="8210" w:type="dxa"/>
      <w:jc w:val="left"/>
      <w:tblInd w:w="0" w:type="dxa"/>
      <w:shd w:fill="FFFFFF" w:val="clear"/>
      <w:tblCellMar>
        <w:top w:w="11" w:type="dxa"/>
        <w:left w:w="108" w:type="dxa"/>
        <w:bottom w:w="11" w:type="dxa"/>
        <w:right w:w="108" w:type="dxa"/>
      </w:tblCellMar>
      <w:tblLook w:firstRow="1" w:noVBand="1" w:lastRow="0" w:firstColumn="1" w:lastColumn="0" w:noHBand="0" w:val="04a0"/>
    </w:tblPr>
    <w:tblGrid>
      <w:gridCol w:w="2551"/>
      <w:gridCol w:w="3827"/>
      <w:gridCol w:w="1832"/>
    </w:tblGrid>
    <w:tr>
      <w:trPr>
        <w:trHeight w:val="283" w:hRule="atLeast"/>
        <w:cnfStyle w:val="100000000000" w:firstRow="1" w:lastRow="0" w:firstColumn="0" w:lastColumn="0" w:oddVBand="0" w:evenVBand="0" w:oddHBand="0" w:evenHBand="0" w:firstRowFirstColumn="0" w:firstRowLastColumn="0" w:lastRowFirstColumn="0" w:lastRowLastColumn="0"/>
      </w:trPr>
      <w:tc>
        <w:tcPr>
          <w:tcW w:w="2551" w:type="dxa"/>
          <w:tcBorders>
            <w:right w:val="single" w:sz="4" w:space="0" w:color="0098CD"/>
          </w:tcBorders>
          <w:shd w:color="auto" w:fill="E6F4F9" w:val="clear"/>
          <w:vAlign w:val="center"/>
        </w:tcPr>
        <w:p>
          <w:pPr>
            <w:pStyle w:val="Cabecera"/>
            <w:spacing w:lineRule="auto" w:line="240" w:before="0" w:after="0"/>
            <w:jc w:val="center"/>
            <w:rPr>
              <w:rFonts w:cs="UnitOT-Medi"/>
              <w:color w:val="0098CD"/>
              <w:sz w:val="22"/>
              <w:szCs w:val="22"/>
            </w:rPr>
          </w:pPr>
          <w:r>
            <w:rPr>
              <w:rFonts w:cs="UnitOT-Medi" w:ascii="UnitOT-Bold" w:hAnsi="UnitOT-Bold"/>
              <w:b w:val="false"/>
              <w:color w:val="0098CD"/>
              <w:sz w:val="22"/>
              <w:szCs w:val="22"/>
            </w:rPr>
            <w:t>Asignatura</w:t>
          </w:r>
        </w:p>
      </w:tc>
      <w:tc>
        <w:tcPr>
          <w:tcW w:w="3827" w:type="dxa"/>
          <w:tcBorders>
            <w:left w:val="single" w:sz="4" w:space="0" w:color="0098CD"/>
            <w:right w:val="single" w:sz="4" w:space="0" w:color="0098CD"/>
          </w:tcBorders>
          <w:shd w:color="auto" w:fill="E6F4F9" w:val="clear"/>
          <w:vAlign w:val="center"/>
        </w:tcPr>
        <w:p>
          <w:pPr>
            <w:pStyle w:val="Cabecera"/>
            <w:spacing w:lineRule="auto" w:line="240" w:before="0" w:after="0"/>
            <w:jc w:val="center"/>
            <w:rPr>
              <w:rFonts w:cs="UnitOT-Medi"/>
              <w:color w:val="0098CD"/>
              <w:sz w:val="22"/>
              <w:szCs w:val="22"/>
            </w:rPr>
          </w:pPr>
          <w:r>
            <w:rPr>
              <w:rFonts w:cs="UnitOT-Medi" w:ascii="UnitOT-Bold" w:hAnsi="UnitOT-Bold"/>
              <w:b w:val="false"/>
              <w:color w:val="0098CD"/>
              <w:sz w:val="22"/>
              <w:szCs w:val="22"/>
            </w:rPr>
            <w:t>Datos del alumno</w:t>
          </w:r>
        </w:p>
      </w:tc>
      <w:tc>
        <w:tcPr>
          <w:tcW w:w="1832" w:type="dxa"/>
          <w:tcBorders>
            <w:left w:val="single" w:sz="4" w:space="0" w:color="0098CD"/>
          </w:tcBorders>
          <w:shd w:color="auto" w:fill="E6F4F9" w:val="clear"/>
          <w:vAlign w:val="center"/>
        </w:tcPr>
        <w:p>
          <w:pPr>
            <w:pStyle w:val="Cabecera"/>
            <w:spacing w:lineRule="auto" w:line="240" w:before="0" w:after="0"/>
            <w:jc w:val="center"/>
            <w:rPr>
              <w:rFonts w:cs="UnitOT-Medi"/>
              <w:color w:val="0098CD"/>
              <w:sz w:val="22"/>
              <w:szCs w:val="22"/>
            </w:rPr>
          </w:pPr>
          <w:r>
            <w:rPr>
              <w:rFonts w:cs="UnitOT-Medi" w:ascii="UnitOT-Bold" w:hAnsi="UnitOT-Bold"/>
              <w:b w:val="false"/>
              <w:color w:val="0098CD"/>
              <w:sz w:val="22"/>
              <w:szCs w:val="22"/>
            </w:rPr>
            <w:t>Fecha</w:t>
          </w:r>
        </w:p>
      </w:tc>
    </w:tr>
    <w:tr>
      <w:trPr>
        <w:trHeight w:val="342" w:hRule="atLeast"/>
      </w:trPr>
      <w:tc>
        <w:tcPr>
          <w:tcW w:w="2551" w:type="dxa"/>
          <w:vMerge w:val="restart"/>
          <w:tcBorders>
            <w:right w:val="single" w:sz="4" w:space="0" w:color="0098CD"/>
          </w:tcBorders>
          <w:shd w:color="auto" w:fill="FFFFFF" w:themeFill="background1" w:val="clear"/>
          <w:vAlign w:val="center"/>
        </w:tcPr>
        <w:p>
          <w:pPr>
            <w:pStyle w:val="Textocajaactividades"/>
            <w:spacing w:lineRule="auto" w:line="240" w:before="0" w:after="0"/>
            <w:rPr>
              <w:rFonts w:ascii="UnitOT-Light" w:hAnsi="UnitOT-Light"/>
              <w:color w:val="333333"/>
            </w:rPr>
          </w:pPr>
          <w:r>
            <w:rPr>
              <w:rFonts w:ascii="UnitOT-Light" w:hAnsi="UnitOT-Light"/>
              <w:color w:val="333333"/>
            </w:rPr>
            <w:t>Tecnologías Emergentes</w:t>
          </w:r>
        </w:p>
      </w:tc>
      <w:tc>
        <w:tcPr>
          <w:tcW w:w="3827" w:type="dxa"/>
          <w:tcBorders>
            <w:left w:val="single" w:sz="4" w:space="0" w:color="0098CD"/>
            <w:right w:val="single" w:sz="4" w:space="0" w:color="0098CD"/>
          </w:tcBorders>
          <w:shd w:color="auto" w:fill="FFFFFF" w:themeFill="background1" w:val="clear"/>
          <w:vAlign w:val="center"/>
        </w:tcPr>
        <w:p>
          <w:pPr>
            <w:pStyle w:val="Cabecera"/>
            <w:spacing w:lineRule="auto" w:line="240" w:before="0" w:after="0"/>
            <w:rPr>
              <w:sz w:val="22"/>
              <w:szCs w:val="22"/>
            </w:rPr>
          </w:pPr>
          <w:r>
            <w:rPr>
              <w:rFonts w:ascii="UnitOT-Light" w:hAnsi="UnitOT-Light"/>
              <w:color w:val="333333"/>
              <w:sz w:val="22"/>
              <w:szCs w:val="22"/>
            </w:rPr>
            <w:t xml:space="preserve">Apellidos: </w:t>
          </w:r>
        </w:p>
      </w:tc>
      <w:tc>
        <w:tcPr>
          <w:tcW w:w="1832" w:type="dxa"/>
          <w:vMerge w:val="restart"/>
          <w:tcBorders>
            <w:left w:val="single" w:sz="4" w:space="0" w:color="0098CD"/>
          </w:tcBorders>
          <w:shd w:color="auto" w:fill="FFFFFF" w:themeFill="background1" w:val="clear"/>
          <w:vAlign w:val="center"/>
        </w:tcPr>
        <w:p>
          <w:pPr>
            <w:pStyle w:val="Cabecera"/>
            <w:spacing w:lineRule="auto" w:line="240" w:before="0" w:after="0"/>
            <w:jc w:val="center"/>
            <w:rPr>
              <w:rFonts w:ascii="Calibri" w:hAnsi="Calibri" w:asciiTheme="minorHAnsi" w:hAnsiTheme="minorHAnsi"/>
              <w:color w:val="333333"/>
            </w:rPr>
          </w:pPr>
          <w:r>
            <w:rPr>
              <w:rFonts w:asciiTheme="minorHAnsi" w:hAnsiTheme="minorHAnsi"/>
              <w:color w:val="333333"/>
            </w:rPr>
          </w:r>
        </w:p>
      </w:tc>
    </w:tr>
    <w:tr>
      <w:trPr>
        <w:trHeight w:val="342" w:hRule="atLeast"/>
      </w:trPr>
      <w:tc>
        <w:tcPr>
          <w:tcW w:w="2551" w:type="dxa"/>
          <w:vMerge w:val="continue"/>
          <w:tcBorders>
            <w:right w:val="single" w:sz="4" w:space="0" w:color="0098CD"/>
          </w:tcBorders>
          <w:shd w:color="auto" w:fill="FFFFFF" w:themeFill="background1" w:val="clear"/>
          <w:vAlign w:val="center"/>
        </w:tcPr>
        <w:p>
          <w:pPr>
            <w:pStyle w:val="Cabecera"/>
            <w:spacing w:lineRule="auto" w:line="240" w:before="0" w:after="0"/>
            <w:rPr>
              <w:rFonts w:ascii="UnitOT-Light" w:hAnsi="UnitOT-Light"/>
              <w:color w:val="333333"/>
            </w:rPr>
          </w:pPr>
          <w:r>
            <w:rPr>
              <w:rFonts w:ascii="UnitOT-Light" w:hAnsi="UnitOT-Light"/>
              <w:color w:val="333333"/>
            </w:rPr>
          </w:r>
        </w:p>
      </w:tc>
      <w:tc>
        <w:tcPr>
          <w:tcW w:w="3827" w:type="dxa"/>
          <w:tcBorders>
            <w:left w:val="single" w:sz="4" w:space="0" w:color="0098CD"/>
            <w:right w:val="single" w:sz="4" w:space="0" w:color="0098CD"/>
          </w:tcBorders>
          <w:shd w:color="auto" w:fill="FFFFFF" w:themeFill="background1" w:val="clear"/>
          <w:vAlign w:val="center"/>
        </w:tcPr>
        <w:p>
          <w:pPr>
            <w:pStyle w:val="Cabecera"/>
            <w:spacing w:lineRule="auto" w:line="240" w:before="0" w:after="0"/>
            <w:rPr>
              <w:sz w:val="22"/>
              <w:szCs w:val="22"/>
            </w:rPr>
          </w:pPr>
          <w:r>
            <w:rPr>
              <w:rFonts w:ascii="UnitOT-Light" w:hAnsi="UnitOT-Light"/>
              <w:color w:val="333333"/>
              <w:sz w:val="22"/>
              <w:szCs w:val="22"/>
            </w:rPr>
            <w:t>Nombre:</w:t>
          </w:r>
        </w:p>
      </w:tc>
      <w:tc>
        <w:tcPr>
          <w:tcW w:w="1832" w:type="dxa"/>
          <w:vMerge w:val="continue"/>
          <w:tcBorders>
            <w:left w:val="single" w:sz="4" w:space="0" w:color="0098CD"/>
          </w:tcBorders>
          <w:shd w:color="auto" w:fill="FFFFFF" w:themeFill="background1" w:val="clear"/>
          <w:vAlign w:val="center"/>
        </w:tcPr>
        <w:p>
          <w:pPr>
            <w:pStyle w:val="Cabecera"/>
            <w:spacing w:lineRule="auto" w:line="240" w:before="0" w:after="0"/>
            <w:rPr>
              <w:rFonts w:ascii="UnitOT-Light" w:hAnsi="UnitOT-Light"/>
              <w:color w:val="333333"/>
            </w:rPr>
          </w:pPr>
          <w:r>
            <w:rPr>
              <w:rFonts w:ascii="UnitOT-Light" w:hAnsi="UnitOT-Light"/>
              <w:color w:val="333333"/>
            </w:rPr>
          </w:r>
        </w:p>
      </w:tc>
    </w:tr>
  </w:tbl>
  <w:p>
    <w:pPr>
      <w:pStyle w:val="Cabecera"/>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center"/>
      <w:pPr>
        <w:ind w:left="284" w:hanging="284"/>
      </w:pPr>
      <w:rPr>
        <w:sz w:val="24"/>
        <w:b/>
        <w:color w:val="0098CD"/>
      </w:rPr>
    </w:lvl>
    <w:lvl w:ilvl="1">
      <w:start w:val="1"/>
      <w:numFmt w:val="upperLetter"/>
      <w:lvlText w:val="%2."/>
      <w:lvlJc w:val="left"/>
      <w:pPr>
        <w:ind w:left="567" w:hanging="283"/>
      </w:pPr>
      <w:rPr>
        <w:sz w:val="24"/>
        <w:i w:val="false"/>
        <w:b w:val="false"/>
        <w:color w:val="333333"/>
      </w:rPr>
    </w:lvl>
    <w:lvl w:ilvl="2">
      <w:start w:val="1"/>
      <w:numFmt w:val="lowerRoman"/>
      <w:lvlText w:val="%3."/>
      <w:lvlJc w:val="right"/>
      <w:pPr>
        <w:ind w:left="851" w:hanging="284"/>
      </w:pPr>
      <w:rPr>
        <w:sz w:val="24"/>
        <w:i w:val="false"/>
        <w:b w:val="false"/>
        <w:color w:val="333333"/>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lvl w:ilvl="0">
      <w:start w:val="1"/>
      <w:numFmt w:val="bullet"/>
      <w:lvlText w:val=""/>
      <w:lvlJc w:val="left"/>
      <w:pPr>
        <w:ind w:left="284" w:hanging="284"/>
      </w:pPr>
      <w:rPr>
        <w:rFonts w:ascii="Wingdings 3" w:hAnsi="Wingdings 3" w:cs="Wingdings 3" w:hint="default"/>
        <w:sz w:val="18"/>
        <w:color w:val="0098CD"/>
      </w:rPr>
    </w:lvl>
    <w:lvl w:ilvl="1">
      <w:start w:val="1"/>
      <w:numFmt w:val="bullet"/>
      <w:lvlText w:val="•"/>
      <w:lvlJc w:val="left"/>
      <w:pPr>
        <w:ind w:left="567" w:hanging="283"/>
      </w:pPr>
      <w:rPr>
        <w:rFonts w:ascii="Calibri" w:hAnsi="Calibri" w:cs="Calibri" w:hint="default"/>
        <w:sz w:val="22"/>
        <w:color w:val="0098CD"/>
      </w:rPr>
    </w:lvl>
    <w:lvl w:ilvl="2">
      <w:start w:val="1"/>
      <w:numFmt w:val="bullet"/>
      <w:lvlText w:val=""/>
      <w:lvlJc w:val="left"/>
      <w:pPr>
        <w:ind w:left="851" w:hanging="284"/>
      </w:pPr>
      <w:rPr>
        <w:rFonts w:ascii="Wingdings" w:hAnsi="Wingdings" w:cs="Wingdings" w:hint="default"/>
        <w:sz w:val="24"/>
        <w:color w:val="0098CD"/>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4">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5">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55"/>
  <w:defaultTabStop w:val="709"/>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Times New Roman" w:cs="" w:asciiTheme="minorHAnsi" w:cstheme="minorBidi" w:hAnsiTheme="minorHAnsi"/>
        <w:szCs w:val="22"/>
        <w:lang w:val="es-ES" w:eastAsia="en-US" w:bidi="ar-SA"/>
      </w:rPr>
    </w:rPrDefault>
    <w:pPrDefault>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lsdException w:name="heading 3" w:uiPriority="98" w:semiHidden="1" w:unhideWhenUsed="1" w:qFormat="1"/>
    <w:lsdException w:name="heading 4" w:uiPriority="98" w:semiHidden="1" w:unhideWhenUsed="1" w:qFormat="1"/>
    <w:lsdException w:name="heading 5" w:uiPriority="98" w:semiHidden="1" w:unhideWhenUsed="1" w:qFormat="1"/>
    <w:lsdException w:name="heading 6" w:uiPriority="98" w:semiHidden="1" w:unhideWhenUsed="1" w:qFormat="1"/>
    <w:lsdException w:name="heading 7" w:uiPriority="98" w:semiHidden="1" w:unhideWhenUsed="1" w:qFormat="1"/>
    <w:lsdException w:name="heading 8" w:uiPriority="98" w:semiHidden="1" w:unhideWhenUsed="1" w:qFormat="1"/>
    <w:lsdException w:name="heading 9" w:uiPriority="98"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lsdException w:name="annotation text" w:semiHidden="1" w:unhideWhenUsed="1"/>
    <w:lsdException w:name="header" w:semiHidden="1" w:qFormat="1"/>
    <w:lsdException w:name="footer" w:uiPriority="24" w:semiHidden="1"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98" w:semiHidden="1"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98" w:semiHidden="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98" w:semiHidden="1" w:qFormat="1"/>
    <w:lsdException w:name="Emphasis" w:uiPriority="98" w:semiHidden="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semiHidden="1" w:qFormat="1"/>
    <w:lsdException w:name="Intense Quote" w:uiPriority="30" w:semiHidden="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98" w:semiHidden="1" w:qFormat="1"/>
    <w:lsdException w:name="Intense Emphasis" w:uiPriority="98" w:semiHidden="1" w:qFormat="1"/>
    <w:lsdException w:name="Subtle Reference" w:uiPriority="31" w:semiHidden="1" w:qFormat="1"/>
    <w:lsdException w:name="Intense Reference" w:uiPriority="32" w:semiHidden="1" w:qFormat="1"/>
    <w:lsdException w:name="Book Title" w:uiPriority="33" w:semiHidden="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61459"/>
    <w:pPr>
      <w:widowControl/>
      <w:bidi w:val="0"/>
      <w:spacing w:lineRule="auto" w:line="360" w:before="0" w:after="0"/>
      <w:jc w:val="both"/>
    </w:pPr>
    <w:rPr>
      <w:rFonts w:ascii="Calibri" w:hAnsi="Calibri" w:cs="Times New Roman" w:eastAsia="Times New Roman"/>
      <w:color w:val="333333"/>
      <w:kern w:val="0"/>
      <w:sz w:val="24"/>
      <w:szCs w:val="24"/>
      <w:lang w:eastAsia="es-ES" w:val="es-ES" w:bidi="ar-SA"/>
    </w:rPr>
  </w:style>
  <w:style w:type="paragraph" w:styleId="Ttulo1">
    <w:name w:val="Heading 1"/>
    <w:next w:val="Normal"/>
    <w:link w:val="Ttulo1Car"/>
    <w:uiPriority w:val="99"/>
    <w:qFormat/>
    <w:rsid w:val="00e61459"/>
    <w:pPr>
      <w:keepNext w:val="true"/>
      <w:keepLines/>
      <w:widowControl/>
      <w:bidi w:val="0"/>
      <w:spacing w:lineRule="auto" w:line="360" w:before="0" w:after="200"/>
      <w:jc w:val="left"/>
      <w:outlineLvl w:val="0"/>
    </w:pPr>
    <w:rPr>
      <w:rFonts w:ascii="Georgia" w:hAnsi="Georgia" w:eastAsia="" w:cs="" w:cstheme="majorBidi" w:eastAsiaTheme="majorEastAsia"/>
      <w:color w:val="auto"/>
      <w:kern w:val="0"/>
      <w:sz w:val="51"/>
      <w:szCs w:val="32"/>
      <w:lang w:eastAsia="es-ES" w:val="es-ES" w:bidi="ar-SA"/>
    </w:rPr>
  </w:style>
  <w:style w:type="paragraph" w:styleId="Ttulo2">
    <w:name w:val="Heading 2"/>
    <w:basedOn w:val="Normal"/>
    <w:next w:val="Normal"/>
    <w:link w:val="Ttulo2Car"/>
    <w:uiPriority w:val="99"/>
    <w:qFormat/>
    <w:rsid w:val="00e61459"/>
    <w:pPr>
      <w:keepNext w:val="true"/>
      <w:keepLines/>
      <w:spacing w:before="40" w:after="0"/>
      <w:outlineLvl w:val="1"/>
    </w:pPr>
    <w:rPr>
      <w:rFonts w:ascii="Calibri Light" w:hAnsi="Calibri Light" w:eastAsia="" w:cs="" w:asciiTheme="majorHAnsi" w:cstheme="majorBidi" w:eastAsiaTheme="majorEastAsia" w:hAnsiTheme="majorHAnsi"/>
      <w:color w:val="2E74B5" w:themeColor="accent1" w:themeShade="bf"/>
      <w:sz w:val="26"/>
      <w:szCs w:val="26"/>
    </w:rPr>
  </w:style>
  <w:style w:type="character" w:styleId="DefaultParagraphFont" w:default="1">
    <w:name w:val="Default Paragraph Font"/>
    <w:uiPriority w:val="1"/>
    <w:semiHidden/>
    <w:unhideWhenUsed/>
    <w:qFormat/>
    <w:rPr/>
  </w:style>
  <w:style w:type="character" w:styleId="EnlacedeInternet">
    <w:name w:val="Enlace de Internet"/>
    <w:basedOn w:val="DefaultParagraphFont"/>
    <w:uiPriority w:val="99"/>
    <w:rsid w:val="00e61459"/>
    <w:rPr>
      <w:rFonts w:ascii="Calibri" w:hAnsi="Calibri"/>
      <w:color w:val="0098CD" w:themeColor="hyperlink"/>
      <w:sz w:val="24"/>
      <w:u w:val="single"/>
    </w:rPr>
  </w:style>
  <w:style w:type="character" w:styleId="Ttulo1Car" w:customStyle="1">
    <w:name w:val="Título 1 Car"/>
    <w:basedOn w:val="DefaultParagraphFont"/>
    <w:link w:val="Ttulo1"/>
    <w:uiPriority w:val="99"/>
    <w:qFormat/>
    <w:rsid w:val="00e61459"/>
    <w:rPr>
      <w:rFonts w:ascii="Georgia" w:hAnsi="Georgia" w:eastAsia="" w:cs="" w:cstheme="majorBidi" w:eastAsiaTheme="majorEastAsia"/>
      <w:sz w:val="51"/>
      <w:szCs w:val="32"/>
      <w:lang w:eastAsia="es-ES"/>
    </w:rPr>
  </w:style>
  <w:style w:type="character" w:styleId="Ttulo2Car" w:customStyle="1">
    <w:name w:val="Título 2 Car"/>
    <w:basedOn w:val="DefaultParagraphFont"/>
    <w:link w:val="Ttulo2"/>
    <w:uiPriority w:val="99"/>
    <w:qFormat/>
    <w:rsid w:val="00e61459"/>
    <w:rPr>
      <w:rFonts w:ascii="Calibri Light" w:hAnsi="Calibri Light" w:eastAsia="" w:cs="" w:asciiTheme="majorHAnsi" w:cstheme="majorBidi" w:eastAsiaTheme="majorEastAsia" w:hAnsiTheme="majorHAnsi"/>
      <w:color w:val="2E74B5" w:themeColor="accent1" w:themeShade="bf"/>
      <w:sz w:val="26"/>
      <w:szCs w:val="26"/>
      <w:lang w:eastAsia="es-ES"/>
    </w:rPr>
  </w:style>
  <w:style w:type="character" w:styleId="EncabezadoCar" w:customStyle="1">
    <w:name w:val="Encabezado Car"/>
    <w:basedOn w:val="DefaultParagraphFont"/>
    <w:link w:val="Encabezado"/>
    <w:uiPriority w:val="99"/>
    <w:qFormat/>
    <w:rsid w:val="00e61459"/>
    <w:rPr>
      <w:rFonts w:ascii="Calibri" w:hAnsi="Calibri" w:cs="Times New Roman"/>
      <w:color w:val="333333"/>
      <w:sz w:val="24"/>
      <w:szCs w:val="24"/>
      <w:lang w:eastAsia="es-ES"/>
    </w:rPr>
  </w:style>
  <w:style w:type="character" w:styleId="PiedepginaCar" w:customStyle="1">
    <w:name w:val="Pie de página Car"/>
    <w:basedOn w:val="DefaultParagraphFont"/>
    <w:link w:val="Piedepgina"/>
    <w:uiPriority w:val="24"/>
    <w:qFormat/>
    <w:rsid w:val="00e61459"/>
    <w:rPr>
      <w:rFonts w:ascii="Calibri" w:hAnsi="Calibri" w:cs="Times New Roman"/>
      <w:color w:val="333333"/>
      <w:sz w:val="24"/>
      <w:szCs w:val="24"/>
      <w:lang w:eastAsia="es-ES"/>
    </w:rPr>
  </w:style>
  <w:style w:type="character" w:styleId="TextodegloboCar" w:customStyle="1">
    <w:name w:val="Texto de globo Car"/>
    <w:basedOn w:val="DefaultParagraphFont"/>
    <w:link w:val="Textodeglobo"/>
    <w:uiPriority w:val="99"/>
    <w:qFormat/>
    <w:rsid w:val="00e61459"/>
    <w:rPr>
      <w:rFonts w:ascii="Segoe UI" w:hAnsi="Segoe UI" w:cs="Segoe UI"/>
      <w:color w:val="333333"/>
      <w:sz w:val="18"/>
      <w:szCs w:val="18"/>
      <w:lang w:eastAsia="es-ES"/>
    </w:rPr>
  </w:style>
  <w:style w:type="character" w:styleId="TextocomentarioCar" w:customStyle="1">
    <w:name w:val="Texto comentario Car"/>
    <w:basedOn w:val="DefaultParagraphFont"/>
    <w:link w:val="Textocomentario"/>
    <w:uiPriority w:val="99"/>
    <w:semiHidden/>
    <w:qFormat/>
    <w:rsid w:val="009400c5"/>
    <w:rPr>
      <w:rFonts w:ascii="Calibri" w:hAnsi="Calibri" w:cs="Times New Roman"/>
      <w:color w:val="333333"/>
      <w:sz w:val="20"/>
      <w:szCs w:val="20"/>
      <w:lang w:eastAsia="es-ES"/>
    </w:rPr>
  </w:style>
  <w:style w:type="character" w:styleId="FollowedHyperlink">
    <w:name w:val="FollowedHyperlink"/>
    <w:basedOn w:val="DefaultParagraphFont"/>
    <w:uiPriority w:val="99"/>
    <w:semiHidden/>
    <w:unhideWhenUsed/>
    <w:qFormat/>
    <w:rsid w:val="00e0174c"/>
    <w:rPr>
      <w:color w:val="954F72" w:themeColor="followedHyperlink"/>
      <w:u w:val="single"/>
    </w:rPr>
  </w:style>
  <w:style w:type="character" w:styleId="UnresolvedMention">
    <w:name w:val="Unresolved Mention"/>
    <w:basedOn w:val="DefaultParagraphFont"/>
    <w:uiPriority w:val="99"/>
    <w:qFormat/>
    <w:rsid w:val="00e61459"/>
    <w:rPr>
      <w:color w:val="808080"/>
      <w:shd w:fill="E6E6E6" w:val="clear"/>
    </w:rPr>
  </w:style>
  <w:style w:type="character" w:styleId="Normaltextrun" w:customStyle="1">
    <w:name w:val="normaltextrun"/>
    <w:basedOn w:val="DefaultParagraphFont"/>
    <w:qFormat/>
    <w:rsid w:val="00aa012b"/>
    <w:rPr/>
  </w:style>
  <w:style w:type="character" w:styleId="Eop" w:customStyle="1">
    <w:name w:val="eop"/>
    <w:basedOn w:val="DefaultParagraphFont"/>
    <w:qFormat/>
    <w:rsid w:val="00aa012b"/>
    <w:rPr/>
  </w:style>
  <w:style w:type="character" w:styleId="CdigofuenteCar" w:customStyle="1">
    <w:name w:val="Código fuente Car"/>
    <w:basedOn w:val="DefaultParagraphFont"/>
    <w:link w:val="Cdigofuente"/>
    <w:qFormat/>
    <w:rsid w:val="00e61459"/>
    <w:rPr>
      <w:rFonts w:ascii="Consolas" w:hAnsi="Consolas" w:cs="Times New Roman"/>
      <w:color w:val="333333"/>
      <w:sz w:val="20"/>
      <w:szCs w:val="20"/>
      <w:lang w:val="en-IE" w:eastAsia="es-ES"/>
    </w:rPr>
  </w:style>
  <w:style w:type="character" w:styleId="Cdigofuenteinline" w:customStyle="1">
    <w:name w:val="Código fuente inline"/>
    <w:basedOn w:val="CdigofuenteCar"/>
    <w:uiPriority w:val="1"/>
    <w:qFormat/>
    <w:rsid w:val="00e61459"/>
    <w:rPr>
      <w:rFonts w:ascii="Consolas" w:hAnsi="Consolas" w:cs="Times New Roman"/>
      <w:color w:val="333333"/>
      <w:sz w:val="20"/>
      <w:szCs w:val="20"/>
      <w:lang w:val="en-IE" w:eastAsia="es-ES"/>
    </w:rPr>
  </w:style>
  <w:style w:type="character" w:styleId="TextonotapieCar" w:customStyle="1">
    <w:name w:val="Texto nota pie Car"/>
    <w:basedOn w:val="DefaultParagraphFont"/>
    <w:link w:val="Textonotapie"/>
    <w:uiPriority w:val="99"/>
    <w:qFormat/>
    <w:rsid w:val="00e61459"/>
    <w:rPr>
      <w:rFonts w:ascii="Calibri" w:hAnsi="Calibri" w:cs="Times New Roman"/>
      <w:color w:val="333333"/>
      <w:sz w:val="20"/>
      <w:szCs w:val="20"/>
      <w:lang w:eastAsia="es-ES"/>
    </w:rPr>
  </w:style>
  <w:style w:type="character" w:styleId="Vietas">
    <w:name w:val="Viñetas"/>
    <w:qFormat/>
    <w:rPr>
      <w:rFonts w:ascii="OpenSymbol" w:hAnsi="OpenSymbol" w:eastAsia="OpenSymbol" w:cs="OpenSymbol"/>
    </w:rPr>
  </w:style>
  <w:style w:type="character" w:styleId="Muydestacado">
    <w:name w:val="Muy destacado"/>
    <w:qFormat/>
    <w:rPr>
      <w:b/>
      <w:bCs/>
    </w:rPr>
  </w:style>
  <w:style w:type="paragraph" w:styleId="Ttulo">
    <w:name w:val="Título"/>
    <w:basedOn w:val="Normal"/>
    <w:next w:val="Cuerpodetexto"/>
    <w:qFormat/>
    <w:pPr>
      <w:keepNext w:val="true"/>
      <w:spacing w:before="240" w:after="120"/>
    </w:pPr>
    <w:rPr>
      <w:rFonts w:ascii="Liberation Sans" w:hAnsi="Liberation Sans" w:eastAsia="Microsoft YaHei" w:cs="Arial"/>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Arial"/>
    </w:rPr>
  </w:style>
  <w:style w:type="paragraph" w:styleId="Leyenda">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PiedepginaSecciones" w:customStyle="1">
    <w:name w:val="Pie de página_Secciones"/>
    <w:basedOn w:val="Normal"/>
    <w:uiPriority w:val="19"/>
    <w:qFormat/>
    <w:rsid w:val="00e61459"/>
    <w:pPr>
      <w:tabs>
        <w:tab w:val="clear" w:pos="709"/>
        <w:tab w:val="right" w:pos="8220" w:leader="none"/>
      </w:tabs>
      <w:spacing w:lineRule="auto" w:line="240" w:before="0" w:after="100"/>
      <w:jc w:val="right"/>
    </w:pPr>
    <w:rPr>
      <w:rFonts w:cs="UnitOT-Light"/>
      <w:bCs/>
      <w:color w:val="0098CD"/>
      <w:sz w:val="20"/>
      <w:szCs w:val="20"/>
    </w:rPr>
  </w:style>
  <w:style w:type="paragraph" w:styleId="PiedepginaAsignatura" w:customStyle="1">
    <w:name w:val="Pie de página_Asignatura"/>
    <w:basedOn w:val="Normal"/>
    <w:uiPriority w:val="18"/>
    <w:qFormat/>
    <w:rsid w:val="00e61459"/>
    <w:pPr>
      <w:spacing w:lineRule="auto" w:line="276"/>
      <w:ind w:firstLine="3686"/>
      <w:jc w:val="right"/>
    </w:pPr>
    <w:rPr>
      <w:rFonts w:cs="UnitOT-Light"/>
      <w:bCs/>
      <w:color w:val="777777"/>
      <w:sz w:val="20"/>
      <w:szCs w:val="20"/>
    </w:rPr>
  </w:style>
  <w:style w:type="paragraph" w:styleId="PiedepginaUNIRc" w:customStyle="1">
    <w:name w:val="Pie de página_UNIR(c)"/>
    <w:basedOn w:val="PiedepginaAsignatura"/>
    <w:uiPriority w:val="20"/>
    <w:qFormat/>
    <w:rsid w:val="00e61459"/>
    <w:pPr>
      <w:ind w:hanging="0"/>
    </w:pPr>
    <w:rPr>
      <w:rFonts w:ascii="Calibri Light" w:hAnsi="Calibri Light"/>
      <w:spacing w:val="-4"/>
      <w:sz w:val="18"/>
      <w:szCs w:val="18"/>
    </w:rPr>
  </w:style>
  <w:style w:type="paragraph" w:styleId="Ntema" w:customStyle="1">
    <w:name w:val="Nº tema"/>
    <w:basedOn w:val="TtuloAsignatura"/>
    <w:next w:val="Normal"/>
    <w:uiPriority w:val="1"/>
    <w:qFormat/>
    <w:rsid w:val="00e61459"/>
    <w:pPr>
      <w:spacing w:lineRule="auto" w:line="240"/>
    </w:pPr>
    <w:rPr/>
  </w:style>
  <w:style w:type="paragraph" w:styleId="Notaalpie">
    <w:name w:val="Footnote Text"/>
    <w:basedOn w:val="Normal"/>
    <w:link w:val="TextonotapieCar"/>
    <w:uiPriority w:val="99"/>
    <w:rsid w:val="00e61459"/>
    <w:pPr>
      <w:spacing w:lineRule="auto" w:line="240"/>
    </w:pPr>
    <w:rPr>
      <w:sz w:val="20"/>
      <w:szCs w:val="20"/>
    </w:rPr>
  </w:style>
  <w:style w:type="paragraph" w:styleId="Piedefototabla" w:customStyle="1">
    <w:name w:val="Pie de foto-tabla"/>
    <w:basedOn w:val="Normal"/>
    <w:next w:val="Normal"/>
    <w:uiPriority w:val="16"/>
    <w:qFormat/>
    <w:rsid w:val="00e61459"/>
    <w:pPr>
      <w:spacing w:lineRule="auto" w:line="276" w:before="120" w:after="0"/>
      <w:ind w:left="-113" w:right="-215" w:hanging="0"/>
      <w:jc w:val="center"/>
    </w:pPr>
    <w:rPr>
      <w:rFonts w:cs="UnitOT-Light"/>
      <w:iCs/>
      <w:color w:val="595959" w:themeColor="text1" w:themeTint="a6"/>
      <w:sz w:val="19"/>
      <w:szCs w:val="18"/>
    </w:rPr>
  </w:style>
  <w:style w:type="paragraph" w:styleId="ListParagraph">
    <w:name w:val="List Paragraph"/>
    <w:basedOn w:val="Normal"/>
    <w:uiPriority w:val="34"/>
    <w:qFormat/>
    <w:rsid w:val="00cf1cae"/>
    <w:pPr>
      <w:spacing w:before="0" w:after="0"/>
      <w:ind w:left="720" w:hanging="0"/>
      <w:contextualSpacing/>
    </w:pPr>
    <w:rPr/>
  </w:style>
  <w:style w:type="paragraph" w:styleId="Citas" w:customStyle="1">
    <w:name w:val="Citas"/>
    <w:basedOn w:val="Normal"/>
    <w:next w:val="Normal"/>
    <w:uiPriority w:val="15"/>
    <w:qFormat/>
    <w:rsid w:val="00e61459"/>
    <w:pPr>
      <w:spacing w:lineRule="auto" w:line="240"/>
      <w:ind w:left="851" w:hanging="0"/>
    </w:pPr>
    <w:rPr>
      <w:rFonts w:cs="UnitOT-Light"/>
      <w:szCs w:val="22"/>
    </w:rPr>
  </w:style>
  <w:style w:type="paragraph" w:styleId="Caption">
    <w:name w:val="caption"/>
    <w:basedOn w:val="Normal"/>
    <w:next w:val="Normal"/>
    <w:uiPriority w:val="35"/>
    <w:unhideWhenUsed/>
    <w:qFormat/>
    <w:rsid w:val="00507e5b"/>
    <w:pPr>
      <w:spacing w:lineRule="auto" w:line="240" w:before="0" w:after="200"/>
    </w:pPr>
    <w:rPr>
      <w:i/>
      <w:iCs/>
      <w:color w:val="44546A" w:themeColor="text2"/>
      <w:sz w:val="18"/>
      <w:szCs w:val="18"/>
    </w:rPr>
  </w:style>
  <w:style w:type="paragraph" w:styleId="TtuloAsignatura" w:customStyle="1">
    <w:name w:val="Título Asignatura"/>
    <w:basedOn w:val="Normal"/>
    <w:uiPriority w:val="2"/>
    <w:qFormat/>
    <w:rsid w:val="00e61459"/>
    <w:pPr>
      <w:spacing w:lineRule="auto" w:line="276"/>
      <w:jc w:val="right"/>
    </w:pPr>
    <w:rPr>
      <w:rFonts w:ascii="Calibri Light" w:hAnsi="Calibri Light"/>
      <w:color w:val="777777"/>
      <w:sz w:val="40"/>
      <w:szCs w:val="40"/>
    </w:rPr>
  </w:style>
  <w:style w:type="paragraph" w:styleId="TtuloTema" w:customStyle="1">
    <w:name w:val="Título Tema"/>
    <w:basedOn w:val="Normal"/>
    <w:uiPriority w:val="3"/>
    <w:qFormat/>
    <w:rsid w:val="00e61459"/>
    <w:pPr>
      <w:spacing w:lineRule="auto" w:line="240"/>
      <w:jc w:val="right"/>
    </w:pPr>
    <w:rPr>
      <w:rFonts w:ascii="Calibri Light" w:hAnsi="Calibri Light"/>
      <w:color w:val="0098CD"/>
      <w:sz w:val="84"/>
      <w:szCs w:val="84"/>
    </w:rPr>
  </w:style>
  <w:style w:type="paragraph" w:styleId="Seccinndice" w:customStyle="1">
    <w:name w:val="Sección Índice"/>
    <w:basedOn w:val="SeccionesNivel"/>
    <w:next w:val="Normal"/>
    <w:uiPriority w:val="4"/>
    <w:qFormat/>
    <w:rsid w:val="00e61459"/>
    <w:pPr>
      <w:spacing w:before="0" w:after="0"/>
      <w:ind w:left="284" w:hanging="0"/>
      <w:jc w:val="left"/>
    </w:pPr>
    <w:rPr/>
  </w:style>
  <w:style w:type="paragraph" w:styleId="SeccionesNivel" w:customStyle="1">
    <w:name w:val="Secciones Nivel"/>
    <w:basedOn w:val="Normal"/>
    <w:next w:val="Normal"/>
    <w:uiPriority w:val="5"/>
    <w:qFormat/>
    <w:rsid w:val="00e61459"/>
    <w:pPr>
      <w:spacing w:before="0" w:after="360"/>
      <w:jc w:val="right"/>
      <w:outlineLvl w:val="0"/>
    </w:pPr>
    <w:rPr>
      <w:rFonts w:ascii="Calibri Light" w:hAnsi="Calibri Light" w:cs="Arial"/>
      <w:color w:val="0098CD"/>
      <w:sz w:val="56"/>
      <w:szCs w:val="56"/>
    </w:rPr>
  </w:style>
  <w:style w:type="paragraph" w:styleId="TituloApartado1" w:customStyle="1">
    <w:name w:val="Titulo Apartado 1"/>
    <w:basedOn w:val="TtuloTema"/>
    <w:next w:val="Normal"/>
    <w:uiPriority w:val="6"/>
    <w:qFormat/>
    <w:rsid w:val="00e61459"/>
    <w:pPr>
      <w:spacing w:lineRule="auto" w:line="360"/>
      <w:jc w:val="left"/>
      <w:outlineLvl w:val="1"/>
    </w:pPr>
    <w:rPr>
      <w:rFonts w:ascii="Calibri" w:hAnsi="Calibri"/>
      <w:sz w:val="40"/>
      <w:szCs w:val="40"/>
    </w:rPr>
  </w:style>
  <w:style w:type="paragraph" w:styleId="Destacados" w:customStyle="1">
    <w:name w:val="Destacados"/>
    <w:basedOn w:val="TituloApartado1"/>
    <w:next w:val="Normal"/>
    <w:uiPriority w:val="12"/>
    <w:qFormat/>
    <w:rsid w:val="00e61459"/>
    <w:pPr>
      <w:ind w:left="284" w:right="281" w:hanging="0"/>
      <w:jc w:val="center"/>
    </w:pPr>
    <w:rPr>
      <w:sz w:val="24"/>
      <w:szCs w:val="22"/>
    </w:rPr>
  </w:style>
  <w:style w:type="paragraph" w:styleId="TtuloApartado2" w:customStyle="1">
    <w:name w:val="Título Apartado 2"/>
    <w:basedOn w:val="Normal"/>
    <w:next w:val="Normal"/>
    <w:uiPriority w:val="8"/>
    <w:qFormat/>
    <w:rsid w:val="00e61459"/>
    <w:pPr/>
    <w:rPr>
      <w:color w:val="0098CD"/>
      <w:sz w:val="28"/>
      <w:szCs w:val="26"/>
    </w:rPr>
  </w:style>
  <w:style w:type="paragraph" w:styleId="TtuloApartado3" w:customStyle="1">
    <w:name w:val="Título Apartado 3"/>
    <w:basedOn w:val="Normal"/>
    <w:next w:val="Normal"/>
    <w:uiPriority w:val="9"/>
    <w:qFormat/>
    <w:rsid w:val="004e5487"/>
    <w:pPr/>
    <w:rPr>
      <w:rFonts w:cs="UnitOT-Medi"/>
      <w:b/>
    </w:rPr>
  </w:style>
  <w:style w:type="paragraph" w:styleId="CuadroCmoestudiaryReferencias" w:customStyle="1">
    <w:name w:val="Cuadro «Cómo estudiar» y Referencias"/>
    <w:basedOn w:val="Normal"/>
    <w:uiPriority w:val="10"/>
    <w:qFormat/>
    <w:rsid w:val="00e61459"/>
    <w:pPr>
      <w:pBdr>
        <w:top w:val="single" w:sz="4" w:space="4" w:color="0098CD"/>
        <w:bottom w:val="single" w:sz="4" w:space="1" w:color="0098CD"/>
      </w:pBdr>
      <w:shd w:val="clear" w:color="auto" w:fill="E6F4F9"/>
      <w:tabs>
        <w:tab w:val="clear" w:pos="709"/>
        <w:tab w:val="left" w:pos="1134" w:leader="none"/>
      </w:tabs>
    </w:pPr>
    <w:rPr>
      <w:rFonts w:cs="UnitOT-Light"/>
      <w:spacing w:val="-4"/>
      <w:szCs w:val="22"/>
    </w:rPr>
  </w:style>
  <w:style w:type="paragraph" w:styleId="Cuadroenlace" w:customStyle="1">
    <w:name w:val="Cuadro enlace"/>
    <w:basedOn w:val="Normal"/>
    <w:uiPriority w:val="11"/>
    <w:qFormat/>
    <w:rsid w:val="00e61459"/>
    <w:pPr>
      <w:pBdr>
        <w:top w:val="single" w:sz="4" w:space="4" w:color="0098CD"/>
        <w:bottom w:val="single" w:sz="4" w:space="0" w:color="0098CD"/>
      </w:pBdr>
      <w:jc w:val="center"/>
    </w:pPr>
    <w:rPr>
      <w:rFonts w:cs="UnitOT-Light"/>
      <w:szCs w:val="22"/>
    </w:rPr>
  </w:style>
  <w:style w:type="paragraph" w:styleId="Sumario1">
    <w:name w:val="TOC 1"/>
    <w:basedOn w:val="Normal"/>
    <w:next w:val="Normal"/>
    <w:autoRedefine/>
    <w:uiPriority w:val="39"/>
    <w:rsid w:val="00e61459"/>
    <w:pPr>
      <w:tabs>
        <w:tab w:val="clear" w:pos="709"/>
        <w:tab w:val="right" w:pos="5810" w:leader="none"/>
      </w:tabs>
      <w:spacing w:before="120" w:after="0"/>
      <w:ind w:left="284" w:hanging="0"/>
      <w:jc w:val="left"/>
    </w:pPr>
    <w:rPr>
      <w:color w:val="008FBE"/>
    </w:rPr>
  </w:style>
  <w:style w:type="paragraph" w:styleId="Sumario2">
    <w:name w:val="TOC 2"/>
    <w:basedOn w:val="Normal"/>
    <w:next w:val="Normal"/>
    <w:autoRedefine/>
    <w:uiPriority w:val="39"/>
    <w:rsid w:val="00e61459"/>
    <w:pPr>
      <w:tabs>
        <w:tab w:val="clear" w:pos="709"/>
        <w:tab w:val="right" w:pos="5952" w:leader="none"/>
      </w:tabs>
      <w:ind w:left="567" w:hanging="0"/>
      <w:jc w:val="left"/>
    </w:pPr>
    <w:rPr/>
  </w:style>
  <w:style w:type="paragraph" w:styleId="TtuloApartado1sinnivel" w:customStyle="1">
    <w:name w:val="Título Apartado 1_sin nivel"/>
    <w:basedOn w:val="TituloApartado1"/>
    <w:next w:val="Normal"/>
    <w:uiPriority w:val="7"/>
    <w:qFormat/>
    <w:rsid w:val="00e61459"/>
    <w:pPr/>
    <w:rPr/>
  </w:style>
  <w:style w:type="paragraph" w:styleId="Ejemplos" w:customStyle="1">
    <w:name w:val="Ejemplos"/>
    <w:basedOn w:val="Normal"/>
    <w:uiPriority w:val="22"/>
    <w:qFormat/>
    <w:rsid w:val="00e61459"/>
    <w:pPr>
      <w:pBdr>
        <w:left w:val="single" w:sz="4" w:space="4" w:color="0098CD"/>
        <w:right w:val="single" w:sz="4" w:space="4" w:color="0098CD"/>
      </w:pBdr>
      <w:spacing w:lineRule="auto" w:line="276"/>
      <w:ind w:left="284" w:right="284" w:hanging="0"/>
    </w:pPr>
    <w:rPr>
      <w:rFonts w:cs="UnitOT-Light"/>
      <w:color w:val="595959" w:themeColor="text1" w:themeTint="a6"/>
      <w:szCs w:val="22"/>
    </w:rPr>
  </w:style>
  <w:style w:type="paragraph" w:styleId="Cabeceraypie">
    <w:name w:val="Cabecera y pie"/>
    <w:basedOn w:val="Normal"/>
    <w:qFormat/>
    <w:pPr/>
    <w:rPr/>
  </w:style>
  <w:style w:type="paragraph" w:styleId="Cabecera">
    <w:name w:val="Header"/>
    <w:basedOn w:val="Normal"/>
    <w:link w:val="EncabezadoCar"/>
    <w:uiPriority w:val="99"/>
    <w:qFormat/>
    <w:rsid w:val="00e61459"/>
    <w:pPr>
      <w:tabs>
        <w:tab w:val="clear" w:pos="709"/>
        <w:tab w:val="center" w:pos="4252" w:leader="none"/>
        <w:tab w:val="right" w:pos="8504" w:leader="none"/>
      </w:tabs>
      <w:spacing w:lineRule="auto" w:line="240"/>
    </w:pPr>
    <w:rPr/>
  </w:style>
  <w:style w:type="paragraph" w:styleId="Piedepgina">
    <w:name w:val="Footer"/>
    <w:basedOn w:val="Normal"/>
    <w:link w:val="PiedepginaCar"/>
    <w:uiPriority w:val="24"/>
    <w:qFormat/>
    <w:rsid w:val="00e61459"/>
    <w:pPr>
      <w:tabs>
        <w:tab w:val="clear" w:pos="709"/>
        <w:tab w:val="center" w:pos="4252" w:leader="none"/>
        <w:tab w:val="right" w:pos="8504" w:leader="none"/>
      </w:tabs>
      <w:spacing w:lineRule="auto" w:line="240"/>
    </w:pPr>
    <w:rPr/>
  </w:style>
  <w:style w:type="paragraph" w:styleId="BalloonText">
    <w:name w:val="Balloon Text"/>
    <w:basedOn w:val="Normal"/>
    <w:link w:val="TextodegloboCar"/>
    <w:uiPriority w:val="99"/>
    <w:qFormat/>
    <w:rsid w:val="00e61459"/>
    <w:pPr>
      <w:spacing w:lineRule="auto" w:line="240"/>
    </w:pPr>
    <w:rPr>
      <w:rFonts w:ascii="Segoe UI" w:hAnsi="Segoe UI" w:cs="Segoe UI"/>
      <w:sz w:val="18"/>
      <w:szCs w:val="18"/>
    </w:rPr>
  </w:style>
  <w:style w:type="paragraph" w:styleId="Annotationtext">
    <w:name w:val="annotation text"/>
    <w:basedOn w:val="Normal"/>
    <w:link w:val="TextocomentarioCar"/>
    <w:uiPriority w:val="99"/>
    <w:semiHidden/>
    <w:unhideWhenUsed/>
    <w:qFormat/>
    <w:rsid w:val="009400c5"/>
    <w:pPr>
      <w:spacing w:lineRule="auto" w:line="240"/>
    </w:pPr>
    <w:rPr>
      <w:sz w:val="20"/>
      <w:szCs w:val="20"/>
    </w:rPr>
  </w:style>
  <w:style w:type="paragraph" w:styleId="Textocajaactividades" w:customStyle="1">
    <w:name w:val="Texto_caja_actividades"/>
    <w:basedOn w:val="TtuloApartado3"/>
    <w:qFormat/>
    <w:rsid w:val="00d74f0a"/>
    <w:pPr>
      <w:spacing w:lineRule="auto" w:line="240"/>
      <w:jc w:val="center"/>
    </w:pPr>
    <w:rPr>
      <w:sz w:val="22"/>
      <w:szCs w:val="22"/>
    </w:rPr>
  </w:style>
  <w:style w:type="paragraph" w:styleId="Paragraph" w:customStyle="1">
    <w:name w:val="paragraph"/>
    <w:basedOn w:val="Normal"/>
    <w:qFormat/>
    <w:rsid w:val="00aa012b"/>
    <w:pPr>
      <w:spacing w:lineRule="auto" w:line="240" w:beforeAutospacing="1" w:afterAutospacing="1"/>
      <w:jc w:val="left"/>
    </w:pPr>
    <w:rPr>
      <w:rFonts w:ascii="Times New Roman" w:hAnsi="Times New Roman"/>
      <w:color w:val="auto"/>
    </w:rPr>
  </w:style>
  <w:style w:type="paragraph" w:styleId="Vietasegundonivel" w:customStyle="1">
    <w:name w:val="Viñeta segundo nivel"/>
    <w:basedOn w:val="Normal"/>
    <w:autoRedefine/>
    <w:qFormat/>
    <w:rsid w:val="00e61459"/>
    <w:pPr>
      <w:spacing w:before="0" w:after="0"/>
      <w:contextualSpacing/>
    </w:pPr>
    <w:rPr/>
  </w:style>
  <w:style w:type="paragraph" w:styleId="Vietaprimernivel" w:customStyle="1">
    <w:name w:val="Viñeta primer nivel"/>
    <w:basedOn w:val="Normal"/>
    <w:qFormat/>
    <w:rsid w:val="00e61459"/>
    <w:pPr/>
    <w:rPr/>
  </w:style>
  <w:style w:type="paragraph" w:styleId="Cdigofuente" w:customStyle="1">
    <w:name w:val="Código fuente"/>
    <w:basedOn w:val="Normal"/>
    <w:link w:val="CdigofuenteCar"/>
    <w:qFormat/>
    <w:rsid w:val="00e61459"/>
    <w:pPr/>
    <w:rPr>
      <w:rFonts w:ascii="Consolas" w:hAnsi="Consolas"/>
      <w:sz w:val="20"/>
      <w:szCs w:val="20"/>
      <w:lang w:val="en-IE"/>
    </w:rPr>
  </w:style>
  <w:style w:type="paragraph" w:styleId="Feedback" w:customStyle="1">
    <w:name w:val="Feedback"/>
    <w:basedOn w:val="Normal"/>
    <w:next w:val="Normal"/>
    <w:qFormat/>
    <w:rsid w:val="00e61459"/>
    <w:pPr/>
    <w:rPr/>
  </w:style>
  <w:style w:type="paragraph" w:styleId="ListanumeradaTEST" w:customStyle="1">
    <w:name w:val="Lista numerada (TEST)"/>
    <w:basedOn w:val="Normal"/>
    <w:qFormat/>
    <w:rsid w:val="00e61459"/>
    <w:pPr/>
    <w:rPr/>
  </w:style>
  <w:style w:type="paragraph" w:styleId="TtuloAfondo" w:customStyle="1">
    <w:name w:val="Título A fondo"/>
    <w:basedOn w:val="Normal"/>
    <w:next w:val="Normal"/>
    <w:uiPriority w:val="9"/>
    <w:qFormat/>
    <w:rsid w:val="00e61459"/>
    <w:pPr/>
    <w:rPr>
      <w:rFonts w:cs="UnitOT-Medi"/>
      <w:b/>
    </w:rPr>
  </w:style>
  <w:style w:type="paragraph" w:styleId="Contenidodelmarco">
    <w:name w:val="Contenido del marco"/>
    <w:basedOn w:val="Normal"/>
    <w:qFormat/>
    <w:pPr/>
    <w:rPr/>
  </w:style>
  <w:style w:type="numbering" w:styleId="NoList" w:default="1">
    <w:name w:val="No List"/>
    <w:uiPriority w:val="99"/>
    <w:semiHidden/>
    <w:unhideWhenUsed/>
    <w:qFormat/>
  </w:style>
  <w:style w:type="numbering" w:styleId="VietasUNIR" w:customStyle="1">
    <w:name w:val="ViñetasUNIR"/>
    <w:uiPriority w:val="99"/>
    <w:qFormat/>
    <w:rsid w:val="00e61459"/>
  </w:style>
  <w:style w:type="numbering" w:styleId="NmeracinTest" w:customStyle="1">
    <w:name w:val="Númeración Test"/>
    <w:uiPriority w:val="99"/>
    <w:qFormat/>
    <w:rsid w:val="00845825"/>
  </w:style>
  <w:style w:type="numbering" w:styleId="VietasUNIRcombinada" w:customStyle="1">
    <w:name w:val="ViñetasUNIR_combinada"/>
    <w:uiPriority w:val="99"/>
    <w:qFormat/>
    <w:rsid w:val="00e61459"/>
  </w:style>
  <w:style w:type="numbering" w:styleId="NumeracinTest" w:customStyle="1">
    <w:name w:val="Numeración Test"/>
    <w:uiPriority w:val="99"/>
    <w:qFormat/>
    <w:rsid w:val="00e61459"/>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table" w:styleId="Tablaconcuadrcula">
    <w:name w:val="Table Grid"/>
    <w:basedOn w:val="Tablanormal"/>
    <w:uiPriority w:val="39"/>
    <w:rsid w:val="00e61459"/>
    <w:pPr>
      <w:spacing w:after="0" w:line="240" w:lineRule="auto"/>
    </w:pPr>
    <w:rPr>
      <w:sz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aUNIR1">
    <w:name w:val="TablaUNIR_1"/>
    <w:basedOn w:val="UNIR"/>
    <w:uiPriority w:val="99"/>
    <w:rsid w:val="00e61459"/>
    <w:tblPr>
      <w:tblStyleColBandSize w:val="1"/>
    </w:tblPr>
    <w:tblStylePr w:type="firstRow">
      <w:rPr>
        <w:color w:val="FFFFFF" w:themeColor="background1"/>
        <w:sz w:val="20"/>
      </w:rPr>
      <w:tblPr/>
      <w:tcPr>
        <w:shd w:val="clear" w:color="auto" w:fill="0098CD"/>
      </w:tcPr>
    </w:tblStylePr>
    <w:tblStylePr w:type="band1Vert">
      <w:pPr>
        <w:wordWrap/>
        <w:jc w:val="center"/>
      </w:pPr>
      <w:rPr>
        <w:color w:val="4D4D4D"/>
        <w:sz w:val="20"/>
      </w:rPr>
      <w:tblPr/>
      <w:tcPr>
        <w:vAlign w:val="center"/>
      </w:tcPr>
    </w:tblStylePr>
  </w:style>
  <w:style w:type="table" w:customStyle="1" w:styleId="TablaUNIR2">
    <w:name w:val="TablaUNIR_2"/>
    <w:basedOn w:val="Tablanormal"/>
    <w:uiPriority w:val="99"/>
    <w:rsid w:val="00e61459"/>
    <w:pPr>
      <w:spacing w:after="0" w:line="240" w:lineRule="auto"/>
      <w:jc w:val="center"/>
    </w:pPr>
    <w:rPr>
      <w:color w:val="333333"/>
      <w:sz w:val="20"/>
    </w:rPr>
    <w:tblPr>
      <w:tblBorders>
        <w:bottom w:val="single" w:color="0098CD" w:sz="4" w:space="0"/>
        <w:insideH w:val="single" w:color="0098CD" w:sz="4" w:space="0"/>
      </w:tblBorders>
    </w:tblPr>
    <w:tcPr>
      <w:tcMar>
        <w:top w:w="57" w:type="dxa"/>
      </w:tcMar>
      <w:shd w:val="clear" w:color="auto" w:fill="auto"/>
      <w:vAlign w:val="center"/>
    </w:tcPr>
    <w:tblStylePr w:type="firstRow">
      <w:pPr>
        <w:jc w:val="center"/>
      </w:pPr>
      <w:rPr>
        <w:color w:val="F8F8F8"/>
        <w:sz w:val="20"/>
      </w:rPr>
      <w:tblPr/>
      <w:tcPr>
        <w:shd w:val="clear" w:color="auto" w:fill="0098CD"/>
      </w:tcPr>
    </w:tblStylePr>
    <w:tblStylePr w:type="firstCol">
      <w:rPr>
        <w:color w:val="333333"/>
        <w:sz w:val="20"/>
      </w:rPr>
      <w:tblPr/>
      <w:tcPr>
        <w:tcBorders>
          <w:top w:val="single" w:color="0098CD" w:sz="4" w:space="0"/>
          <w:left w:val="nil"/>
          <w:bottom w:val="single" w:color="0098CD" w:sz="4" w:space="0"/>
          <w:right w:val="single" w:color="0098CD" w:sz="4" w:space="0"/>
          <w:insideH w:val="single" w:color="008FBE" w:sz="4" w:space="0"/>
          <w:insideV w:val="single" w:color="008FBE" w:sz="4" w:space="0"/>
          <w:tl2br w:val="nil"/>
          <w:tr2bl w:val="nil"/>
        </w:tcBorders>
        <w:shd w:val="clear" w:color="auto" w:fill="auto"/>
      </w:tcPr>
    </w:tblStylePr>
  </w:style>
  <w:style w:type="table" w:customStyle="1" w:styleId="TablaUNIR3">
    <w:name w:val="TablaUNIR_3"/>
    <w:basedOn w:val="Tablanormal"/>
    <w:uiPriority w:val="99"/>
    <w:rsid w:val="00e61459"/>
    <w:pPr>
      <w:spacing w:after="0" w:line="240" w:lineRule="auto"/>
      <w:jc w:val="center"/>
    </w:pPr>
    <w:rPr>
      <w:color w:val="333333"/>
      <w:sz w:val="20"/>
    </w:rPr>
    <w:tblPr>
      <w:tblBorders>
        <w:top w:val="single" w:color="0098CD" w:sz="4" w:space="0"/>
        <w:bottom w:val="single" w:color="0098CD" w:sz="4" w:space="0"/>
        <w:insideH w:val="single" w:color="0098CD" w:sz="4" w:space="0"/>
        <w:insideV w:val="single" w:color="0098CD" w:sz="4" w:space="0"/>
      </w:tblBorders>
    </w:tblPr>
    <w:tcPr>
      <w:tcMar>
        <w:top w:w="57" w:type="dxa"/>
      </w:tcMar>
      <w:vAlign w:val="center"/>
    </w:tcPr>
    <w:tblStylePr w:type="firstRow">
      <w:pPr>
        <w:jc w:val="center"/>
      </w:pPr>
      <w:rPr>
        <w:sz w:val="20"/>
      </w:rPr>
      <w:tblPr/>
      <w:tcPr>
        <w:tcBorders>
          <w:top w:val="single" w:color="008FBE" w:sz="4" w:space="0"/>
          <w:left w:val="nil"/>
          <w:bottom w:val="single" w:color="008FBE" w:sz="4" w:space="0"/>
          <w:right w:val="nil"/>
          <w:insideH w:val="single" w:color="008FBE" w:sz="4" w:space="0"/>
          <w:insideV w:val="single" w:color="008FBE" w:sz="4" w:space="0"/>
          <w:tl2br w:val="nil"/>
          <w:tr2bl w:val="nil"/>
        </w:tcBorders>
      </w:tcPr>
    </w:tblStylePr>
  </w:style>
  <w:style w:type="table" w:customStyle="1" w:styleId="TablaUNIR4">
    <w:name w:val="TablaUNIR_4"/>
    <w:basedOn w:val="Tablanormal"/>
    <w:uiPriority w:val="99"/>
    <w:rsid w:val="00e61459"/>
    <w:pPr>
      <w:spacing w:after="0" w:line="240" w:lineRule="auto"/>
      <w:jc w:val="center"/>
    </w:pPr>
    <w:rPr>
      <w:color w:val="333333"/>
      <w:sz w:val="20"/>
    </w:rPr>
    <w:tblPr>
      <w:tblBorders>
        <w:insideH w:val="single" w:color="0098CD" w:sz="4" w:space="0"/>
        <w:insideV w:val="single" w:color="0098CD" w:sz="4" w:space="0"/>
      </w:tblBorders>
    </w:tblPr>
    <w:tcPr>
      <w:tcMar>
        <w:top w:w="57" w:type="dxa"/>
      </w:tcMar>
      <w:vAlign w:val="center"/>
    </w:tcPr>
    <w:tblStylePr w:type="firstRow">
      <w:rPr>
        <w:color w:val="FFFFFF"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table" w:customStyle="1" w:styleId="TablaejemplosUNIR">
    <w:name w:val="Tabla ejemplos UNIR"/>
    <w:basedOn w:val="Tablanormal"/>
    <w:uiPriority w:val="99"/>
    <w:rsid w:val="00e61459"/>
    <w:pPr>
      <w:spacing w:after="0" w:line="240" w:lineRule="auto"/>
    </w:pPr>
    <w:rPr>
      <w:sz w:val="20"/>
    </w:rPr>
    <w:tblPr>
      <w:tblBorders>
        <w:left w:val="single" w:color="0098CD" w:sz="4" w:space="0"/>
        <w:right w:val="single" w:color="0098CD" w:sz="4" w:space="0"/>
      </w:tblBorders>
      <w:tblCellMar>
        <w:left w:w="284" w:type="dxa"/>
        <w:right w:w="284" w:type="dxa"/>
      </w:tblCellMar>
    </w:tblPr>
  </w:style>
  <w:style w:type="table" w:customStyle="1" w:styleId="UNIR">
    <w:name w:val="UNIR"/>
    <w:basedOn w:val="Tablanormal"/>
    <w:uiPriority w:val="99"/>
    <w:rsid w:val="00e61459"/>
    <w:pPr>
      <w:spacing w:after="0" w:line="240" w:lineRule="auto"/>
    </w:pPr>
    <w:rPr>
      <w:color w:val="333333"/>
      <w:sz w:val="20"/>
    </w:rPr>
    <w:tblPr>
      <w:tblBorders>
        <w:top w:val="single" w:color="0098CD" w:sz="4" w:space="0"/>
        <w:left w:val="single" w:color="0098CD" w:sz="4" w:space="0"/>
        <w:bottom w:val="single" w:color="0098CD" w:sz="4" w:space="0"/>
        <w:right w:val="single" w:color="0098CD" w:sz="4" w:space="0"/>
        <w:insideH w:val="single" w:color="0098CD" w:sz="4" w:space="0"/>
        <w:insideV w:val="single" w:color="0098CD" w:sz="4" w:space="0"/>
      </w:tblBorders>
    </w:tblPr>
  </w:style>
  <w:style w:type="table" w:customStyle="1" w:styleId="TablaUNIR30">
    <w:name w:val="Tabla UNIR 3"/>
    <w:basedOn w:val="Tablanormal"/>
    <w:uiPriority w:val="99"/>
    <w:rsid w:val="00472b27"/>
    <w:pPr>
      <w:spacing w:after="0" w:line="240" w:lineRule="auto"/>
    </w:pPr>
    <w:rPr>
      <w:color w:val="333333"/>
      <w:sz w:val="20"/>
    </w:rPr>
    <w:tblPr>
      <w:tblBorders>
        <w:top w:val="single" w:color="0098CD" w:sz="4" w:space="0"/>
        <w:bottom w:val="single" w:color="0098CD" w:sz="4" w:space="0"/>
        <w:insideH w:val="single" w:color="0098CD" w:sz="4" w:space="0"/>
        <w:insideV w:val="single" w:color="0098CD" w:sz="4" w:space="0"/>
      </w:tblBorders>
      <w:tblCellMar>
        <w:top w:w="113" w:type="dxa"/>
      </w:tblCellMar>
    </w:tblPr>
    <w:tcPr>
      <w:shd w:val="clear" w:color="auto" w:fill="FFFFFF" w:themeFill="background1"/>
      <w:vAlign w:val="center"/>
    </w:tcPr>
    <w:tblStylePr w:type="firstRow">
      <w:pPr>
        <w:jc w:val="center"/>
      </w:pPr>
      <w:rPr>
        <w:b w:val="0"/>
        <w:color w:val="333333"/>
        <w:sz w:val="20"/>
      </w:rPr>
      <w:tblPr/>
      <w:tcPr>
        <w:shd w:val="clear" w:color="auto" w:fill="E6F4F9"/>
        <w:vAlign w:val="center"/>
      </w:tcPr>
    </w:tblStylePr>
  </w:style>
  <w:style w:type="table" w:customStyle="1" w:styleId="Tabladecuadrcula5oscura-nfasis51">
    <w:name w:val="Tabla de cuadrícula 5 oscura - Énfasis 51"/>
    <w:basedOn w:val="Tablanormal"/>
    <w:uiPriority w:val="50"/>
    <w:rsid w:val="00175792"/>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9E2F3"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472C4"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472C4"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472C4"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customStyle="1" w:styleId="audiovisual">
    <w:name w:val="audiovisual"/>
    <w:basedOn w:val="Tablanormal"/>
    <w:uiPriority w:val="99"/>
    <w:rsid w:val="00e61459"/>
    <w:pPr>
      <w:spacing w:after="0" w:line="240" w:lineRule="auto"/>
    </w:pPr>
    <w:rPr>
      <w:color w:val="333333"/>
      <w:sz w:val="24"/>
    </w:rPr>
    <w:tblPr>
      <w:tblBorders>
        <w:top w:val="single" w:color="0098CD" w:sz="4" w:space="0"/>
        <w:bottom w:val="single" w:color="0098CD" w:sz="4" w:space="0"/>
      </w:tblBorders>
      <w:tblCellMar>
        <w:top w:w="113" w:type="dxa"/>
      </w:tblCellMar>
    </w:tblPr>
    <w:tcPr>
      <w:vAlign w:val="center"/>
    </w:tcPr>
  </w:style>
  <w:style w:type="table" w:customStyle="1" w:styleId="Estilo1">
    <w:name w:val="Estilo1"/>
    <w:basedOn w:val="Tablanormal"/>
    <w:uiPriority w:val="99"/>
    <w:rsid w:val="00e61459"/>
    <w:pPr>
      <w:spacing w:after="0" w:line="240" w:lineRule="auto"/>
    </w:pPr>
    <w:tblPr>
      <w:tblBorders>
        <w:top w:val="single" w:color="0098CD" w:sz="4" w:space="0"/>
        <w:bottom w:val="single" w:color="0098CD" w:sz="4" w:space="0"/>
      </w:tblBorders>
    </w:tblPr>
    <w:tcPr>
      <w:vAlign w:val="center"/>
    </w:tcPr>
  </w:style>
  <w:style w:type="table" w:customStyle="1" w:styleId="MaterialAudiovisual">
    <w:name w:val="Material Audiovisual"/>
    <w:basedOn w:val="Tablanormal"/>
    <w:uiPriority w:val="99"/>
    <w:rsid w:val="00e61459"/>
    <w:pPr>
      <w:spacing w:after="0" w:line="240" w:lineRule="auto"/>
    </w:pPr>
    <w:rPr>
      <w:color w:val="333333"/>
      <w:sz w:val="24"/>
    </w:rPr>
    <w:tblPr>
      <w:tblBorders>
        <w:top w:val="single" w:color="0098CD" w:sz="4" w:space="0"/>
        <w:bottom w:val="single" w:color="0098CD" w:sz="4" w:space="0"/>
      </w:tblBorders>
      <w:tblCellMar>
        <w:top w:w="113" w:type="dxa"/>
      </w:tblCellMar>
    </w:tblPr>
    <w:tcPr>
      <w:vAlign w:val="center"/>
    </w:tc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thingspeak.com/"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hyperlink" Target="https://es.mathworks.com/help/thingspeak/channel-settings.html" TargetMode="Externa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hyperlink" Target="https://es.mathworks.com/help/thingspeak/writedata.html" TargetMode="External"/><Relationship Id="rId10" Type="http://schemas.openxmlformats.org/officeDocument/2006/relationships/hyperlink" Target="https://api.thingspeak.com/update?api_key=CLIF6GHF922B6DCL&amp;field1=0&amp;field2=33" TargetMode="External"/><Relationship Id="rId11" Type="http://schemas.openxmlformats.org/officeDocument/2006/relationships/image" Target="media/image6.png"/><Relationship Id="rId12" Type="http://schemas.openxmlformats.org/officeDocument/2006/relationships/hyperlink" Target="https://es.mathworks.com/help/thingspeak/read-data-from-channel.html" TargetMode="External"/><Relationship Id="rId13" Type="http://schemas.openxmlformats.org/officeDocument/2006/relationships/hyperlink" Target="https://api.thingspeak.com/channels/2523066/feeds.json?api_key=AFC7FRTZGT85KTRS&amp;results=2" TargetMode="External"/><Relationship Id="rId14" Type="http://schemas.openxmlformats.org/officeDocument/2006/relationships/image" Target="media/image7.png"/><Relationship Id="rId15" Type="http://schemas.openxmlformats.org/officeDocument/2006/relationships/hyperlink" Target="https://thingspeak.mathworks.com/users/mwa0000041180118" TargetMode="External"/><Relationship Id="rId16" Type="http://schemas.openxmlformats.org/officeDocument/2006/relationships/header" Target="header1.xml"/><Relationship Id="rId17" Type="http://schemas.openxmlformats.org/officeDocument/2006/relationships/footer" Target="footer1.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Relationship Id="rId22" Type="http://schemas.openxmlformats.org/officeDocument/2006/relationships/customXml" Target="../customXml/item1.xml"/><Relationship Id="rId23" Type="http://schemas.openxmlformats.org/officeDocument/2006/relationships/customXml" Target="../customXml/item2.xml"/><Relationship Id="rId24" Type="http://schemas.openxmlformats.org/officeDocument/2006/relationships/customXml" Target="../customXml/item3.xml"/><Relationship Id="rId25" Type="http://schemas.openxmlformats.org/officeDocument/2006/relationships/customXml" Target="../customXml/item4.xml"/>
</Relationships>
</file>

<file path=word/theme/theme1.xml><?xml version="1.0" encoding="utf-8"?>
<a:theme xmlns:a="http://schemas.openxmlformats.org/drawingml/2006/main" name="Tema de Office">
  <a:themeElements>
    <a:clrScheme name="Personalizado 30">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098CD"/>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227b02526234ef39b0b78895a9d90cf5">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3c939c8607e2f594db8bbb23634dd059"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Flow_SignoffStatus xmlns="27c1adeb-3674-457c-b08c-8a73f31b6e23" xsi:nil="true"/>
    <lcf76f155ced4ddcb4097134ff3c332f xmlns="27c1adeb-3674-457c-b08c-8a73f31b6e23">
      <Terms xmlns="http://schemas.microsoft.com/office/infopath/2007/PartnerControls"/>
    </lcf76f155ced4ddcb4097134ff3c332f>
    <TaxCatchAll xmlns="0a70e875-3d35-4be2-921f-7117c31bab9b"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B996C74-B557-43C5-8CCF-845ECD4D70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A50E650-A5E7-4BBC-A935-D39C1A1FC41D}">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customXml/itemProps3.xml><?xml version="1.0" encoding="utf-8"?>
<ds:datastoreItem xmlns:ds="http://schemas.openxmlformats.org/officeDocument/2006/customXml" ds:itemID="{34630390-AA23-43B7-9897-9B70B2914179}">
  <ds:schemaRefs>
    <ds:schemaRef ds:uri="http://schemas.openxmlformats.org/officeDocument/2006/bibliography"/>
  </ds:schemaRefs>
</ds:datastoreItem>
</file>

<file path=customXml/itemProps4.xml><?xml version="1.0" encoding="utf-8"?>
<ds:datastoreItem xmlns:ds="http://schemas.openxmlformats.org/officeDocument/2006/customXml" ds:itemID="{887ED8AB-F4BB-41B2-8663-91181200C51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1771</TotalTime>
  <Application>LibreOffice/6.3.3.2$Windows_X86_64 LibreOffice_project/a64200df03143b798afd1ec74a12ab50359878ed</Application>
  <Pages>12</Pages>
  <Words>1414</Words>
  <Characters>7915</Characters>
  <CharactersWithSpaces>9230</CharactersWithSpaces>
  <Paragraphs>110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2023-05-11T15:57:00Z</dcterms:created>
  <dc:creator>Natalia Asturillo</dc:creator>
  <dc:description/>
  <dc:language>es-ES</dc:language>
  <cp:lastModifiedBy/>
  <cp:lastPrinted>2017-09-08T09:41:00Z</cp:lastPrinted>
  <dcterms:modified xsi:type="dcterms:W3CDTF">2026-04-21T14:07:36Z</dcterms:modified>
  <cp:revision>347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0x010100DF3D7C797EA12745A270EF30E38719B9</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MSIP_Label_0361ecad-3f61-4749-aa5c-87fde47ef9ad_ActionId">
    <vt:lpwstr>062620b3-335d-48a4-bb1d-7d458e35c92e</vt:lpwstr>
  </property>
  <property fmtid="{D5CDD505-2E9C-101B-9397-08002B2CF9AE}" pid="8" name="MSIP_Label_0361ecad-3f61-4749-aa5c-87fde47ef9ad_ContentBits">
    <vt:lpwstr>0</vt:lpwstr>
  </property>
  <property fmtid="{D5CDD505-2E9C-101B-9397-08002B2CF9AE}" pid="9" name="MSIP_Label_0361ecad-3f61-4749-aa5c-87fde47ef9ad_Enabled">
    <vt:lpwstr>true</vt:lpwstr>
  </property>
  <property fmtid="{D5CDD505-2E9C-101B-9397-08002B2CF9AE}" pid="10" name="MSIP_Label_0361ecad-3f61-4749-aa5c-87fde47ef9ad_Method">
    <vt:lpwstr>Privileged</vt:lpwstr>
  </property>
  <property fmtid="{D5CDD505-2E9C-101B-9397-08002B2CF9AE}" pid="11" name="MSIP_Label_0361ecad-3f61-4749-aa5c-87fde47ef9ad_Name">
    <vt:lpwstr>Publico</vt:lpwstr>
  </property>
  <property fmtid="{D5CDD505-2E9C-101B-9397-08002B2CF9AE}" pid="12" name="MSIP_Label_0361ecad-3f61-4749-aa5c-87fde47ef9ad_SetDate">
    <vt:lpwstr>2026-03-31T15:33:47Z</vt:lpwstr>
  </property>
  <property fmtid="{D5CDD505-2E9C-101B-9397-08002B2CF9AE}" pid="13" name="MSIP_Label_0361ecad-3f61-4749-aa5c-87fde47ef9ad_SiteId">
    <vt:lpwstr>22c8b4a4-d926-43b2-bcc7-87b998590b47</vt:lpwstr>
  </property>
  <property fmtid="{D5CDD505-2E9C-101B-9397-08002B2CF9AE}" pid="14" name="MSIP_Label_0361ecad-3f61-4749-aa5c-87fde47ef9ad_Tag">
    <vt:lpwstr>10, 0, 1, 1</vt:lpwstr>
  </property>
  <property fmtid="{D5CDD505-2E9C-101B-9397-08002B2CF9AE}" pid="15" name="ScaleCrop">
    <vt:bool>0</vt:bool>
  </property>
  <property fmtid="{D5CDD505-2E9C-101B-9397-08002B2CF9AE}" pid="16" name="ShareDoc">
    <vt:bool>0</vt:bool>
  </property>
</Properties>
</file>