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40"/>
      </w:pPr>
      <w:r>
        <w:rPr>
          <w:rFonts w:ascii="Calibri" w:cs="Calibri" w:eastAsia="Calibri" w:hAnsi="Calibri"/>
          <w:b/>
          <w:bCs/>
          <w:color w:val="1F3864"/>
          <w:sz w:val="30"/>
          <w:szCs w:val="30"/>
        </w:rPr>
        <w:t xml:space="preserve">Tokenised equity: the SEC opens a conditional onchain lane</w:t>
      </w:r>
    </w:p>
    <w:p>
      <w:pPr>
        <w:spacing w:after="200"/>
      </w:pPr>
      <w:r>
        <w:rPr>
          <w:rFonts w:ascii="Calibri" w:cs="Calibri" w:eastAsia="Calibri" w:hAnsi="Calibri"/>
          <w:i/>
          <w:iCs/>
          <w:color w:val="595959"/>
          <w:sz w:val="18"/>
          <w:szCs w:val="18"/>
        </w:rPr>
        <w:t xml:space="preserve">Quick take  |  SEC Release 34-106402, issued Sept 17, 2026  |  Bernstein</w:t>
      </w:r>
    </w:p>
    <w:p>
      <w:pPr>
        <w:spacing w:after="120" w:line="264"/>
      </w:pPr>
      <w:r>
        <w:rPr>
          <w:rFonts w:ascii="Calibri" w:cs="Calibri" w:eastAsia="Calibri" w:hAnsi="Calibri"/>
          <w:sz w:val="20"/>
          <w:szCs w:val="20"/>
        </w:rPr>
        <w:t xml:space="preserve">On Sept 17, 2026, the SEC granted two temporary, five-year exemptions under Section 36(a)(1). One lets Tokenized Securities Venues (TSVs) trade tokenised NMS stock without registering as an exchange. The other frees certain liquidity providers from dealer registration. Both are conditional. Both invite comment. Hence a regulated onchain equity market, on training wheels.</w:t>
      </w:r>
    </w:p>
    <w:p>
      <w:pPr>
        <w:pStyle w:val="Heading2"/>
        <w:spacing w:after="100" w:before="240"/>
      </w:pPr>
      <w:r>
        <w:rPr>
          <w:rFonts w:ascii="Calibri" w:cs="Calibri" w:eastAsia="Calibri" w:hAnsi="Calibri"/>
          <w:b/>
          <w:bCs/>
          <w:color w:val="1F3864"/>
          <w:sz w:val="22"/>
          <w:szCs w:val="22"/>
        </w:rPr>
        <w:t xml:space="preserve">What is NMS stock</w:t>
      </w:r>
    </w:p>
    <w:p>
      <w:pPr>
        <w:spacing w:after="120" w:line="264"/>
      </w:pPr>
      <w:r>
        <w:rPr>
          <w:rFonts w:ascii="Calibri" w:cs="Calibri" w:eastAsia="Calibri" w:hAnsi="Calibri"/>
          <w:sz w:val="20"/>
          <w:szCs w:val="20"/>
        </w:rPr>
        <w:t xml:space="preserve">NMS stock is any National Market System security other than an option - broadly, US exchange-listed common stock and ETPs whose trades are reported through the consolidated tape. It is the universe governed by Regulation NMS. The order sorts it using the LULD Plan's Tier 1 and Tier 2 buckets to decide which names can be tokenised and how much. Hence the exemption covers listed US equities - not private shares, bonds, or options.</w:t>
      </w:r>
    </w:p>
    <w:p>
      <w:pPr>
        <w:pStyle w:val="Heading2"/>
        <w:spacing w:after="100" w:before="240"/>
      </w:pPr>
      <w:r>
        <w:rPr>
          <w:rFonts w:ascii="Calibri" w:cs="Calibri" w:eastAsia="Calibri" w:hAnsi="Calibri"/>
          <w:b/>
          <w:bCs/>
          <w:color w:val="1F3864"/>
          <w:sz w:val="22"/>
          <w:szCs w:val="22"/>
        </w:rPr>
        <w:t xml:space="preserve">Why the exemption matters</w:t>
      </w:r>
    </w:p>
    <w:p>
      <w:pPr>
        <w:spacing w:after="120" w:line="264"/>
      </w:pPr>
      <w:r>
        <w:rPr>
          <w:rFonts w:ascii="Calibri" w:cs="Calibri" w:eastAsia="Calibri" w:hAnsi="Calibri"/>
          <w:sz w:val="20"/>
          <w:szCs w:val="20"/>
        </w:rPr>
        <w:t xml:space="preserve">A venue that trades listed stock normally must register as an exchange or an ATS and comply with Regulation NMS. An AMM cannot. It prices off the ratio of assets in a pool, not external quotes, so it cannot honour trade-through protection (Rule 611), best-bid-and-offer quoting (Rule 602), or minimum increments (Rule 612). Hence, without relief, onchain equity trading had no legal path in the US and drifted offshore or into synthetics. This order removes that block. It is the first time the SEC has said US-listed stock can trade onchain, within limits. That is the significance - a regulated lane where none existed.</w:t>
      </w:r>
    </w:p>
    <w:p>
      <w:pPr>
        <w:pBdr>
          <w:top w:val="single" w:color="1F3864" w:sz="8" w:space="4"/>
          <w:bottom w:val="single" w:color="1F3864" w:sz="8" w:space="4"/>
        </w:pBdr>
        <w:spacing w:after="140" w:before="300"/>
      </w:pPr>
      <w:r>
        <w:rPr>
          <w:rFonts w:ascii="Calibri" w:cs="Calibri" w:eastAsia="Calibri" w:hAnsi="Calibri"/>
          <w:b/>
          <w:bCs/>
          <w:caps/>
          <w:color w:val="1F3864"/>
          <w:sz w:val="24"/>
          <w:szCs w:val="24"/>
        </w:rPr>
        <w:t xml:space="preserve">Version 1 - the order, condition by condition</w:t>
      </w:r>
    </w:p>
    <w:p>
      <w:pPr>
        <w:spacing w:after="60" w:line="264"/>
      </w:pPr>
      <w:r>
        <w:rPr>
          <w:rFonts w:ascii="Calibri" w:cs="Calibri" w:eastAsia="Calibri" w:hAnsi="Calibri"/>
          <w:b/>
          <w:bCs/>
          <w:i/>
          <w:iCs/>
          <w:sz w:val="20"/>
          <w:szCs w:val="20"/>
        </w:rPr>
        <w:t xml:space="preserve">Scope and definitions. </w:t>
      </w:r>
      <w:r>
        <w:rPr>
          <w:rFonts w:ascii="Calibri" w:cs="Calibri" w:eastAsia="Calibri" w:hAnsi="Calibri"/>
          <w:sz w:val="20"/>
          <w:szCs w:val="20"/>
        </w:rPr>
        <w:t xml:space="preserve">Two exemptions under Section 36(a)(1): one from the "exchange" definition for the venue, one from the "dealer" definition for its liquidity providers. Tokenised NMS Stock means listed stock tokenised by or for the issuer, or by an unaffiliated third party. Synthetics - tokenised linked securities and security-based swaps - are excluded, as are rights and warrants. A tokenised stock may only trade paired with another tokenised stock, a payment stablecoin, or a tokenised money market fund. A registered firm may run a TSV as a separate affiliate, kept apart from its registered business.</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the definition draws a clean line between real, rights-bearing tokens and synthetic price-trackers, so investors are not misled into thinking they own stock when they hold a derivative.</w:t>
      </w:r>
    </w:p>
    <w:p>
      <w:pPr>
        <w:spacing w:after="60" w:line="252"/>
        <w:ind w:left="180"/>
      </w:pPr>
      <w:r>
        <w:rPr>
          <w:rFonts w:ascii="Calibri" w:cs="Calibri" w:eastAsia="Calibri" w:hAnsi="Calibri"/>
          <w:i/>
          <w:iCs/>
          <w:color w:val="7F7F7F"/>
          <w:sz w:val="18"/>
          <w:szCs w:val="18"/>
        </w:rPr>
        <w:t xml:space="preserve">Networks: </w:t>
      </w:r>
      <w:r>
        <w:rPr>
          <w:rFonts w:ascii="Calibri" w:cs="Calibri" w:eastAsia="Calibri" w:hAnsi="Calibri"/>
          <w:i/>
          <w:iCs/>
          <w:color w:val="7F7F7F"/>
          <w:sz w:val="18"/>
          <w:szCs w:val="18"/>
        </w:rPr>
        <w:t xml:space="preserve">the stablecoin-pair rule favours chains with deep native stablecoin liquidity - Ethereum and its layer-2s, and Solana - where USDC already settles most onchain volume.</w:t>
      </w:r>
    </w:p>
    <w:p>
      <w:pPr>
        <w:spacing w:after="60" w:line="264"/>
      </w:pPr>
      <w:r>
        <w:rPr>
          <w:rFonts w:ascii="Calibri" w:cs="Calibri" w:eastAsia="Calibri" w:hAnsi="Calibri"/>
          <w:b/>
          <w:bCs/>
          <w:i/>
          <w:iCs/>
          <w:sz w:val="20"/>
          <w:szCs w:val="20"/>
        </w:rPr>
        <w:t xml:space="preserve">The venue (TSV). </w:t>
      </w:r>
      <w:r>
        <w:rPr>
          <w:rFonts w:ascii="Calibri" w:cs="Calibri" w:eastAsia="Calibri" w:hAnsi="Calibri"/>
          <w:sz w:val="20"/>
          <w:szCs w:val="20"/>
        </w:rPr>
        <w:t xml:space="preserve">A TSV brings buyers and sellers together through one or more AMM liquidity pools and sets who may access them. It "provides" a pool by deploying, controlling, or designating it. Access is permissioned - only whitelisted wallets that clear the venue's credentialing may trade.</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permissioning lets a venue screen for sanctions and illicit-finance risk at the wallet level, which a public order book cannot.</w:t>
      </w:r>
    </w:p>
    <w:p>
      <w:pPr>
        <w:spacing w:after="60" w:line="252"/>
        <w:ind w:left="180"/>
      </w:pPr>
      <w:r>
        <w:rPr>
          <w:rFonts w:ascii="Calibri" w:cs="Calibri" w:eastAsia="Calibri" w:hAnsi="Calibri"/>
          <w:i/>
          <w:iCs/>
          <w:color w:val="7F7F7F"/>
          <w:sz w:val="18"/>
          <w:szCs w:val="18"/>
        </w:rPr>
        <w:t xml:space="preserve">Networks: </w:t>
      </w:r>
      <w:r>
        <w:rPr>
          <w:rFonts w:ascii="Calibri" w:cs="Calibri" w:eastAsia="Calibri" w:hAnsi="Calibri"/>
          <w:i/>
          <w:iCs/>
          <w:color w:val="7F7F7F"/>
          <w:sz w:val="18"/>
          <w:szCs w:val="18"/>
        </w:rPr>
        <w:t xml:space="preserve">Ethereum (via ERC-20 and permissioned-token standards) and Solana (via its token-extension features) already support allow-listed transfers, so the tooling to gate a security token exists on the main public chains today.</w:t>
      </w:r>
    </w:p>
    <w:p>
      <w:pPr>
        <w:spacing w:after="60" w:line="264"/>
      </w:pPr>
      <w:r>
        <w:rPr>
          <w:rFonts w:ascii="Calibri" w:cs="Calibri" w:eastAsia="Calibri" w:hAnsi="Calibri"/>
          <w:b/>
          <w:bCs/>
          <w:i/>
          <w:iCs/>
          <w:sz w:val="20"/>
          <w:szCs w:val="20"/>
        </w:rPr>
        <w:t xml:space="preserve">Which blockchain. </w:t>
      </w:r>
      <w:r>
        <w:rPr>
          <w:rFonts w:ascii="Calibri" w:cs="Calibri" w:eastAsia="Calibri" w:hAnsi="Calibri"/>
          <w:sz w:val="20"/>
          <w:szCs w:val="20"/>
        </w:rPr>
        <w:t xml:space="preserve">Smart contracts must be auditable, public, and deployed on a public, permissionless ledger - one anyone can read or write to. A permissioned pool can still sit on a permissionless chain.</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a public chain makes every trade and contract independently verifiable, improving auditability, recordkeeping, and market integrity - the order's own rationale for the condition.</w:t>
      </w:r>
    </w:p>
    <w:p>
      <w:pPr>
        <w:spacing w:after="60" w:line="252"/>
        <w:ind w:left="180"/>
      </w:pPr>
      <w:r>
        <w:rPr>
          <w:rFonts w:ascii="Calibri" w:cs="Calibri" w:eastAsia="Calibri" w:hAnsi="Calibri"/>
          <w:i/>
          <w:iCs/>
          <w:color w:val="7F7F7F"/>
          <w:sz w:val="18"/>
          <w:szCs w:val="18"/>
        </w:rPr>
        <w:t xml:space="preserve">Networks: </w:t>
      </w:r>
      <w:r>
        <w:rPr>
          <w:rFonts w:ascii="Calibri" w:cs="Calibri" w:eastAsia="Calibri" w:hAnsi="Calibri"/>
          <w:i/>
          <w:iCs/>
          <w:color w:val="7F7F7F"/>
          <w:sz w:val="18"/>
          <w:szCs w:val="18"/>
        </w:rPr>
        <w:t xml:space="preserve">this favours established public networks. Ethereum is best positioned on tooling - the deepest AMM and audit ecosystem, ERC-20 as the default standard. Solana is positioned on throughput and low fees, which suit 24x7 retail flow. Coinbase's Base and other Ethereum layer-2s sit in the same lane, tying the venue opportunity to networks names we cover already run.</w:t>
      </w:r>
    </w:p>
    <w:p>
      <w:pPr>
        <w:spacing w:after="60" w:line="264"/>
      </w:pPr>
      <w:r>
        <w:rPr>
          <w:rFonts w:ascii="Calibri" w:cs="Calibri" w:eastAsia="Calibri" w:hAnsi="Calibri"/>
          <w:b/>
          <w:bCs/>
          <w:i/>
          <w:iCs/>
          <w:sz w:val="20"/>
          <w:szCs w:val="20"/>
        </w:rPr>
        <w:t xml:space="preserve">Which stocks and how much. </w:t>
      </w:r>
      <w:r>
        <w:rPr>
          <w:rFonts w:ascii="Calibri" w:cs="Calibri" w:eastAsia="Calibri" w:hAnsi="Calibri"/>
          <w:sz w:val="20"/>
          <w:szCs w:val="20"/>
        </w:rPr>
        <w:t xml:space="preserve">Two tiers from the LULD Plan. Tier 1 (S&amp;P 500, Russell 1000, eligible ETPs): max 75 symbols per venue and 0.25% of a name's prior-month ADV. Tier 2 (all else): max 250 symbols and 2.5%. Volume and symbols aggregate across affiliated TSVs. A volume breach forces a three-month pause in that name - the first breach is forgiven, the symbol cap is hard.</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the caps ring-fence any price dislocation, so an onchain experiment cannot disrupt the lit market for the same stock.</w:t>
      </w:r>
    </w:p>
    <w:p>
      <w:pPr>
        <w:spacing w:after="60" w:line="264"/>
      </w:pPr>
      <w:r>
        <w:rPr>
          <w:rFonts w:ascii="Calibri" w:cs="Calibri" w:eastAsia="Calibri" w:hAnsi="Calibri"/>
          <w:b/>
          <w:bCs/>
          <w:i/>
          <w:iCs/>
          <w:sz w:val="20"/>
          <w:szCs w:val="20"/>
        </w:rPr>
        <w:t xml:space="preserve">Investor protection. </w:t>
      </w:r>
      <w:r>
        <w:rPr>
          <w:rFonts w:ascii="Calibri" w:cs="Calibri" w:eastAsia="Calibri" w:hAnsi="Calibri"/>
          <w:sz w:val="20"/>
          <w:szCs w:val="20"/>
        </w:rPr>
        <w:t xml:space="preserve">Anti-fraud and anti-manipulation (10b-5) still apply. A TSV must be a US person and OFAC-compliant. Anyone statutorily disqualified is barred. The venue must halt a token the instant the underlying halts on its listing exchange, report cyber and outage events to participants and the SEC, keep US-based books open to examination, and take no leverage - no lending, hypothecation, or credit. It cannot claim to be registered, approved, or endorsed, and must state plainly that it is not SEC-registered.</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these port exchange-grade safeguards - sanctions screening, halt coordination, records, no-misrepresentation - onto an unregistered venue, so investor protection does not fall away with the exchange label.</w:t>
      </w:r>
    </w:p>
    <w:p>
      <w:pPr>
        <w:spacing w:after="60" w:line="264"/>
      </w:pPr>
      <w:r>
        <w:rPr>
          <w:rFonts w:ascii="Calibri" w:cs="Calibri" w:eastAsia="Calibri" w:hAnsi="Calibri"/>
          <w:b/>
          <w:bCs/>
          <w:i/>
          <w:iCs/>
          <w:sz w:val="20"/>
          <w:szCs w:val="20"/>
        </w:rPr>
        <w:t xml:space="preserve">Public notice and disclosure. </w:t>
      </w:r>
      <w:r>
        <w:rPr>
          <w:rFonts w:ascii="Calibri" w:cs="Calibri" w:eastAsia="Calibri" w:hAnsi="Calibri"/>
          <w:sz w:val="20"/>
          <w:szCs w:val="20"/>
        </w:rPr>
        <w:t xml:space="preserve">A TSV must publish a plain-English notice 30 days before launch, tell the SEC within a day, and keep it current on a set cadence. The notice runs about thirty disclosure items - governance, fees, conflicts, oracle and market-data use, MEV handling, smart-contract upgrade controls, security audits, clearing, and material risks such as impermanent loss and oracle manipulation. It must also flag if the TSV is the only venue for a token, and how holders could exit or detokenise.</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it substitutes disclosure for registration - participants get, up front, the operational and conflict information an exchange filing would normally provide.</w:t>
      </w:r>
    </w:p>
    <w:p>
      <w:pPr>
        <w:spacing w:after="60" w:line="264"/>
      </w:pPr>
      <w:r>
        <w:rPr>
          <w:rFonts w:ascii="Calibri" w:cs="Calibri" w:eastAsia="Calibri" w:hAnsi="Calibri"/>
          <w:b/>
          <w:bCs/>
          <w:i/>
          <w:iCs/>
          <w:sz w:val="20"/>
          <w:szCs w:val="20"/>
        </w:rPr>
        <w:t xml:space="preserve">Issuer consent and holder rights. </w:t>
      </w:r>
      <w:r>
        <w:rPr>
          <w:rFonts w:ascii="Calibri" w:cs="Calibri" w:eastAsia="Calibri" w:hAnsi="Calibri"/>
          <w:sz w:val="20"/>
          <w:szCs w:val="20"/>
        </w:rPr>
        <w:t xml:space="preserve">For third-party tokens, the venue must notify the issuer and wait 30 days; the issuer can block listing by objecting. Either path, the token must convey the same rights as the share - economic interest, dividends, voting, and liquidation - and third parties must pass through proxy materials at no cost to the issuer. No primary issuance is allowed; this is secondary trading of already-registered stock.</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the rights test and issuer veto stop a third party minting a token that looks like stock but strips voting or dividends, and protect issuers from an unwanted onchain shareholder base.</w:t>
      </w:r>
    </w:p>
    <w:p>
      <w:pPr>
        <w:spacing w:after="60" w:line="264"/>
      </w:pPr>
      <w:r>
        <w:rPr>
          <w:rFonts w:ascii="Calibri" w:cs="Calibri" w:eastAsia="Calibri" w:hAnsi="Calibri"/>
          <w:b/>
          <w:bCs/>
          <w:i/>
          <w:iCs/>
          <w:sz w:val="20"/>
          <w:szCs w:val="20"/>
        </w:rPr>
        <w:t xml:space="preserve">Transaction transparency. </w:t>
      </w:r>
      <w:r>
        <w:rPr>
          <w:rFonts w:ascii="Calibri" w:cs="Calibri" w:eastAsia="Calibri" w:hAnsi="Calibri"/>
          <w:sz w:val="20"/>
          <w:szCs w:val="20"/>
        </w:rPr>
        <w:t xml:space="preserve">The venue must publish USD-denominated trade data - symbol, price, size, time, direction, pool address, daily pair volume, end-of-day pool size - within ten minutes, free to all, on a rolling 30-day window.</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a public, real-time feed narrows the information gap between sophisticated and ordinary participants.</w:t>
      </w:r>
    </w:p>
    <w:p>
      <w:pPr>
        <w:spacing w:after="60" w:line="252"/>
        <w:ind w:left="180"/>
      </w:pPr>
      <w:r>
        <w:rPr>
          <w:rFonts w:ascii="Calibri" w:cs="Calibri" w:eastAsia="Calibri" w:hAnsi="Calibri"/>
          <w:i/>
          <w:iCs/>
          <w:color w:val="7F7F7F"/>
          <w:sz w:val="18"/>
          <w:szCs w:val="18"/>
        </w:rPr>
        <w:t xml:space="preserve">Networks: </w:t>
      </w:r>
      <w:r>
        <w:rPr>
          <w:rFonts w:ascii="Calibri" w:cs="Calibri" w:eastAsia="Calibri" w:hAnsi="Calibri"/>
          <w:i/>
          <w:iCs/>
          <w:color w:val="7F7F7F"/>
          <w:sz w:val="18"/>
          <w:szCs w:val="18"/>
        </w:rPr>
        <w:t xml:space="preserve">on a public chain this data is largely native - Ethereum and Solana explorers already expose pool state and trades, so the reporting burden is lighter than on an offchain venue.</w:t>
      </w:r>
    </w:p>
    <w:p>
      <w:pPr>
        <w:spacing w:after="60" w:line="264"/>
      </w:pPr>
      <w:r>
        <w:rPr>
          <w:rFonts w:ascii="Calibri" w:cs="Calibri" w:eastAsia="Calibri" w:hAnsi="Calibri"/>
          <w:b/>
          <w:bCs/>
          <w:i/>
          <w:iCs/>
          <w:sz w:val="20"/>
          <w:szCs w:val="20"/>
        </w:rPr>
        <w:t xml:space="preserve">Liquidity providers (dealer relief). </w:t>
      </w:r>
      <w:r>
        <w:rPr>
          <w:rFonts w:ascii="Calibri" w:cs="Calibri" w:eastAsia="Calibri" w:hAnsi="Calibri"/>
          <w:sz w:val="20"/>
          <w:szCs w:val="20"/>
        </w:rPr>
        <w:t xml:space="preserve">Supplying liquidity alone is trader activity, not dealing. Quoting prices or committing capital can blur that line. The Covered Firm exemption lets proprietary-capital liquidity providers in a TSV pool avoid dealer registration, subject to disclosure and recordkeeping, and barred if statutorily disqualified.</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without it, the market-makers an AMM needs to function might have to register as dealers, which would starve these pools of liquidity.</w:t>
      </w:r>
    </w:p>
    <w:p>
      <w:pPr>
        <w:spacing w:after="60" w:line="264"/>
      </w:pPr>
      <w:r>
        <w:rPr>
          <w:rFonts w:ascii="Calibri" w:cs="Calibri" w:eastAsia="Calibri" w:hAnsi="Calibri"/>
          <w:b/>
          <w:bCs/>
          <w:i/>
          <w:iCs/>
          <w:sz w:val="20"/>
          <w:szCs w:val="20"/>
        </w:rPr>
        <w:t xml:space="preserve">Participants and term. </w:t>
      </w:r>
      <w:r>
        <w:rPr>
          <w:rFonts w:ascii="Calibri" w:cs="Calibri" w:eastAsia="Calibri" w:hAnsi="Calibri"/>
          <w:sz w:val="20"/>
          <w:szCs w:val="20"/>
        </w:rPr>
        <w:t xml:space="preserve">Anyone permissioned may trade - retail, institutions, broker-dealers - though their own registration duties are untouched. The relief runs five years from publication, carries no Investment Company Act relief, and comes with a request for comment. It is explicitly a bridge to rulemaking.</w:t>
      </w:r>
    </w:p>
    <w:p>
      <w:pPr>
        <w:spacing w:after="60" w:line="252"/>
        <w:ind w:left="180"/>
      </w:pPr>
      <w:r>
        <w:rPr>
          <w:rFonts w:ascii="Calibri" w:cs="Calibri" w:eastAsia="Calibri" w:hAnsi="Calibri"/>
          <w:i/>
          <w:iCs/>
          <w:color w:val="7F7F7F"/>
          <w:sz w:val="18"/>
          <w:szCs w:val="18"/>
        </w:rPr>
        <w:t xml:space="preserve">Why it helps: </w:t>
      </w:r>
      <w:r>
        <w:rPr>
          <w:rFonts w:ascii="Calibri" w:cs="Calibri" w:eastAsia="Calibri" w:hAnsi="Calibri"/>
          <w:i/>
          <w:iCs/>
          <w:color w:val="7F7F7F"/>
          <w:sz w:val="18"/>
          <w:szCs w:val="18"/>
        </w:rPr>
        <w:t xml:space="preserve">opening access to all participant types tests real demand, while the sunset and comment period keep the Commission in control of what comes next.</w:t>
      </w:r>
    </w:p>
    <w:p>
      <w:pPr>
        <w:pBdr>
          <w:top w:val="single" w:color="1F3864" w:sz="8" w:space="4"/>
          <w:bottom w:val="single" w:color="1F3864" w:sz="8" w:space="4"/>
        </w:pBdr>
        <w:spacing w:after="140" w:before="300"/>
      </w:pPr>
      <w:r>
        <w:rPr>
          <w:rFonts w:ascii="Calibri" w:cs="Calibri" w:eastAsia="Calibri" w:hAnsi="Calibri"/>
          <w:b/>
          <w:bCs/>
          <w:caps/>
          <w:color w:val="1F3864"/>
          <w:sz w:val="24"/>
          <w:szCs w:val="24"/>
        </w:rPr>
        <w:t xml:space="preserve">Version 2 - investment implications (our view)</w:t>
      </w:r>
    </w:p>
    <w:p>
      <w:pPr>
        <w:pStyle w:val="Heading2"/>
        <w:spacing w:after="100" w:before="240"/>
      </w:pPr>
      <w:r>
        <w:rPr>
          <w:rFonts w:ascii="Calibri" w:cs="Calibri" w:eastAsia="Calibri" w:hAnsi="Calibri"/>
          <w:b/>
          <w:bCs/>
          <w:color w:val="1F3864"/>
          <w:sz w:val="22"/>
          <w:szCs w:val="22"/>
        </w:rPr>
        <w:t xml:space="preserve">Why it matters</w:t>
      </w:r>
    </w:p>
    <w:p>
      <w:pPr>
        <w:spacing w:after="120" w:line="264"/>
      </w:pPr>
      <w:r>
        <w:rPr>
          <w:rFonts w:ascii="Calibri" w:cs="Calibri" w:eastAsia="Calibri" w:hAnsi="Calibri"/>
          <w:sz w:val="20"/>
          <w:szCs w:val="20"/>
        </w:rPr>
        <w:t xml:space="preserve">This is the first legal lane for trading US-listed equities onchain. It resolves the ambiguity that pushed tokenised stock offshore or into synthetic wrappers. It is a centrepiece of the Atkins Commission's Project Crypto. The tool is an exemptive order, not a rule - fast to issue, five years to run, reversible by a future Commission. Read it as a signal of direction, not a finished framework.</w:t>
      </w:r>
    </w:p>
    <w:p>
      <w:pPr>
        <w:pStyle w:val="Heading2"/>
        <w:spacing w:after="100" w:before="240"/>
      </w:pPr>
      <w:r>
        <w:rPr>
          <w:rFonts w:ascii="Calibri" w:cs="Calibri" w:eastAsia="Calibri" w:hAnsi="Calibri"/>
          <w:b/>
          <w:bCs/>
          <w:color w:val="1F3864"/>
          <w:sz w:val="22"/>
          <w:szCs w:val="22"/>
        </w:rPr>
        <w:t xml:space="preserve">Read-through to coverage</w:t>
      </w:r>
    </w:p>
    <w:p>
      <w:pPr>
        <w:spacing w:after="60" w:line="264"/>
      </w:pPr>
      <w:r>
        <w:rPr>
          <w:rFonts w:ascii="Calibri" w:cs="Calibri" w:eastAsia="Calibri" w:hAnsi="Calibri"/>
          <w:b/>
          <w:bCs/>
          <w:i/>
          <w:iCs/>
          <w:sz w:val="20"/>
          <w:szCs w:val="20"/>
        </w:rPr>
        <w:t xml:space="preserve">Coinbase (COIN) - best positioned. </w:t>
      </w:r>
      <w:r>
        <w:rPr>
          <w:rFonts w:ascii="Calibri" w:cs="Calibri" w:eastAsia="Calibri" w:hAnsi="Calibri"/>
          <w:sz w:val="20"/>
          <w:szCs w:val="20"/>
        </w:rPr>
        <w:t xml:space="preserve">Its tokenised equities already offer 1:1 share redemption and dividends, with voting coming, run through a US entity. That is the full-rights, US-person model the order rewards. COIN can operate a TSV or supply compliant tokens to one, and its Base chain fits the blockchain condition. Clear net positive.</w:t>
      </w:r>
    </w:p>
    <w:p>
      <w:pPr>
        <w:spacing w:after="60" w:line="264"/>
      </w:pPr>
      <w:r>
        <w:rPr>
          <w:rFonts w:ascii="Calibri" w:cs="Calibri" w:eastAsia="Calibri" w:hAnsi="Calibri"/>
          <w:b/>
          <w:bCs/>
          <w:i/>
          <w:iCs/>
          <w:sz w:val="20"/>
          <w:szCs w:val="20"/>
        </w:rPr>
        <w:t xml:space="preserve">Robinhood (HOOD) - neutral to headwind on the current product. </w:t>
      </w:r>
      <w:r>
        <w:rPr>
          <w:rFonts w:ascii="Calibri" w:cs="Calibri" w:eastAsia="Calibri" w:hAnsi="Calibri"/>
          <w:sz w:val="20"/>
          <w:szCs w:val="20"/>
        </w:rPr>
        <w:t xml:space="preserve">Its stock tokens do not qualify today - synthetic debt issued from Jersey, EU-only, no ownership or voting. The order excludes synthetics and requires a US-person venue. HOOD is pivoting - redemption and voting were flagged days earlier - but it trails, and the issuer-veto condition cuts against Tenev's stance that issuers should not gate tokenisation.</w:t>
      </w:r>
    </w:p>
    <w:p>
      <w:pPr>
        <w:spacing w:after="60" w:line="264"/>
      </w:pPr>
      <w:r>
        <w:rPr>
          <w:rFonts w:ascii="Calibri" w:cs="Calibri" w:eastAsia="Calibri" w:hAnsi="Calibri"/>
          <w:b/>
          <w:bCs/>
          <w:i/>
          <w:iCs/>
          <w:sz w:val="20"/>
          <w:szCs w:val="20"/>
        </w:rPr>
        <w:t xml:space="preserve">Circle (CRCL) and stablecoins - underappreciated winner. </w:t>
      </w:r>
      <w:r>
        <w:rPr>
          <w:rFonts w:ascii="Calibri" w:cs="Calibri" w:eastAsia="Calibri" w:hAnsi="Calibri"/>
          <w:sz w:val="20"/>
          <w:szCs w:val="20"/>
        </w:rPr>
        <w:t xml:space="preserve">The order lets tokenised stock trade against a GENIUS Act payment stablecoin or a tokenised MMF. A 24x7 equity venue needs an always-on settlement asset. Hence structural demand for USDC and tokenised MMFs as the quote currency of onchain equities.</w:t>
      </w:r>
    </w:p>
    <w:p>
      <w:pPr>
        <w:spacing w:after="60" w:line="264"/>
      </w:pPr>
      <w:r>
        <w:rPr>
          <w:rFonts w:ascii="Calibri" w:cs="Calibri" w:eastAsia="Calibri" w:hAnsi="Calibri"/>
          <w:b/>
          <w:bCs/>
          <w:i/>
          <w:iCs/>
          <w:sz w:val="20"/>
          <w:szCs w:val="20"/>
        </w:rPr>
        <w:t xml:space="preserve">Figure (FIGR) and tokenisation infra - positive. </w:t>
      </w:r>
      <w:r>
        <w:rPr>
          <w:rFonts w:ascii="Calibri" w:cs="Calibri" w:eastAsia="Calibri" w:hAnsi="Calibri"/>
          <w:sz w:val="20"/>
          <w:szCs w:val="20"/>
        </w:rPr>
        <w:t xml:space="preserve">The order privileges issuer-sponsored and full-rights custodial tokenisation over synthetic wrappers. That favours regulated tokenisation rails and providers that can deliver compliant, rights-bearing tokens.</w:t>
      </w:r>
    </w:p>
    <w:p>
      <w:pPr>
        <w:spacing w:after="60" w:line="264"/>
      </w:pPr>
      <w:r>
        <w:rPr>
          <w:rFonts w:ascii="Calibri" w:cs="Calibri" w:eastAsia="Calibri" w:hAnsi="Calibri"/>
          <w:b/>
          <w:bCs/>
          <w:i/>
          <w:iCs/>
          <w:sz w:val="20"/>
          <w:szCs w:val="20"/>
        </w:rPr>
        <w:t xml:space="preserve">Exchanges and clearing (ICE, NDAQ, Cboe, DTCC) - a marker, not yet a threat. </w:t>
      </w:r>
      <w:r>
        <w:rPr>
          <w:rFonts w:ascii="Calibri" w:cs="Calibri" w:eastAsia="Calibri" w:hAnsi="Calibri"/>
          <w:sz w:val="20"/>
          <w:szCs w:val="20"/>
        </w:rPr>
        <w:t xml:space="preserve">Onchain venues bypass the lit tape, Reg NMS, and central clearing, with near-instant settlement. The caps keep this tiny today. The five-year horizon and any rulemaking are where the structural risk sits.</w:t>
      </w:r>
    </w:p>
    <w:p>
      <w:pPr>
        <w:pStyle w:val="Heading2"/>
        <w:spacing w:after="100" w:before="240"/>
      </w:pPr>
      <w:r>
        <w:rPr>
          <w:rFonts w:ascii="Calibri" w:cs="Calibri" w:eastAsia="Calibri" w:hAnsi="Calibri"/>
          <w:b/>
          <w:bCs/>
          <w:color w:val="1F3864"/>
          <w:sz w:val="22"/>
          <w:szCs w:val="22"/>
        </w:rPr>
        <w:t xml:space="preserve">Market-structure implications</w:t>
      </w:r>
    </w:p>
    <w:p>
      <w:pPr>
        <w:spacing w:after="60" w:line="264"/>
      </w:pPr>
      <w:r>
        <w:rPr>
          <w:rFonts w:ascii="Calibri" w:cs="Calibri" w:eastAsia="Calibri" w:hAnsi="Calibri"/>
          <w:b/>
          <w:bCs/>
          <w:i/>
          <w:iCs/>
          <w:sz w:val="20"/>
          <w:szCs w:val="20"/>
        </w:rPr>
        <w:t xml:space="preserve">Price discovery and arbitrage. </w:t>
      </w:r>
      <w:r>
        <w:rPr>
          <w:rFonts w:ascii="Calibri" w:cs="Calibri" w:eastAsia="Calibri" w:hAnsi="Calibri"/>
          <w:sz w:val="20"/>
          <w:szCs w:val="20"/>
        </w:rPr>
        <w:t xml:space="preserve">AMM pools price off pool ratios, not the tape. No Reg NMS, no trade-through protection. Tokenised prices can dislocate from the underlying. That is an arb opportunity and a best-execution question for anyone routing size. The volume caps and concurrent-halt rule exist to contain this.</w:t>
      </w:r>
    </w:p>
    <w:p>
      <w:pPr>
        <w:spacing w:after="60" w:line="264"/>
      </w:pPr>
      <w:r>
        <w:rPr>
          <w:rFonts w:ascii="Calibri" w:cs="Calibri" w:eastAsia="Calibri" w:hAnsi="Calibri"/>
          <w:b/>
          <w:bCs/>
          <w:i/>
          <w:iCs/>
          <w:sz w:val="20"/>
          <w:szCs w:val="20"/>
        </w:rPr>
        <w:t xml:space="preserve">Settlement disintermediation. </w:t>
      </w:r>
      <w:r>
        <w:rPr>
          <w:rFonts w:ascii="Calibri" w:cs="Calibri" w:eastAsia="Calibri" w:hAnsi="Calibri"/>
          <w:sz w:val="20"/>
          <w:szCs w:val="20"/>
        </w:rPr>
        <w:t xml:space="preserve">Near-instant onchain settlement sidesteps T+1 and central clearing. Efficient, but it shifts counterparty and operational risk onto the venue and its smart contracts.</w:t>
      </w:r>
    </w:p>
    <w:p>
      <w:pPr>
        <w:spacing w:after="60" w:line="264"/>
      </w:pPr>
      <w:r>
        <w:rPr>
          <w:rFonts w:ascii="Calibri" w:cs="Calibri" w:eastAsia="Calibri" w:hAnsi="Calibri"/>
          <w:b/>
          <w:bCs/>
          <w:i/>
          <w:iCs/>
          <w:sz w:val="20"/>
          <w:szCs w:val="20"/>
        </w:rPr>
        <w:t xml:space="preserve">The stablecoin tie-in. </w:t>
      </w:r>
      <w:r>
        <w:rPr>
          <w:rFonts w:ascii="Calibri" w:cs="Calibri" w:eastAsia="Calibri" w:hAnsi="Calibri"/>
          <w:sz w:val="20"/>
          <w:szCs w:val="20"/>
        </w:rPr>
        <w:t xml:space="preserve">The order quietly welds the GENIUS Act to equity market structure. Stablecoins become plumbing for stock trading, not just payments.</w:t>
      </w:r>
    </w:p>
    <w:p>
      <w:pPr>
        <w:pStyle w:val="Heading2"/>
        <w:spacing w:after="100" w:before="240"/>
      </w:pPr>
      <w:r>
        <w:rPr>
          <w:rFonts w:ascii="Calibri" w:cs="Calibri" w:eastAsia="Calibri" w:hAnsi="Calibri"/>
          <w:b/>
          <w:bCs/>
          <w:color w:val="1F3864"/>
          <w:sz w:val="22"/>
          <w:szCs w:val="22"/>
        </w:rPr>
        <w:t xml:space="preserve">What is constrained or unsolved</w:t>
      </w:r>
    </w:p>
    <w:p>
      <w:pPr>
        <w:spacing w:after="120" w:line="264"/>
      </w:pPr>
      <w:r>
        <w:rPr>
          <w:rFonts w:ascii="Calibri" w:cs="Calibri" w:eastAsia="Calibri" w:hAnsi="Calibri"/>
          <w:sz w:val="20"/>
          <w:szCs w:val="20"/>
        </w:rPr>
        <w:t xml:space="preserve">Sandbox sizing. At 75/250 symbols and 0.25%/2.5% of ADV per venue, this is a pilot, not a liquidity migration. It will not move lit volumes near-term.</w:t>
      </w:r>
    </w:p>
    <w:p>
      <w:pPr>
        <w:spacing w:after="120" w:line="264"/>
      </w:pPr>
      <w:r>
        <w:rPr>
          <w:rFonts w:ascii="Calibri" w:cs="Calibri" w:eastAsia="Calibri" w:hAnsi="Calibri"/>
          <w:sz w:val="20"/>
          <w:szCs w:val="20"/>
        </w:rPr>
        <w:t xml:space="preserve">No primary issuance. Secondary trading only. Not a capital-formation or onchain-IPO tool yet. The near-term story is liquidity, not issuance.</w:t>
      </w:r>
    </w:p>
    <w:p>
      <w:pPr>
        <w:spacing w:after="120" w:line="264"/>
      </w:pPr>
      <w:r>
        <w:rPr>
          <w:rFonts w:ascii="Calibri" w:cs="Calibri" w:eastAsia="Calibri" w:hAnsi="Calibri"/>
          <w:sz w:val="20"/>
          <w:szCs w:val="20"/>
        </w:rPr>
        <w:t xml:space="preserve">No Investment Company Act relief. Clean tokenised ETFs and funds remain unresolved. Synthetics, rights, and warrants are out, so the current crop of EU-style synthetic stock tokens does not fit.</w:t>
      </w:r>
    </w:p>
    <w:p>
      <w:pPr>
        <w:pStyle w:val="Heading2"/>
        <w:spacing w:after="100" w:before="240"/>
      </w:pPr>
      <w:r>
        <w:rPr>
          <w:rFonts w:ascii="Calibri" w:cs="Calibri" w:eastAsia="Calibri" w:hAnsi="Calibri"/>
          <w:b/>
          <w:bCs/>
          <w:color w:val="1F3864"/>
          <w:sz w:val="22"/>
          <w:szCs w:val="22"/>
        </w:rPr>
        <w:t xml:space="preserve">Regulatory and political context</w:t>
      </w:r>
    </w:p>
    <w:p>
      <w:pPr>
        <w:spacing w:after="120" w:line="264"/>
      </w:pPr>
      <w:r>
        <w:rPr>
          <w:rFonts w:ascii="Calibri" w:cs="Calibri" w:eastAsia="Calibri" w:hAnsi="Calibri"/>
          <w:sz w:val="20"/>
          <w:szCs w:val="20"/>
        </w:rPr>
        <w:t xml:space="preserve">The order lands two days after the Senate failed to advance the Clarity Act. The SEC is moving by exemption because legislation stalled. Officials frame it as a way station to rulemaking, or to a law. The five-year sunset and the open comment period are the tell - this is deliberately provisional. A different Commission could narrow or drop it.</w:t>
      </w:r>
    </w:p>
    <w:p>
      <w:pPr>
        <w:pStyle w:val="Heading2"/>
        <w:spacing w:after="100" w:before="240"/>
      </w:pPr>
      <w:r>
        <w:rPr>
          <w:rFonts w:ascii="Calibri" w:cs="Calibri" w:eastAsia="Calibri" w:hAnsi="Calibri"/>
          <w:b/>
          <w:bCs/>
          <w:color w:val="1F3864"/>
          <w:sz w:val="22"/>
          <w:szCs w:val="22"/>
        </w:rPr>
        <w:t xml:space="preserve">What to watch</w:t>
      </w:r>
    </w:p>
    <w:p>
      <w:pPr>
        <w:spacing w:after="120" w:line="264"/>
      </w:pPr>
      <w:r>
        <w:rPr>
          <w:rFonts w:ascii="Calibri" w:cs="Calibri" w:eastAsia="Calibri" w:hAnsi="Calibri"/>
          <w:sz w:val="20"/>
          <w:szCs w:val="20"/>
        </w:rPr>
        <w:t xml:space="preserve">First filers. Entry is notice-based - a venue gives 30 days' public notice, then notifies the SEC. Watch Coinbase, Kraken, and tokenisation specialists (eg. Ondo, Securitize, Superstate) for the first TSV notices.</w:t>
      </w:r>
    </w:p>
    <w:p>
      <w:pPr>
        <w:spacing w:after="120" w:line="264"/>
      </w:pPr>
      <w:r>
        <w:rPr>
          <w:rFonts w:ascii="Calibri" w:cs="Calibri" w:eastAsia="Calibri" w:hAnsi="Calibri"/>
          <w:sz w:val="20"/>
          <w:szCs w:val="20"/>
        </w:rPr>
        <w:t xml:space="preserve">Issuer reactions. Which boards object to third-party tokenisation, and which lean in with issuer-sponsored tokens.</w:t>
      </w:r>
    </w:p>
    <w:p>
      <w:pPr>
        <w:spacing w:after="120" w:line="264"/>
      </w:pPr>
      <w:r>
        <w:rPr>
          <w:rFonts w:ascii="Calibri" w:cs="Calibri" w:eastAsia="Calibri" w:hAnsi="Calibri"/>
          <w:sz w:val="20"/>
          <w:szCs w:val="20"/>
        </w:rPr>
        <w:t xml:space="preserve">The comment file and any move toward rulemaking. That decides whether the caps loosen and the lane widens.</w:t>
      </w:r>
    </w:p>
    <w:p>
      <w:pPr>
        <w:pStyle w:val="Heading2"/>
        <w:spacing w:after="100" w:before="240"/>
      </w:pPr>
      <w:r>
        <w:rPr>
          <w:rFonts w:ascii="Calibri" w:cs="Calibri" w:eastAsia="Calibri" w:hAnsi="Calibri"/>
          <w:b/>
          <w:bCs/>
          <w:color w:val="1F3864"/>
          <w:sz w:val="22"/>
          <w:szCs w:val="22"/>
        </w:rPr>
        <w:t xml:space="preserve">Bottom line</w:t>
      </w:r>
    </w:p>
    <w:p>
      <w:pPr>
        <w:spacing w:after="120" w:line="264"/>
      </w:pPr>
      <w:r>
        <w:rPr>
          <w:rFonts w:ascii="Calibri" w:cs="Calibri" w:eastAsia="Calibri" w:hAnsi="Calibri"/>
          <w:sz w:val="20"/>
          <w:szCs w:val="20"/>
        </w:rPr>
        <w:t xml:space="preserve">Small today, structural tomorrow. At these caps the order does not threaten lit-market economics. It does establish that US equities can trade onchain with full shareholder rights, a US-person venue, and issuer consent. That favours the full-rights, regulated models - Coinbase over synthetic wrappers - and creates real settlement-asset demand for stablecoins. The optionality sits in what the five-year window and the rulemaking become.</w:t>
      </w:r>
    </w:p>
    <w:p>
      <w:pPr>
        <w:pBdr>
          <w:top w:val="single" w:color="BFBFBF" w:sz="6" w:space="6"/>
        </w:pBdr>
        <w:spacing w:after="0" w:before="240"/>
      </w:pPr>
      <w:r>
        <w:rPr>
          <w:rFonts w:ascii="Calibri" w:cs="Calibri" w:eastAsia="Calibri" w:hAnsi="Calibri"/>
          <w:b/>
          <w:bCs/>
          <w:color w:val="595959"/>
          <w:sz w:val="16"/>
          <w:szCs w:val="16"/>
        </w:rPr>
        <w:t xml:space="preserve">Sources</w:t>
      </w:r>
    </w:p>
    <w:p>
      <w:pPr>
        <w:spacing w:after="0" w:line="240"/>
      </w:pPr>
      <w:r>
        <w:rPr>
          <w:rFonts w:ascii="Calibri" w:cs="Calibri" w:eastAsia="Calibri" w:hAnsi="Calibri"/>
          <w:color w:val="595959"/>
          <w:sz w:val="15"/>
          <w:szCs w:val="15"/>
        </w:rPr>
        <w:t xml:space="preserve">Primary: SEC Release No. 34-106402, File No. 4-927 (Sept 17, 2026) - all figures, definitions, and conditions (NMS/LULD tiers, caps, issuer notice, rights test, dealer relief). Company reads and network-positioning (Coinbase, Robinhood, Circle, Ethereum/Base, Solana) are Bernstein analysis drawn from Sept 2026 disclosures and reporting; the order names no companies or chains. Stock-level views are estimates.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Bernstein</dc:creator>
  <cp:lastModifiedBy>Un-named</cp:lastModifiedBy>
  <cp:revision>1</cp:revision>
  <dcterms:created xsi:type="dcterms:W3CDTF">2026-09-18T02:39:51.249Z</dcterms:created>
  <dcterms:modified xsi:type="dcterms:W3CDTF">2026-09-18T02:39:51.256Z</dcterms:modified>
</cp:coreProperties>
</file>

<file path=docProps/custom.xml><?xml version="1.0" encoding="utf-8"?>
<Properties xmlns="http://schemas.openxmlformats.org/officeDocument/2006/custom-properties" xmlns:vt="http://schemas.openxmlformats.org/officeDocument/2006/docPropsVTypes"/>
</file>