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1F1F"/>
          <w:sz w:val="34"/>
          <w:szCs w:val="34"/>
        </w:rPr>
        <w:t xml:space="preserve">Equity Tokenization Primer</w:t>
      </w:r>
    </w:p>
    <w:p>
      <w:pPr>
        <w:pBdr>
          <w:bottom w:val="single" w:color="1F3864" w:sz="12" w:space="6"/>
        </w:pBdr>
        <w:spacing w:after="300"/>
      </w:pPr>
      <w:r>
        <w:rPr>
          <w:rFonts w:ascii="Calibri" w:cs="Calibri" w:eastAsia="Calibri" w:hAnsi="Calibri"/>
          <w:i/>
          <w:iCs/>
          <w:color w:val="595959"/>
          <w:sz w:val="22"/>
          <w:szCs w:val="22"/>
        </w:rPr>
        <w:t xml:space="preserve">Operating models, regulatory developments and the innovation exemption</w:t>
      </w:r>
    </w:p>
    <w:p>
      <w:pPr>
        <w:pBdr>
          <w:bottom w:val="single" w:color="BFBFBF" w:sz="6" w:space="4"/>
        </w:pBdr>
        <w:spacing w:after="140" w:before="360"/>
      </w:pPr>
      <w:r>
        <w:rPr>
          <w:rFonts w:ascii="Calibri" w:cs="Calibri" w:eastAsia="Calibri" w:hAnsi="Calibri"/>
          <w:b/>
          <w:bCs/>
          <w:color w:val="2E74B5"/>
          <w:spacing w:val="12"/>
          <w:sz w:val="26"/>
          <w:szCs w:val="26"/>
        </w:rPr>
        <w:t xml:space="preserve">EQUITY TOKENIZATION - OPERATING MODELS</w:t>
      </w:r>
    </w:p>
    <w:p>
      <w:pPr>
        <w:spacing w:after="160" w:before="60"/>
      </w:pPr>
      <w:r>
        <w:rPr>
          <w:rFonts w:ascii="Calibri" w:cs="Calibri" w:eastAsia="Calibri" w:hAnsi="Calibri"/>
          <w:b/>
          <w:bCs/>
          <w:color w:val="1F1F1F"/>
          <w:sz w:val="22"/>
          <w:szCs w:val="22"/>
        </w:rPr>
        <w:t xml:space="preserve">Equity tokenization is not a single structure, and the differences between approaches are legal rather than technical</w:t>
      </w:r>
    </w:p>
    <w:p>
      <w:pPr>
        <w:spacing w:after="160"/>
        <w:jc w:val="both"/>
      </w:pPr>
      <w:r>
        <w:rPr>
          <w:rFonts w:ascii="Calibri" w:cs="Calibri" w:eastAsia="Calibri" w:hAnsi="Calibri"/>
          <w:color w:val="1F1F1F"/>
          <w:sz w:val="21"/>
          <w:szCs w:val="21"/>
        </w:rPr>
        <w:t xml:space="preserve">Platforms put shares onchain in different ways, and the differences between them are legal rather than technical. The distinction that matters is where the official record of ownership sits and what the tokenholder actually owns. In some models the token is the share itself and the blockchain acts as the company's registry. In others the token is a claim issued against shares custodied by someone else, and the issuing company's shareholder registry does not change at all. The SEC clarified in January 2026 that the format in which a security is issued does not affect the application of federal securities laws, hence regulatory treatment follows from what the instrument is and not from the fact that it sits onchain. Economic exposure is broadly similar across models. Legal rights, treatment in insolvency, and the ability of platforms to build regulated services around the token (like lending, margining etc.) are not.</w:t>
      </w:r>
    </w:p>
    <w:p>
      <w:pPr>
        <w:spacing w:after="120" w:before="200"/>
        <w:ind w:left="360"/>
      </w:pPr>
      <w:r>
        <w:rPr>
          <w:rFonts w:ascii="Calibri" w:cs="Calibri" w:eastAsia="Calibri" w:hAnsi="Calibri"/>
          <w:b/>
          <w:bCs/>
          <w:color w:val="1F3864"/>
          <w:sz w:val="21"/>
          <w:szCs w:val="21"/>
        </w:rPr>
        <w:t xml:space="preserve">Framework: distinguishing between the models</w:t>
      </w:r>
    </w:p>
    <w:p>
      <w:pPr>
        <w:spacing w:after="160"/>
        <w:ind w:left="360"/>
        <w:jc w:val="both"/>
      </w:pPr>
      <w:r>
        <w:rPr>
          <w:rFonts w:ascii="Calibri" w:cs="Calibri" w:eastAsia="Calibri" w:hAnsi="Calibri"/>
          <w:color w:val="1F1F1F"/>
          <w:sz w:val="21"/>
          <w:szCs w:val="21"/>
        </w:rPr>
        <w:t xml:space="preserve">Two questions separate the models. First, does a transfer of the token update the issuing company's master securityholder file? If yes, the tokenholder is a registered shareholder and the blockchain is operating as the official registry. This is issuer-led tokenization, and it is the only model where the company's cap table moves when the token moves. If no, the cap table is unaffected by onchain activity and the token sits on top of a share held elsewhere.</w:t>
      </w:r>
    </w:p>
    <w:p>
      <w:pPr>
        <w:spacing w:after="160"/>
        <w:ind w:left="360"/>
        <w:jc w:val="both"/>
      </w:pPr>
      <w:r>
        <w:rPr>
          <w:rFonts w:ascii="Calibri" w:cs="Calibri" w:eastAsia="Calibri" w:hAnsi="Calibri"/>
          <w:color w:val="1F1F1F"/>
          <w:sz w:val="21"/>
          <w:szCs w:val="21"/>
        </w:rPr>
        <w:t xml:space="preserve">Second, where the registry does not change, what does the holder hold instead? The token may be the same security as the listed share, carrying the same CUSIP and ticker, with the depository continuing to hold the underlying and settle the trade. It may be a security entitlement against a third party that custodies real shares. Or it may be the third party's own security, typically a note or swap that tracks the share price and carries no rights from the issuing company. These outcomes rank in order of protection: registered shareholder, then the same security settled conventionally, then a claim on a custodian, then a claim on a wrapper issuer.</w:t>
      </w:r>
    </w:p>
    <w:p>
      <w:pPr>
        <w:spacing w:after="160"/>
        <w:jc w:val="both"/>
      </w:pPr>
      <w:r>
        <w:rPr>
          <w:rFonts w:ascii="Calibri" w:cs="Calibri" w:eastAsia="Calibri" w:hAnsi="Calibri"/>
          <w:b/>
          <w:bCs/>
          <w:color w:val="1F1F1F"/>
          <w:sz w:val="21"/>
          <w:szCs w:val="21"/>
        </w:rPr>
        <w:t xml:space="preserve">(iii) Depository-led tokenization (settlement form election): </w:t>
      </w:r>
      <w:r>
        <w:rPr>
          <w:rFonts w:ascii="Calibri" w:cs="Calibri" w:eastAsia="Calibri" w:hAnsi="Calibri"/>
          <w:color w:val="1F1F1F"/>
          <w:sz w:val="21"/>
          <w:szCs w:val="21"/>
        </w:rPr>
        <w:t xml:space="preserve">In this model neither the issuing company nor a third party creates a new instrument. The central securities depository tokenizes shares it already custodies, so the tokenized share is fungible with, carries the same CUSIP and ticker as, and affords the same rights as the conventional share. The blockchain acts only as an alternative settlement rail while ownership continues to be recorded through the existing depository and broker chain. The SEC granted DTC a no-action letter in December 2025 to tokenize DTC-custodied assets (Russell 1000 equities, major index ETFs and Treasuries) on a three year authorisation, and approved Nasdaq's rules for trading tokenized securities in March 2026, with NYSE and 24X filing mirror proposals. This is the incumbent market's approach to tokenization. It delivers onchain settlement without disturbing existing infrastructure, and hence delivers none of the registry level benefits of the issuer-led model.</w:t>
      </w:r>
    </w:p>
    <w:p>
      <w:pPr>
        <w:spacing w:after="120" w:before="200"/>
        <w:ind w:left="360"/>
      </w:pPr>
      <w:r>
        <w:rPr>
          <w:rFonts w:ascii="Calibri" w:cs="Calibri" w:eastAsia="Calibri" w:hAnsi="Calibri"/>
          <w:b/>
          <w:bCs/>
          <w:color w:val="1F3864"/>
          <w:sz w:val="21"/>
          <w:szCs w:val="21"/>
        </w:rPr>
        <w:t xml:space="preserve">Process flow: Depository-led model (eg. DTC pilot, Nasdaq, NYSE, 24X)</w:t>
      </w:r>
    </w:p>
    <w:p>
      <w:pPr>
        <w:spacing w:after="110"/>
        <w:ind w:left="1080" w:hanging="431"/>
        <w:jc w:val="both"/>
      </w:pPr>
      <w:r>
        <w:rPr>
          <w:rFonts w:ascii="Calibri" w:cs="Calibri" w:eastAsia="Calibri" w:hAnsi="Calibri"/>
          <w:color w:val="1F1F1F"/>
          <w:sz w:val="21"/>
          <w:szCs w:val="21"/>
        </w:rPr>
        <w:t xml:space="preserve">1.	</w:t>
      </w:r>
      <w:r>
        <w:rPr>
          <w:rFonts w:ascii="Calibri" w:cs="Calibri" w:eastAsia="Calibri" w:hAnsi="Calibri"/>
          <w:color w:val="1F1F1F"/>
          <w:sz w:val="21"/>
          <w:szCs w:val="21"/>
        </w:rPr>
        <w:t xml:space="preserve">The issuer takes no action and grants no authorisation. The security is already DTC eligible and the cap table is unaffected by anything that happens onchain.</w:t>
      </w:r>
    </w:p>
    <w:p>
      <w:pPr>
        <w:spacing w:after="110"/>
        <w:ind w:left="1080" w:hanging="431"/>
        <w:jc w:val="both"/>
      </w:pPr>
      <w:r>
        <w:rPr>
          <w:rFonts w:ascii="Calibri" w:cs="Calibri" w:eastAsia="Calibri" w:hAnsi="Calibri"/>
          <w:color w:val="1F1F1F"/>
          <w:sz w:val="21"/>
          <w:szCs w:val="21"/>
        </w:rPr>
        <w:t xml:space="preserve">2.	</w:t>
      </w:r>
      <w:r>
        <w:rPr>
          <w:rFonts w:ascii="Calibri" w:cs="Calibri" w:eastAsia="Calibri" w:hAnsi="Calibri"/>
          <w:color w:val="1F1F1F"/>
          <w:sz w:val="21"/>
          <w:szCs w:val="21"/>
        </w:rPr>
        <w:t xml:space="preserve">A DTC eligible participant flags a position for tokenization. DTC mints a token against the immobilised share it already holds, so no new security is created and no new CUSIP is issued.</w:t>
      </w:r>
    </w:p>
    <w:p>
      <w:pPr>
        <w:spacing w:after="110"/>
        <w:ind w:left="1080" w:hanging="431"/>
        <w:jc w:val="both"/>
      </w:pPr>
      <w:r>
        <w:rPr>
          <w:rFonts w:ascii="Calibri" w:cs="Calibri" w:eastAsia="Calibri" w:hAnsi="Calibri"/>
          <w:color w:val="1F1F1F"/>
          <w:sz w:val="21"/>
          <w:szCs w:val="21"/>
        </w:rPr>
        <w:t xml:space="preserve">3.	</w:t>
      </w:r>
      <w:r>
        <w:rPr>
          <w:rFonts w:ascii="Calibri" w:cs="Calibri" w:eastAsia="Calibri" w:hAnsi="Calibri"/>
          <w:color w:val="1F1F1F"/>
          <w:sz w:val="21"/>
          <w:szCs w:val="21"/>
        </w:rPr>
        <w:t xml:space="preserve">The tokenized share trades on the same exchange order book as the conventional share and with the same execution priority, since the two are fungible and interchangeable at any time.</w:t>
      </w:r>
    </w:p>
    <w:p>
      <w:pPr>
        <w:spacing w:after="110"/>
        <w:ind w:left="1080" w:hanging="431"/>
        <w:jc w:val="both"/>
      </w:pPr>
      <w:r>
        <w:rPr>
          <w:rFonts w:ascii="Calibri" w:cs="Calibri" w:eastAsia="Calibri" w:hAnsi="Calibri"/>
          <w:color w:val="1F1F1F"/>
          <w:sz w:val="21"/>
          <w:szCs w:val="21"/>
        </w:rPr>
        <w:t xml:space="preserve">4.	</w:t>
      </w:r>
      <w:r>
        <w:rPr>
          <w:rFonts w:ascii="Calibri" w:cs="Calibri" w:eastAsia="Calibri" w:hAnsi="Calibri"/>
          <w:color w:val="1F1F1F"/>
          <w:sz w:val="21"/>
          <w:szCs w:val="21"/>
        </w:rPr>
        <w:t xml:space="preserve">Settlement remains T+1 through DTC. Where a counterparty is not a DTC eligible participant, the trade settles in traditional form, confirming that the token is an election about settlement and not a different instrument.</w:t>
      </w:r>
    </w:p>
    <w:p>
      <w:pPr>
        <w:pBdr>
          <w:bottom w:val="single" w:color="BFBFBF" w:sz="6" w:space="4"/>
        </w:pBdr>
        <w:spacing w:after="140" w:before="360"/>
      </w:pPr>
      <w:r>
        <w:rPr>
          <w:rFonts w:ascii="Calibri" w:cs="Calibri" w:eastAsia="Calibri" w:hAnsi="Calibri"/>
          <w:b/>
          <w:bCs/>
          <w:color w:val="2E74B5"/>
          <w:spacing w:val="12"/>
          <w:sz w:val="26"/>
          <w:szCs w:val="26"/>
        </w:rPr>
        <w:t xml:space="preserve">EQUITY TOKENIZATION - REGULATORY DEVELOPMENTS</w:t>
      </w:r>
    </w:p>
    <w:p>
      <w:pPr>
        <w:spacing w:after="160" w:before="60"/>
      </w:pPr>
      <w:r>
        <w:rPr>
          <w:rFonts w:ascii="Calibri" w:cs="Calibri" w:eastAsia="Calibri" w:hAnsi="Calibri"/>
          <w:b/>
          <w:bCs/>
          <w:color w:val="1F1F1F"/>
          <w:sz w:val="22"/>
          <w:szCs w:val="22"/>
        </w:rPr>
        <w:t xml:space="preserve">Regulatory clarity has come from confirmation that existing licences reach onchain, and not from the creation of new ones</w:t>
      </w:r>
    </w:p>
    <w:p>
      <w:pPr>
        <w:spacing w:after="160"/>
        <w:jc w:val="both"/>
      </w:pPr>
      <w:r>
        <w:rPr>
          <w:rFonts w:ascii="Calibri" w:cs="Calibri" w:eastAsia="Calibri" w:hAnsi="Calibri"/>
          <w:color w:val="1F1F1F"/>
          <w:sz w:val="21"/>
          <w:szCs w:val="21"/>
        </w:rPr>
        <w:t xml:space="preserve">Through 2021-24 tokenized equity sat outside the regulatory perimeter by design. Offerings were structured offshore, distributed globally without a prospectus, and discontinued when regulators questioned them (eg. Binance stopped accepting new purchases in July 2021 after BaFin warned its stock tokens had likely been issued in breach of prospectus rules). What changed over 2025-26 was not that the SEC wrote a tokenization rulebook, but that staff confirmed the registrations already used to run US equity markets accommodate blockchain rails. Four licences do the work, and each was addressed separately.</w:t>
      </w:r>
    </w:p>
    <w:p>
      <w:pPr>
        <w:spacing w:after="160"/>
        <w:jc w:val="both"/>
      </w:pPr>
      <w:r>
        <w:rPr>
          <w:rFonts w:ascii="Calibri" w:cs="Calibri" w:eastAsia="Calibri" w:hAnsi="Calibri"/>
          <w:b/>
          <w:bCs/>
          <w:color w:val="1F1F1F"/>
          <w:sz w:val="21"/>
          <w:szCs w:val="21"/>
        </w:rPr>
        <w:t xml:space="preserve">(i) Transfer agent (Exchange Act Section 17A(c), Form TA-1): </w:t>
      </w:r>
      <w:r>
        <w:rPr>
          <w:rFonts w:ascii="Calibri" w:cs="Calibri" w:eastAsia="Calibri" w:hAnsi="Calibri"/>
          <w:color w:val="1F1F1F"/>
          <w:sz w:val="21"/>
          <w:szCs w:val="21"/>
        </w:rPr>
        <w:t xml:space="preserve">The transfer agent maintains the issuer's master securityholder file, processes transfers and administers corporate actions, hence it is the only party that can make a token the legal record of ownership rather than a claim on a custodian. In May 2025 staff confirmed that a registered transfer agent may maintain this file using distributed ledger technology, and that it need not keep a duplicate or digital twin of the file offchain, provided Rules 17Ad-6 and 17Ad-7 are satisfied. This is what converts the blockchain from a mirror of the registry into the registry itself, and it is the reason transfer agents became acquisition targets (eg. Bullish's $4.2bn acquisition of Equiniti, Computershare's partnership with Securitize).</w:t>
      </w:r>
    </w:p>
    <w:p>
      <w:pPr>
        <w:spacing w:after="160"/>
        <w:jc w:val="both"/>
      </w:pPr>
      <w:r>
        <w:rPr>
          <w:rFonts w:ascii="Calibri" w:cs="Calibri" w:eastAsia="Calibri" w:hAnsi="Calibri"/>
          <w:b/>
          <w:bCs/>
          <w:color w:val="1F1F1F"/>
          <w:sz w:val="21"/>
          <w:szCs w:val="21"/>
        </w:rPr>
        <w:t xml:space="preserve">(ii) Broker dealer (Exchange Act Section 15(b), FINRA membership): </w:t>
      </w:r>
      <w:r>
        <w:rPr>
          <w:rFonts w:ascii="Calibri" w:cs="Calibri" w:eastAsia="Calibri" w:hAnsi="Calibri"/>
          <w:color w:val="1F1F1F"/>
          <w:sz w:val="21"/>
          <w:szCs w:val="21"/>
        </w:rPr>
        <w:t xml:space="preserve">A registered broker dealer is the only party that may lawfully buy and hold the underlying shares for a customer, and its involvement converts what would be an unsecured claim on an issuing vehicle into a UCC Article 8 security entitlement against a regulated intermediary. Staff withdrew the 2019 Joint Staff Statement in May 2025 and issued a statement on the custody of crypto asset securities by broker dealers in December 2025, retiring the special purpose broker dealer regime that had made this activity uneconomic. The licence is also the gateway to secondary trading, since an ATS can only be operated by a registered broker dealer.</w:t>
      </w:r>
    </w:p>
    <w:p>
      <w:pPr>
        <w:spacing w:after="160"/>
        <w:jc w:val="both"/>
      </w:pPr>
      <w:r>
        <w:rPr>
          <w:rFonts w:ascii="Calibri" w:cs="Calibri" w:eastAsia="Calibri" w:hAnsi="Calibri"/>
          <w:b/>
          <w:bCs/>
          <w:color w:val="1F1F1F"/>
          <w:sz w:val="21"/>
          <w:szCs w:val="21"/>
        </w:rPr>
        <w:t xml:space="preserve">(iii) Custody (Rule 15c3-3, qualified custodian status): </w:t>
      </w:r>
      <w:r>
        <w:rPr>
          <w:rFonts w:ascii="Calibri" w:cs="Calibri" w:eastAsia="Calibri" w:hAnsi="Calibri"/>
          <w:color w:val="1F1F1F"/>
          <w:sz w:val="21"/>
          <w:szCs w:val="21"/>
        </w:rPr>
        <w:t xml:space="preserve">Custody determines whether the shares backing a token are segregated from the platform's balance sheet and survive its failure, which is the difference between a bankruptcy remote entitlement and a claim ranking alongside general creditors. Following the December 2025 statement, a broker dealer may hold security and non-security crypto assets alongside traditional securities in a single account, with Rule 15c3-3 applying to the securities leg. Hence the token and the shares backing it can now sit under one custodial regime rather than being split across a regulated broker and an unregulated affiliate.</w:t>
      </w:r>
    </w:p>
    <w:p>
      <w:pPr>
        <w:spacing w:after="160"/>
        <w:jc w:val="both"/>
      </w:pPr>
      <w:r>
        <w:rPr>
          <w:rFonts w:ascii="Calibri" w:cs="Calibri" w:eastAsia="Calibri" w:hAnsi="Calibri"/>
          <w:b/>
          <w:bCs/>
          <w:color w:val="1F1F1F"/>
          <w:sz w:val="21"/>
          <w:szCs w:val="21"/>
        </w:rPr>
        <w:t xml:space="preserve">(iv) ATS and exchange (Regulation ATS, Form ATS-N; Exchange Act Section 6): </w:t>
      </w:r>
      <w:r>
        <w:rPr>
          <w:rFonts w:ascii="Calibri" w:cs="Calibri" w:eastAsia="Calibri" w:hAnsi="Calibri"/>
          <w:color w:val="1F1F1F"/>
          <w:sz w:val="21"/>
          <w:szCs w:val="21"/>
        </w:rPr>
        <w:t xml:space="preserve">An ATS licence allows a venue to match orders in registered securities without registering as an exchange, and has been the default route to secondary trading in tokenized equity where no listed market exists (eg. Figure, tZERO, Securitize Markets). Exchange registration does more, since it brings the tokenized share inside the National Market System with consolidated quotes and order protection. The SEC approved Nasdaq's rules for trading tokenized securities in March 2026, requiring that a tokenized share be fungible with, carry the same CUSIP and ticker as, and afford the same rights as its conventional counterpart, and settle T+1 through DTC. NYSE and 24X have filed mirror proposals. Trading and Markets also issued a request for information in December 2025 on exchanges and ATSs trading crypto assets, which will shape venue level rules.</w:t>
      </w:r>
    </w:p>
    <w:p>
      <w:pPr>
        <w:spacing w:after="160"/>
        <w:jc w:val="both"/>
      </w:pPr>
      <w:r>
        <w:rPr>
          <w:rFonts w:ascii="Calibri" w:cs="Calibri" w:eastAsia="Calibri" w:hAnsi="Calibri"/>
          <w:color w:val="1F1F1F"/>
          <w:sz w:val="21"/>
          <w:szCs w:val="21"/>
        </w:rPr>
        <w:t xml:space="preserve">Two further actions underpin the above. The SEC granted DTC a no-action letter in December 2025 permitting tokenization of DTC custodied assets in production, which every exchange approval is conditioned on. Corp Fin's statement on tokenized securities in January 2026 then confirmed that stock remains an equity security regardless of format, that an issuer may run one conventional and one tokenized class of the same security, and set out the issuer-led, custodial and synthetic taxonomy described above.</w:t>
      </w:r>
    </w:p>
    <w:p>
      <w:pPr>
        <w:spacing w:after="160"/>
        <w:jc w:val="both"/>
      </w:pPr>
      <w:r>
        <w:rPr>
          <w:rFonts w:ascii="Calibri" w:cs="Calibri" w:eastAsia="Calibri" w:hAnsi="Calibri"/>
          <w:color w:val="1F1F1F"/>
          <w:sz w:val="21"/>
          <w:szCs w:val="21"/>
        </w:rPr>
        <w:t xml:space="preserve">Net, tokenized equity that is fungible with its DTC settled counterpart and intermediated by registered entities is permitted and operational today. The higher value case, which is 24x7 trading and onchain native issuance, remains dependent on relief that has not yet been granted.</w:t>
      </w:r>
    </w:p>
    <w:p>
      <w:pPr>
        <w:pBdr>
          <w:bottom w:val="single" w:color="BFBFBF" w:sz="6" w:space="4"/>
        </w:pBdr>
        <w:spacing w:after="140" w:before="360"/>
      </w:pPr>
      <w:r>
        <w:rPr>
          <w:rFonts w:ascii="Calibri" w:cs="Calibri" w:eastAsia="Calibri" w:hAnsi="Calibri"/>
          <w:b/>
          <w:bCs/>
          <w:color w:val="2E74B5"/>
          <w:spacing w:val="12"/>
          <w:sz w:val="26"/>
          <w:szCs w:val="26"/>
        </w:rPr>
        <w:t xml:space="preserve">EQUITY TOKENIZATION - THE INNOVATION EXEMPTION</w:t>
      </w:r>
    </w:p>
    <w:p>
      <w:pPr>
        <w:spacing w:after="160" w:before="60"/>
      </w:pPr>
      <w:r>
        <w:rPr>
          <w:rFonts w:ascii="Calibri" w:cs="Calibri" w:eastAsia="Calibri" w:hAnsi="Calibri"/>
          <w:b/>
          <w:bCs/>
          <w:color w:val="1F1F1F"/>
          <w:sz w:val="22"/>
          <w:szCs w:val="22"/>
        </w:rPr>
        <w:t xml:space="preserve">The relief that would unlock the higher value case has been deferred twice and may await the CLARITY Act</w:t>
      </w:r>
    </w:p>
    <w:p>
      <w:pPr>
        <w:spacing w:after="160"/>
        <w:jc w:val="both"/>
      </w:pPr>
      <w:r>
        <w:rPr>
          <w:rFonts w:ascii="Calibri" w:cs="Calibri" w:eastAsia="Calibri" w:hAnsi="Calibri"/>
          <w:color w:val="1F1F1F"/>
          <w:sz w:val="21"/>
          <w:szCs w:val="21"/>
        </w:rPr>
        <w:t xml:space="preserve">The relief the market is waiting on is the tokenization innovation exemption. Its terms have not been published, hence what follows is what the relief is understood to be directed at rather than a description of a rule. It would permit firms to issue and trade tokenized securities on blockchain rails under existing securities laws without the issuer controlling the underlying, through conditional and time limited exemptive relief rather than a full rulemaking. The significance lies in what current permissions do not cover, since everything approved to date requires a tokenized share to be fungible with its conventional counterpart and settle T+1 through DTC, which works precisely because it changes nothing. The exemption is what would allow a tokenized share that is not a twin of a DTC settled share, and with it 24x7 trading, atomic settlement, onchain venues handling registered equity, and a US route for the custodial and synthetic structures distributed only offshore today (eg. Coinbase B20, Robinhood Stock Tokens). It has been deferred twice. SIFMA has argued that changes of this magnitude belong in notice and comment rulemaking and that decentralised venues and automated market makers cannot demonstrate Reg NMS compliance or best execution, the White House has signalled concern about pre-empting the Digital Asset Market Clarity Act, and staff have raised questions on statutory authority and economic analysis, hence the effort may need to await the outcome of the CLARITY Act. The read for investors is that platforms whose tokenized equity business sits offshore have the most to gain, while those already operating inside the perimeter through a registered transfer agent and ATS (eg. Figure, Bullish) benefit least, since their model already works under existing rules.</w:t>
      </w:r>
    </w:p>
    <w:p>
      <w:pPr>
        <w:spacing w:before="240"/>
      </w:pPr>
      <w:r>
        <w:rPr>
          <w:rFonts w:ascii="Calibri" w:cs="Calibri" w:eastAsia="Calibri" w:hAnsi="Calibri"/>
          <w:i/>
          <w:iCs/>
          <w:color w:val="808080"/>
          <w:sz w:val="18"/>
          <w:szCs w:val="18"/>
        </w:rPr>
        <w:t xml:space="preserve">Source: SEC and CFTC filings, DTCC, company disclosure, Bernstein analysis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2026-09-09T06:34:32.902Z</dcterms:created>
  <dcterms:modified xsi:type="dcterms:W3CDTF">2026-09-09T06:34:32.921Z</dcterms:modified>
</cp:coreProperties>
</file>

<file path=docProps/custom.xml><?xml version="1.0" encoding="utf-8"?>
<Properties xmlns="http://schemas.openxmlformats.org/officeDocument/2006/custom-properties" xmlns:vt="http://schemas.openxmlformats.org/officeDocument/2006/docPropsVTypes"/>
</file>