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6EED44">
      <w:pPr>
        <w:rPr>
          <w:rFonts w:hint="eastAsia" w:ascii="楷体_GB2312" w:hAnsi="楷体_GB2312" w:eastAsia="楷体_GB2312" w:cs="楷体_GB2312"/>
          <w:sz w:val="32"/>
          <w:szCs w:val="40"/>
        </w:rPr>
      </w:pPr>
    </w:p>
    <w:p w14:paraId="05E5EC82">
      <w:pPr>
        <w:rPr>
          <w:rFonts w:hint="eastAsia" w:ascii="楷体_GB2312" w:hAnsi="楷体_GB2312" w:eastAsia="楷体_GB2312" w:cs="楷体_GB2312"/>
          <w:sz w:val="32"/>
          <w:szCs w:val="40"/>
        </w:rPr>
      </w:pPr>
      <w:r>
        <w:rPr>
          <w:rFonts w:hint="eastAsia" w:ascii="楷体_GB2312" w:hAnsi="楷体_GB2312" w:eastAsia="楷体_GB2312" w:cs="楷体_GB2312"/>
          <w:sz w:val="32"/>
          <w:szCs w:val="40"/>
          <w:lang w:val="en-US" w:eastAsia="zh-CN"/>
        </w:rPr>
        <w:t>一、</w:t>
      </w:r>
      <w:r>
        <w:rPr>
          <w:rFonts w:hint="eastAsia" w:ascii="楷体_GB2312" w:hAnsi="楷体_GB2312" w:eastAsia="楷体_GB2312" w:cs="楷体_GB2312"/>
          <w:sz w:val="32"/>
          <w:szCs w:val="40"/>
        </w:rPr>
        <w:t xml:space="preserve">美国工业软件的底层技术积累（如算法、求解器、几何内核）与复杂场景应用能力远领先于中国，具体体现为：  </w:t>
      </w:r>
    </w:p>
    <w:p w14:paraId="1774F8A6">
      <w:pPr>
        <w:rPr>
          <w:rFonts w:hint="eastAsia" w:ascii="楷体_GB2312" w:hAnsi="楷体_GB2312" w:eastAsia="楷体_GB2312" w:cs="楷体_GB2312"/>
          <w:sz w:val="32"/>
          <w:szCs w:val="40"/>
        </w:rPr>
      </w:pPr>
      <w:r>
        <w:rPr>
          <w:rFonts w:hint="eastAsia" w:ascii="楷体_GB2312" w:hAnsi="楷体_GB2312" w:eastAsia="楷体_GB2312" w:cs="楷体_GB2312"/>
          <w:sz w:val="32"/>
          <w:szCs w:val="40"/>
        </w:rPr>
        <w:t xml:space="preserve">1. 底层算法与核心引擎：  </w:t>
      </w:r>
    </w:p>
    <w:p w14:paraId="6F4600D3">
      <w:pPr>
        <w:rPr>
          <w:rFonts w:hint="eastAsia" w:ascii="楷体_GB2312" w:hAnsi="楷体_GB2312" w:eastAsia="楷体_GB2312" w:cs="楷体_GB2312"/>
          <w:sz w:val="32"/>
          <w:szCs w:val="40"/>
        </w:rPr>
      </w:pPr>
      <w:r>
        <w:rPr>
          <w:rFonts w:hint="eastAsia" w:ascii="楷体_GB2312" w:hAnsi="楷体_GB2312" w:eastAsia="楷体_GB2312" w:cs="楷体_GB2312"/>
          <w:sz w:val="32"/>
          <w:szCs w:val="40"/>
        </w:rPr>
        <w:t xml:space="preserve">   美国企业在多物理场耦合仿真、高精度数值计算、AI融合等核心技术领域形成壁垒。例如，Ansys的Fluent软件在流体力学仿真中的精度与速度领先全球；新思科技的EDA工具在芯片设计中的算法优化能力无人能及。中国企业在这些领域的突破多为“点状”（如GalaxyEDS 5.0的多效应耦合仿真），尚未形成完整的底层技术体系。</w:t>
      </w:r>
    </w:p>
    <w:p w14:paraId="2F0F0900">
      <w:pPr>
        <w:rPr>
          <w:rFonts w:hint="eastAsia" w:ascii="楷体_GB2312" w:hAnsi="楷体_GB2312" w:eastAsia="楷体_GB2312" w:cs="楷体_GB2312"/>
          <w:sz w:val="32"/>
          <w:szCs w:val="40"/>
        </w:rPr>
      </w:pPr>
      <w:r>
        <w:rPr>
          <w:rFonts w:hint="eastAsia" w:ascii="楷体_GB2312" w:hAnsi="楷体_GB2312" w:eastAsia="楷体_GB2312" w:cs="楷体_GB2312"/>
          <w:sz w:val="32"/>
          <w:szCs w:val="40"/>
        </w:rPr>
        <w:t xml:space="preserve">2. 复杂场景应用能力：  </w:t>
      </w:r>
    </w:p>
    <w:p w14:paraId="24FEAF2B">
      <w:pPr>
        <w:rPr>
          <w:rFonts w:hint="eastAsia" w:ascii="楷体_GB2312" w:hAnsi="楷体_GB2312" w:eastAsia="楷体_GB2312" w:cs="楷体_GB2312"/>
          <w:sz w:val="32"/>
          <w:szCs w:val="40"/>
        </w:rPr>
      </w:pPr>
      <w:r>
        <w:rPr>
          <w:rFonts w:hint="eastAsia" w:ascii="楷体_GB2312" w:hAnsi="楷体_GB2312" w:eastAsia="楷体_GB2312" w:cs="楷体_GB2312"/>
          <w:sz w:val="32"/>
          <w:szCs w:val="40"/>
        </w:rPr>
        <w:t xml:space="preserve">   美国工业软件能应对极端复杂场景（如航空航天装备的抗冲击仿真、半导体芯片的高精度设计），而中国产品多局限于中低端、单一物理场场景（如普通机械零件的结构分析）。例如，GalaxyEDS 5.0虽在多效应耦合仿真上达到国际领先，但尚未实现对美国Ansys Fluent的全面替代。</w:t>
      </w:r>
    </w:p>
    <w:p w14:paraId="520F658E">
      <w:pPr>
        <w:rPr>
          <w:rFonts w:hint="eastAsia" w:ascii="楷体_GB2312" w:hAnsi="楷体_GB2312" w:eastAsia="楷体_GB2312" w:cs="楷体_GB2312"/>
          <w:sz w:val="32"/>
          <w:szCs w:val="40"/>
        </w:rPr>
      </w:pPr>
      <w:r>
        <w:rPr>
          <w:rFonts w:hint="eastAsia" w:ascii="楷体_GB2312" w:hAnsi="楷体_GB2312" w:eastAsia="楷体_GB2312" w:cs="楷体_GB2312"/>
          <w:sz w:val="32"/>
          <w:szCs w:val="40"/>
        </w:rPr>
        <w:t xml:space="preserve">3. AI与工业软件融合：  </w:t>
      </w:r>
    </w:p>
    <w:p w14:paraId="2A978C98">
      <w:pPr>
        <w:rPr>
          <w:rFonts w:hint="eastAsia" w:ascii="楷体_GB2312" w:hAnsi="楷体_GB2312" w:eastAsia="楷体_GB2312" w:cs="楷体_GB2312"/>
          <w:sz w:val="32"/>
          <w:szCs w:val="40"/>
        </w:rPr>
      </w:pPr>
      <w:r>
        <w:rPr>
          <w:rFonts w:hint="eastAsia" w:ascii="楷体_GB2312" w:hAnsi="楷体_GB2312" w:eastAsia="楷体_GB2312" w:cs="楷体_GB2312"/>
          <w:sz w:val="32"/>
          <w:szCs w:val="40"/>
        </w:rPr>
        <w:t xml:space="preserve">   美国企业已将AI深度融入工业软件（如西门子的Generative Design、PTC的Creo AI），实现“设计—仿真—优化”的闭环。中国企业的AI应用多停留在“辅助分析”层面，尚未形成“AI驱动设计”的核心能力。</w:t>
      </w:r>
    </w:p>
    <w:p w14:paraId="0E94425B">
      <w:pPr>
        <w:rPr>
          <w:rFonts w:hint="eastAsia" w:ascii="楷体_GB2312" w:hAnsi="楷体_GB2312" w:eastAsia="楷体_GB2312" w:cs="楷体_GB2312"/>
          <w:sz w:val="32"/>
          <w:szCs w:val="40"/>
        </w:rPr>
      </w:pPr>
    </w:p>
    <w:p w14:paraId="7AB21CC3">
      <w:pPr>
        <w:rPr>
          <w:rFonts w:hint="eastAsia" w:ascii="楷体_GB2312" w:hAnsi="楷体_GB2312" w:eastAsia="楷体_GB2312" w:cs="楷体_GB2312"/>
          <w:sz w:val="32"/>
          <w:szCs w:val="40"/>
        </w:rPr>
      </w:pPr>
      <w:r>
        <w:rPr>
          <w:rFonts w:hint="eastAsia" w:ascii="楷体_GB2312" w:hAnsi="楷体_GB2312" w:eastAsia="楷体_GB2312" w:cs="楷体_GB2312"/>
          <w:sz w:val="32"/>
          <w:szCs w:val="40"/>
          <w:lang w:val="en-US" w:eastAsia="zh-CN"/>
        </w:rPr>
        <w:t>二、</w:t>
      </w:r>
      <w:r>
        <w:rPr>
          <w:rFonts w:hint="eastAsia" w:ascii="楷体_GB2312" w:hAnsi="楷体_GB2312" w:eastAsia="楷体_GB2312" w:cs="楷体_GB2312"/>
          <w:sz w:val="32"/>
          <w:szCs w:val="40"/>
        </w:rPr>
        <w:t>产业生态：美国形成“产学研用”闭环，中国生态薄弱</w:t>
      </w:r>
    </w:p>
    <w:p w14:paraId="501901D0">
      <w:pPr>
        <w:ind w:firstLine="640" w:firstLineChars="200"/>
        <w:rPr>
          <w:rFonts w:hint="eastAsia" w:ascii="楷体_GB2312" w:hAnsi="楷体_GB2312" w:eastAsia="楷体_GB2312" w:cs="楷体_GB2312"/>
          <w:sz w:val="32"/>
          <w:szCs w:val="40"/>
        </w:rPr>
      </w:pPr>
      <w:r>
        <w:rPr>
          <w:rFonts w:hint="eastAsia" w:ascii="楷体_GB2312" w:hAnsi="楷体_GB2312" w:eastAsia="楷体_GB2312" w:cs="楷体_GB2312"/>
          <w:sz w:val="32"/>
          <w:szCs w:val="40"/>
        </w:rPr>
        <w:t xml:space="preserve">美国工业软件的产业生态（包括用户习惯、数据积累、标准制定、人才培养）已非常成熟，形成“研发—应用—反馈—迭代”的良性循环：  </w:t>
      </w:r>
    </w:p>
    <w:p w14:paraId="3591D448">
      <w:pPr>
        <w:numPr>
          <w:ilvl w:val="0"/>
          <w:numId w:val="1"/>
        </w:numPr>
        <w:rPr>
          <w:rFonts w:hint="eastAsia" w:ascii="楷体_GB2312" w:hAnsi="楷体_GB2312" w:eastAsia="楷体_GB2312" w:cs="楷体_GB2312"/>
          <w:sz w:val="32"/>
          <w:szCs w:val="40"/>
        </w:rPr>
      </w:pPr>
      <w:r>
        <w:rPr>
          <w:rFonts w:hint="eastAsia" w:ascii="楷体_GB2312" w:hAnsi="楷体_GB2312" w:eastAsia="楷体_GB2312" w:cs="楷体_GB2312"/>
          <w:sz w:val="32"/>
          <w:szCs w:val="40"/>
        </w:rPr>
        <w:t xml:space="preserve">用户习惯与数据积累：美国企业（如波音、通用汽车）长期使用自有工业软件，积累了海量的工程数据与行业知识，这些数据反哺软件优化，形成“数据—算法—产品”的正向循环。  </w:t>
      </w:r>
    </w:p>
    <w:p w14:paraId="107E80B1">
      <w:pPr>
        <w:numPr>
          <w:ilvl w:val="0"/>
          <w:numId w:val="1"/>
        </w:numPr>
        <w:ind w:left="0" w:leftChars="0" w:firstLine="0" w:firstLineChars="0"/>
        <w:rPr>
          <w:rFonts w:hint="eastAsia" w:ascii="楷体_GB2312" w:hAnsi="楷体_GB2312" w:eastAsia="楷体_GB2312" w:cs="楷体_GB2312"/>
          <w:sz w:val="32"/>
          <w:szCs w:val="40"/>
        </w:rPr>
      </w:pPr>
      <w:r>
        <w:rPr>
          <w:rFonts w:hint="eastAsia" w:ascii="楷体_GB2312" w:hAnsi="楷体_GB2312" w:eastAsia="楷体_GB2312" w:cs="楷体_GB2312"/>
          <w:sz w:val="32"/>
          <w:szCs w:val="40"/>
        </w:rPr>
        <w:t xml:space="preserve">标准制定：美国企业主导了工业软件的国际标准（如ISO的CAD数据交换标准、IEEE的EDA设计标准），中国企业需遵循这些标准，难以形成自身的技术壁垒。  </w:t>
      </w:r>
    </w:p>
    <w:p w14:paraId="7665CD2F">
      <w:pPr>
        <w:numPr>
          <w:ilvl w:val="0"/>
          <w:numId w:val="1"/>
        </w:numPr>
        <w:ind w:left="0" w:leftChars="0" w:firstLine="0" w:firstLineChars="0"/>
        <w:rPr>
          <w:rFonts w:hint="eastAsia" w:ascii="楷体_GB2312" w:hAnsi="楷体_GB2312" w:eastAsia="楷体_GB2312" w:cs="楷体_GB2312"/>
          <w:sz w:val="32"/>
          <w:szCs w:val="40"/>
        </w:rPr>
      </w:pPr>
      <w:r>
        <w:rPr>
          <w:rFonts w:hint="eastAsia" w:ascii="楷体_GB2312" w:hAnsi="楷体_GB2312" w:eastAsia="楷体_GB2312" w:cs="楷体_GB2312"/>
          <w:sz w:val="32"/>
          <w:szCs w:val="40"/>
        </w:rPr>
        <w:t xml:space="preserve">人才培养：美国拥有完善的工业软件人才培养体系（如MIT的“计算科学与工程”专业、斯坦福的“工业工程”专业），培养了大量“懂工程、懂软件”的复合型人才。  </w:t>
      </w:r>
    </w:p>
    <w:p w14:paraId="1E4E0C39">
      <w:pPr>
        <w:ind w:firstLine="640" w:firstLineChars="200"/>
        <w:rPr>
          <w:rFonts w:hint="eastAsia" w:ascii="楷体_GB2312" w:hAnsi="楷体_GB2312" w:eastAsia="楷体_GB2312" w:cs="楷体_GB2312"/>
          <w:sz w:val="32"/>
          <w:szCs w:val="40"/>
        </w:rPr>
      </w:pPr>
      <w:r>
        <w:rPr>
          <w:rFonts w:hint="eastAsia" w:ascii="楷体_GB2312" w:hAnsi="楷体_GB2312" w:eastAsia="楷体_GB2312" w:cs="楷体_GB2312"/>
          <w:sz w:val="32"/>
          <w:szCs w:val="40"/>
        </w:rPr>
        <w:t xml:space="preserve">相比之下，中国的产业生态碎片化严重：  </w:t>
      </w:r>
    </w:p>
    <w:p w14:paraId="262B5D28">
      <w:pPr>
        <w:numPr>
          <w:ilvl w:val="0"/>
          <w:numId w:val="2"/>
        </w:numPr>
        <w:rPr>
          <w:rFonts w:hint="eastAsia" w:ascii="楷体_GB2312" w:hAnsi="楷体_GB2312" w:eastAsia="楷体_GB2312" w:cs="楷体_GB2312"/>
          <w:sz w:val="32"/>
          <w:szCs w:val="40"/>
        </w:rPr>
      </w:pPr>
      <w:r>
        <w:rPr>
          <w:rFonts w:hint="eastAsia" w:ascii="楷体_GB2312" w:hAnsi="楷体_GB2312" w:eastAsia="楷体_GB2312" w:cs="楷体_GB2312"/>
          <w:sz w:val="32"/>
          <w:szCs w:val="40"/>
        </w:rPr>
        <w:t xml:space="preserve">用户习惯：国内企业（尤其是中小企业）仍偏好使用美国软件（如AutoCAD、Ansys），对国产软件的信任度低；  </w:t>
      </w:r>
    </w:p>
    <w:p w14:paraId="4C26B343">
      <w:pPr>
        <w:numPr>
          <w:ilvl w:val="0"/>
          <w:numId w:val="2"/>
        </w:numPr>
        <w:ind w:left="0" w:leftChars="0" w:firstLine="0" w:firstLineChars="0"/>
        <w:rPr>
          <w:rFonts w:hint="eastAsia" w:ascii="楷体_GB2312" w:hAnsi="楷体_GB2312" w:eastAsia="楷体_GB2312" w:cs="楷体_GB2312"/>
          <w:sz w:val="32"/>
          <w:szCs w:val="40"/>
        </w:rPr>
      </w:pPr>
      <w:r>
        <w:rPr>
          <w:rFonts w:hint="eastAsia" w:ascii="楷体_GB2312" w:hAnsi="楷体_GB2312" w:eastAsia="楷体_GB2312" w:cs="楷体_GB2312"/>
          <w:sz w:val="32"/>
          <w:szCs w:val="40"/>
        </w:rPr>
        <w:t xml:space="preserve">数据积累：国产软件缺乏海量工程数据的训练，算法优化进度缓慢；  </w:t>
      </w:r>
    </w:p>
    <w:p w14:paraId="1A9F75BE">
      <w:pPr>
        <w:numPr>
          <w:ilvl w:val="0"/>
          <w:numId w:val="2"/>
        </w:numPr>
        <w:ind w:left="0" w:leftChars="0" w:firstLine="0" w:firstLineChars="0"/>
        <w:rPr>
          <w:rFonts w:hint="eastAsia" w:ascii="楷体_GB2312" w:hAnsi="楷体_GB2312" w:eastAsia="楷体_GB2312" w:cs="楷体_GB2312"/>
          <w:sz w:val="32"/>
          <w:szCs w:val="40"/>
        </w:rPr>
      </w:pPr>
      <w:r>
        <w:rPr>
          <w:rFonts w:hint="eastAsia" w:ascii="楷体_GB2312" w:hAnsi="楷体_GB2312" w:eastAsia="楷体_GB2312" w:cs="楷体_GB2312"/>
          <w:sz w:val="32"/>
          <w:szCs w:val="40"/>
        </w:rPr>
        <w:t xml:space="preserve">标准制定：中国工业软件标准多为“跟随型”，尚未形成自身的标准体系；  </w:t>
      </w:r>
      <w:bookmarkStart w:id="0" w:name="_GoBack"/>
      <w:bookmarkEnd w:id="0"/>
    </w:p>
    <w:p w14:paraId="6A06F6A2">
      <w:pPr>
        <w:numPr>
          <w:ilvl w:val="0"/>
          <w:numId w:val="2"/>
        </w:numPr>
        <w:ind w:left="0" w:leftChars="0" w:firstLine="0" w:firstLineChars="0"/>
        <w:rPr>
          <w:rFonts w:hint="eastAsia" w:ascii="楷体_GB2312" w:hAnsi="楷体_GB2312" w:eastAsia="楷体_GB2312" w:cs="楷体_GB2312"/>
          <w:sz w:val="32"/>
          <w:szCs w:val="40"/>
        </w:rPr>
      </w:pPr>
      <w:r>
        <w:rPr>
          <w:rFonts w:hint="eastAsia" w:ascii="楷体_GB2312" w:hAnsi="楷体_GB2312" w:eastAsia="楷体_GB2312" w:cs="楷体_GB2312"/>
          <w:sz w:val="32"/>
          <w:szCs w:val="40"/>
        </w:rPr>
        <w:t>人才培养：国内高校（如清华、浙大）的工业软件专业多为“理论型”，缺乏“工程实践”环节，复合型人才短缺。</w:t>
      </w:r>
    </w:p>
    <w:p w14:paraId="540CAF6E">
      <w:pPr>
        <w:rPr>
          <w:rFonts w:hint="eastAsia" w:ascii="楷体_GB2312" w:hAnsi="楷体_GB2312" w:eastAsia="楷体_GB2312" w:cs="楷体_GB2312"/>
          <w:sz w:val="32"/>
          <w:szCs w:val="4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BC1B97"/>
    <w:multiLevelType w:val="singleLevel"/>
    <w:tmpl w:val="E7BC1B9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AE3F75"/>
    <w:multiLevelType w:val="singleLevel"/>
    <w:tmpl w:val="FFAE3F75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7FF920"/>
    <w:rsid w:val="F77FF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2026-03-29T22:25:00Z</dcterms:created>
  <dc:creator>张宣</dc:creator>
  <cp:lastModifiedBy>张宣</cp:lastModifiedBy>
  <dcterms:modified xsi:type="dcterms:W3CDTF">2026-03-29T22:29:14Z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713A261209A27D5E4F36C9690826FB11_41</vt:lpwstr>
  </property>
</Properties>
</file>