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517DC">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b/>
          <w:bCs/>
          <w:sz w:val="30"/>
          <w:szCs w:val="30"/>
          <w:vertAlign w:val="baseline"/>
        </w:rPr>
      </w:pPr>
      <w:r>
        <w:rPr>
          <w:rFonts w:hint="eastAsia" w:ascii="Times New Roman" w:hAnsi="Times New Roman" w:eastAsiaTheme="majorEastAsia" w:cstheme="majorEastAsia"/>
          <w:b/>
          <w:bCs/>
          <w:sz w:val="30"/>
          <w:szCs w:val="30"/>
          <w:vertAlign w:val="baseline"/>
        </w:rPr>
        <w:t>阶跃星辰Step 3.5 Flash登顶全球榜单，定义“龙虾时代”的智能体基座范式</w:t>
      </w:r>
    </w:p>
    <w:p w14:paraId="5F5B12AC">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b/>
          <w:bCs/>
          <w:sz w:val="30"/>
          <w:szCs w:val="30"/>
          <w:vertAlign w:val="baseline"/>
          <w:lang w:eastAsia="zh-CN"/>
        </w:rPr>
      </w:pPr>
      <w:r>
        <w:rPr>
          <w:rFonts w:hint="eastAsia" w:ascii="Times New Roman" w:hAnsi="Times New Roman" w:eastAsiaTheme="majorEastAsia" w:cstheme="majorEastAsia"/>
          <w:b/>
          <w:bCs/>
          <w:sz w:val="30"/>
          <w:szCs w:val="30"/>
          <w:vertAlign w:val="baseline"/>
          <w:lang w:eastAsia="zh-CN"/>
        </w:rPr>
        <w:drawing>
          <wp:inline distT="0" distB="0" distL="114300" distR="114300">
            <wp:extent cx="5236845" cy="1246505"/>
            <wp:effectExtent l="0" t="0" r="20955" b="23495"/>
            <wp:docPr id="5" name="图片 5" descr="Stepf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tepfun"/>
                    <pic:cNvPicPr>
                      <a:picLocks noChangeAspect="1"/>
                    </pic:cNvPicPr>
                  </pic:nvPicPr>
                  <pic:blipFill>
                    <a:blip r:embed="rId4"/>
                    <a:stretch>
                      <a:fillRect/>
                    </a:stretch>
                  </pic:blipFill>
                  <pic:spPr>
                    <a:xfrm>
                      <a:off x="0" y="0"/>
                      <a:ext cx="5236845" cy="1246505"/>
                    </a:xfrm>
                    <a:prstGeom prst="rect">
                      <a:avLst/>
                    </a:prstGeom>
                  </pic:spPr>
                </pic:pic>
              </a:graphicData>
            </a:graphic>
          </wp:inline>
        </w:drawing>
      </w:r>
    </w:p>
    <w:p w14:paraId="27735363">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rPr>
      </w:pPr>
    </w:p>
    <w:p w14:paraId="430C2E06">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在2026年初，大模型产业正迈入“龙虾时代”。</w:t>
      </w:r>
    </w:p>
    <w:p w14:paraId="13E7169B">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50DBCF53">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竞争的核心，已从参数规模与Benchmark排名，转向复杂任务的工程化落地能力与开发者生态的构建效率。</w:t>
      </w:r>
    </w:p>
    <w:p w14:paraId="205957F9">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1009451C">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3月18日，阶跃星辰（StepFun）正式确立其新一代战略定位</w:t>
      </w:r>
      <w:r>
        <w:rPr>
          <w:rFonts w:hint="eastAsia" w:ascii="Times New Roman" w:hAnsi="Times New Roman" w:eastAsiaTheme="majorEastAsia" w:cstheme="majorEastAsia"/>
          <w:vertAlign w:val="baseline"/>
          <w:lang w:eastAsia="zh-CN"/>
        </w:rPr>
        <w:t>：</w:t>
      </w:r>
      <w:r>
        <w:rPr>
          <w:rFonts w:hint="eastAsia" w:ascii="Times New Roman" w:hAnsi="Times New Roman" w:eastAsiaTheme="majorEastAsia" w:cstheme="majorEastAsia"/>
          <w:vertAlign w:val="baseline"/>
        </w:rPr>
        <w:t>智能体基座模型。这标志着其从以往偏“项目制交付”的路径，转向面向开发者与复杂系统的通用能力底座提供者。</w:t>
      </w:r>
    </w:p>
    <w:p w14:paraId="39DD83F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5093A143">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与此同时，其最新发布的Step 3.5 Flash模型，在开源Agent项目OpenCla</w:t>
      </w:r>
      <w:r>
        <w:rPr>
          <w:rFonts w:hint="eastAsia" w:ascii="Times New Roman" w:hAnsi="Times New Roman" w:eastAsiaTheme="majorEastAsia" w:cstheme="majorEastAsia"/>
          <w:vertAlign w:val="baseline"/>
          <w:lang w:val="en-US" w:eastAsia="zh-CN"/>
        </w:rPr>
        <w:t>w上</w:t>
      </w:r>
      <w:r>
        <w:rPr>
          <w:rFonts w:hint="eastAsia" w:ascii="Times New Roman" w:hAnsi="Times New Roman" w:eastAsiaTheme="majorEastAsia" w:cstheme="majorEastAsia"/>
          <w:vertAlign w:val="baseline"/>
        </w:rPr>
        <w:t>持续位列全球第一，开始获得海外开发者社区的真实验证与自传播。</w:t>
      </w:r>
    </w:p>
    <w:p w14:paraId="63F90D08">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350DC06B">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如果说上一阶段的大模型竞争是“谁更聪明”，那么这一阶段的分水岭正在变成：谁能在真实世界中，稳定地完成复杂任务。Step 3.5 Flash能够在OpenClaw</w:t>
      </w:r>
      <w:r>
        <w:rPr>
          <w:rFonts w:hint="eastAsia" w:ascii="Times New Roman" w:hAnsi="Times New Roman" w:eastAsiaTheme="majorEastAsia" w:cstheme="majorEastAsia"/>
          <w:vertAlign w:val="baseline"/>
          <w:lang w:val="en-US" w:eastAsia="zh-CN"/>
        </w:rPr>
        <w:t>调用榜</w:t>
      </w:r>
      <w:r>
        <w:rPr>
          <w:rFonts w:hint="eastAsia" w:ascii="Times New Roman" w:hAnsi="Times New Roman" w:eastAsiaTheme="majorEastAsia" w:cstheme="majorEastAsia"/>
          <w:vertAlign w:val="baseline"/>
        </w:rPr>
        <w:t>上持续位列第一，并非偶然。</w:t>
      </w:r>
    </w:p>
    <w:p w14:paraId="0351BF6D">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2F0108BE">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其背后的核心原因在于阶跃星辰早在去年底，就已经围绕类似Agent形态的产品进行过一轮系统性的工程实践。尽管当时的产品并未形成像OpenClaw这样的现象级传播，但其在模型侧已经完成了大量面向 Agent 场景的优化。</w:t>
      </w:r>
    </w:p>
    <w:p w14:paraId="2D5F047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5C7A91E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因此，当OpenClaw作为“爆款载体”出现时，Step 3.5 Flash实际上是以一种“已经被验证过的工程状态”接入，从而在真实Agent benchmark中迅速占据优势。在Agent时代，决定模型竞争力的，不只是能力上限，而是工程化后的“可用性密度”。</w:t>
      </w:r>
    </w:p>
    <w:p w14:paraId="2399A025">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2E4BFB6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r>
        <w:rPr>
          <w:rFonts w:hint="eastAsia" w:ascii="Times New Roman" w:hAnsi="Times New Roman" w:eastAsiaTheme="majorEastAsia" w:cstheme="majorEastAsia"/>
          <w:color w:val="0000FF"/>
          <w:vertAlign w:val="baseline"/>
        </w:rPr>
        <w:t>市场影响：OpenRouter反响热烈，重塑Token性价比极值</w:t>
      </w:r>
    </w:p>
    <w:p w14:paraId="3345EF30">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687CAB2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eastAsia="zh-CN"/>
        </w:rPr>
      </w:pPr>
      <w:r>
        <w:rPr>
          <w:rFonts w:hint="eastAsia" w:ascii="Times New Roman" w:hAnsi="Times New Roman" w:eastAsiaTheme="majorEastAsia" w:cstheme="majorEastAsia"/>
          <w:vertAlign w:val="baseline"/>
        </w:rPr>
        <w:t>“性价比新王”、“Agent任务的首选主力机”</w:t>
      </w:r>
      <w:r>
        <w:rPr>
          <w:rFonts w:hint="default" w:ascii="Times New Roman" w:hAnsi="Times New Roman" w:eastAsiaTheme="majorEastAsia" w:cstheme="majorEastAsia"/>
          <w:vertAlign w:val="baseline"/>
          <w:lang w:val="en-US"/>
        </w:rPr>
        <w:t>......</w:t>
      </w:r>
      <w:r>
        <w:rPr>
          <w:rFonts w:hint="eastAsia" w:ascii="Times New Roman" w:hAnsi="Times New Roman" w:eastAsiaTheme="majorEastAsia" w:cstheme="majorEastAsia"/>
          <w:vertAlign w:val="baseline"/>
        </w:rPr>
        <w:t>在OpenRouter开发者社区，Step 3.5 Flash凭借极致的成本控制与稳定性建立了极佳口碑。阶跃星辰通过极致的工程优化，将Step 3.5的推理成本压缩至</w:t>
      </w:r>
      <w:r>
        <w:rPr>
          <w:rFonts w:hint="eastAsia" w:ascii="Times New Roman" w:hAnsi="Times New Roman" w:eastAsiaTheme="majorEastAsia" w:cstheme="majorEastAsia"/>
          <w:vertAlign w:val="baseline"/>
          <w:lang w:val="en-US" w:eastAsia="zh-CN"/>
        </w:rPr>
        <w:t>海外第一梯队某</w:t>
      </w:r>
      <w:r>
        <w:rPr>
          <w:rFonts w:hint="eastAsia" w:ascii="Times New Roman" w:hAnsi="Times New Roman" w:eastAsiaTheme="majorEastAsia" w:cstheme="majorEastAsia"/>
          <w:vertAlign w:val="baseline"/>
        </w:rPr>
        <w:t>系列的五十分之一</w:t>
      </w:r>
      <w:r>
        <w:rPr>
          <w:rFonts w:hint="eastAsia" w:ascii="Times New Roman" w:hAnsi="Times New Roman" w:eastAsiaTheme="majorEastAsia" w:cstheme="majorEastAsia"/>
          <w:vertAlign w:val="baseline"/>
          <w:lang w:eastAsia="zh-CN"/>
        </w:rPr>
        <w:t>。</w:t>
      </w:r>
    </w:p>
    <w:p w14:paraId="04C128D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eastAsia="zh-CN"/>
        </w:rPr>
      </w:pPr>
    </w:p>
    <w:p w14:paraId="626198C2">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3月OpenRouter LLM Leaderboard数据显示，Step 3.5 Flash以807%的调用量增速位列全榜单第一，单月Token调用量已突破3.44万亿次。此外，针对活跃用户开放的“每日1000条免费Prompts”计划，进一步加速了其在开发者生态中的渗透。</w:t>
      </w:r>
    </w:p>
    <w:p w14:paraId="6566E856">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p>
    <w:p w14:paraId="092128A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rPr>
        <w:drawing>
          <wp:inline distT="0" distB="0" distL="114300" distR="114300">
            <wp:extent cx="5269230" cy="2092960"/>
            <wp:effectExtent l="0" t="0" r="1397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2092960"/>
                    </a:xfrm>
                    <a:prstGeom prst="rect">
                      <a:avLst/>
                    </a:prstGeom>
                    <a:noFill/>
                    <a:ln>
                      <a:noFill/>
                    </a:ln>
                  </pic:spPr>
                </pic:pic>
              </a:graphicData>
            </a:graphic>
          </wp:inline>
        </w:drawing>
      </w:r>
    </w:p>
    <w:p w14:paraId="5FF771B9">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val="en-US" w:eastAsia="zh-CN"/>
        </w:rPr>
      </w:pPr>
    </w:p>
    <w:p w14:paraId="10E03BB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因其强大的Agent适配能力，该模型在3月6日全面开源后，同步登顶OpenClaw项目月度总API调用率榜。</w:t>
      </w:r>
    </w:p>
    <w:p w14:paraId="70CD773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rPr>
        <w:drawing>
          <wp:inline distT="0" distB="0" distL="114300" distR="114300">
            <wp:extent cx="5273040" cy="3592195"/>
            <wp:effectExtent l="0" t="0" r="1016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040" cy="3592195"/>
                    </a:xfrm>
                    <a:prstGeom prst="rect">
                      <a:avLst/>
                    </a:prstGeom>
                    <a:noFill/>
                    <a:ln>
                      <a:noFill/>
                    </a:ln>
                  </pic:spPr>
                </pic:pic>
              </a:graphicData>
            </a:graphic>
          </wp:inline>
        </w:drawing>
      </w:r>
    </w:p>
    <w:p w14:paraId="2F6974E0">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rPr>
      </w:pPr>
    </w:p>
    <w:p w14:paraId="635D729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r>
        <w:rPr>
          <w:rFonts w:hint="eastAsia" w:ascii="Times New Roman" w:hAnsi="Times New Roman" w:eastAsiaTheme="majorEastAsia" w:cstheme="majorEastAsia"/>
          <w:color w:val="0000FF"/>
          <w:vertAlign w:val="baseline"/>
        </w:rPr>
        <w:t>性能实测：极速吞吐与前沿智能的完美融合，专为</w:t>
      </w:r>
      <w:r>
        <w:rPr>
          <w:rFonts w:hint="eastAsia" w:ascii="Times New Roman" w:hAnsi="Times New Roman" w:eastAsiaTheme="majorEastAsia" w:cstheme="majorEastAsia"/>
          <w:color w:val="0000FF"/>
          <w:vertAlign w:val="baseline"/>
          <w:lang w:val="en-US" w:eastAsia="zh-CN"/>
        </w:rPr>
        <w:t>Agent</w:t>
      </w:r>
      <w:r>
        <w:rPr>
          <w:rFonts w:hint="eastAsia" w:ascii="Times New Roman" w:hAnsi="Times New Roman" w:eastAsiaTheme="majorEastAsia" w:cstheme="majorEastAsia"/>
          <w:color w:val="0000FF"/>
          <w:vertAlign w:val="baseline"/>
        </w:rPr>
        <w:t>任务而生</w:t>
      </w:r>
    </w:p>
    <w:p w14:paraId="49839BB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p>
    <w:p w14:paraId="78EA1FC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在模型性能对标上，阶跃星辰拒绝流于表面的“刷榜”模型，而是聚焦于构建支撑重度Agent（智能体）任务的坚实工程底座。Step 3.5 Flash凭借“高智商、低成本、极速响应”组合，重新定义了效率前沿。</w:t>
      </w:r>
    </w:p>
    <w:p w14:paraId="76C768DB">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rPr>
      </w:pPr>
    </w:p>
    <w:p w14:paraId="09447033">
      <w:pPr>
        <w:keepNext w:val="0"/>
        <w:keepLines w:val="0"/>
        <w:pageBreakBefore w:val="0"/>
        <w:numPr>
          <w:ilvl w:val="0"/>
          <w:numId w:val="1"/>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lang w:val="en-US" w:eastAsia="zh-CN"/>
        </w:rPr>
        <w:t>峰值350 TPS的吞吐量</w:t>
      </w:r>
    </w:p>
    <w:p w14:paraId="0CA2833B">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392680A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聊天机器人重在“读”，而智能体必须快在“想”。在OpenClaw的实际压力测试下，当国内竞品</w:t>
      </w:r>
      <w:r>
        <w:rPr>
          <w:rFonts w:hint="eastAsia" w:ascii="Times New Roman" w:hAnsi="Times New Roman" w:eastAsiaTheme="majorEastAsia" w:cstheme="majorEastAsia"/>
          <w:vertAlign w:val="baseline"/>
          <w:lang w:val="en-US" w:eastAsia="zh-CN"/>
        </w:rPr>
        <w:t>在</w:t>
      </w:r>
      <w:r>
        <w:rPr>
          <w:rFonts w:hint="eastAsia" w:ascii="Times New Roman" w:hAnsi="Times New Roman" w:eastAsiaTheme="majorEastAsia" w:cstheme="majorEastAsia"/>
          <w:vertAlign w:val="baseline"/>
        </w:rPr>
        <w:t xml:space="preserve">普遍维持在50 </w:t>
      </w:r>
      <w:r>
        <w:rPr>
          <w:rFonts w:hint="eastAsia" w:ascii="Times New Roman" w:hAnsi="Times New Roman" w:eastAsiaTheme="majorEastAsia" w:cstheme="majorEastAsia"/>
          <w:vertAlign w:val="baseline"/>
          <w:lang w:val="en-US" w:eastAsia="zh-CN"/>
        </w:rPr>
        <w:t>TPS</w:t>
      </w:r>
      <w:r>
        <w:rPr>
          <w:rFonts w:hint="eastAsia" w:ascii="Times New Roman" w:hAnsi="Times New Roman" w:eastAsiaTheme="majorEastAsia" w:cstheme="majorEastAsia"/>
          <w:vertAlign w:val="baseline"/>
        </w:rPr>
        <w:t xml:space="preserve">时，Step 3.5 Flash常规表现稳定在100 </w:t>
      </w:r>
      <w:r>
        <w:rPr>
          <w:rFonts w:hint="eastAsia" w:ascii="Times New Roman" w:hAnsi="Times New Roman" w:eastAsiaTheme="majorEastAsia" w:cstheme="majorEastAsia"/>
          <w:vertAlign w:val="baseline"/>
          <w:lang w:val="en-US" w:eastAsia="zh-CN"/>
        </w:rPr>
        <w:t>TPS</w:t>
      </w:r>
      <w:r>
        <w:rPr>
          <w:rFonts w:hint="eastAsia" w:ascii="Times New Roman" w:hAnsi="Times New Roman" w:eastAsiaTheme="majorEastAsia" w:cstheme="majorEastAsia"/>
          <w:vertAlign w:val="baseline"/>
        </w:rPr>
        <w:t xml:space="preserve">以上。在典型场景下吞吐量可达100–300 </w:t>
      </w:r>
      <w:r>
        <w:rPr>
          <w:rFonts w:hint="eastAsia" w:ascii="Times New Roman" w:hAnsi="Times New Roman" w:eastAsiaTheme="majorEastAsia" w:cstheme="majorEastAsia"/>
          <w:vertAlign w:val="baseline"/>
          <w:lang w:val="en-US" w:eastAsia="zh-CN"/>
        </w:rPr>
        <w:t>TPS</w:t>
      </w:r>
      <w:r>
        <w:rPr>
          <w:rFonts w:hint="eastAsia" w:ascii="Times New Roman" w:hAnsi="Times New Roman" w:eastAsiaTheme="majorEastAsia" w:cstheme="majorEastAsia"/>
          <w:vertAlign w:val="baseline"/>
        </w:rPr>
        <w:t xml:space="preserve">，极限单流代码任务峰值更可飙升至350 </w:t>
      </w:r>
      <w:r>
        <w:rPr>
          <w:rFonts w:hint="eastAsia" w:ascii="Times New Roman" w:hAnsi="Times New Roman" w:eastAsiaTheme="majorEastAsia" w:cstheme="majorEastAsia"/>
          <w:vertAlign w:val="baseline"/>
          <w:lang w:val="en-US" w:eastAsia="zh-CN"/>
        </w:rPr>
        <w:t>TPS</w:t>
      </w:r>
      <w:r>
        <w:rPr>
          <w:rFonts w:hint="eastAsia" w:ascii="Times New Roman" w:hAnsi="Times New Roman" w:eastAsiaTheme="majorEastAsia" w:cstheme="majorEastAsia"/>
          <w:vertAlign w:val="baseline"/>
        </w:rPr>
        <w:t>。复杂多步骤的推理链也能实现即时响应，让Agent的思考过程从“Loading”变为“瞬时完成”，极大提升了交互的丝滑感。</w:t>
      </w:r>
    </w:p>
    <w:p w14:paraId="732DF8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122EBF25">
      <w:pPr>
        <w:keepNext w:val="0"/>
        <w:keepLines w:val="0"/>
        <w:pageBreakBefore w:val="0"/>
        <w:numPr>
          <w:ilvl w:val="0"/>
          <w:numId w:val="2"/>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具备自愈机制的长程逻辑一致性：</w:t>
      </w:r>
    </w:p>
    <w:p w14:paraId="691B6197">
      <w:pPr>
        <w:keepNext w:val="0"/>
        <w:keepLines w:val="0"/>
        <w:pageBreakBefore w:val="0"/>
        <w:numPr>
          <w:ilvl w:val="0"/>
          <w:numId w:val="0"/>
        </w:numPr>
        <w:kinsoku/>
        <w:wordWrap/>
        <w:overflowPunct/>
        <w:topLinePunct w:val="0"/>
        <w:autoSpaceDE/>
        <w:autoSpaceDN/>
        <w:bidi w:val="0"/>
        <w:adjustRightInd/>
        <w:snapToGrid/>
        <w:spacing w:line="240" w:lineRule="auto"/>
        <w:ind w:leftChars="200"/>
        <w:textAlignment w:val="auto"/>
        <w:rPr>
          <w:rFonts w:hint="eastAsia" w:ascii="Times New Roman" w:hAnsi="Times New Roman" w:eastAsiaTheme="majorEastAsia" w:cstheme="majorEastAsia"/>
          <w:vertAlign w:val="baseline"/>
        </w:rPr>
      </w:pPr>
    </w:p>
    <w:p w14:paraId="7D7A64D4">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rPr>
        <w:t>模型集成了可扩展强化学习框架，在处理万级别Token的复杂任务序列时，能从海量信息中精准锁定核心约束。其内置的“状态重构”能力可在毫秒级内找回先前的执行位点，有效解决长周期任务中的记忆衰减问题，确保Agent在超长执行链路中始终保持目标对齐。</w:t>
      </w:r>
    </w:p>
    <w:p w14:paraId="5328070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p>
    <w:p w14:paraId="3467463E">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在模型评测维度，Step 3.5 Flash展现出横跨智能体调度、复杂工程落地及极限数理推理的全面优势：</w:t>
      </w:r>
    </w:p>
    <w:p w14:paraId="2A044A8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val="en-US" w:eastAsia="zh-CN"/>
        </w:rPr>
      </w:pPr>
    </w:p>
    <w:p w14:paraId="42E667EA">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w:t>
      </w:r>
      <w:r>
        <w:rPr>
          <w:rFonts w:hint="eastAsia" w:ascii="Times New Roman" w:hAnsi="Times New Roman" w:eastAsiaTheme="majorEastAsia" w:cstheme="majorEastAsia"/>
          <w:vertAlign w:val="baseline"/>
          <w:lang w:val="en-US" w:eastAsia="zh-CN"/>
        </w:rPr>
        <w:t>Agent调度能力</w:t>
      </w:r>
      <w:r>
        <w:rPr>
          <w:rFonts w:hint="eastAsia" w:ascii="Times New Roman" w:hAnsi="Times New Roman" w:eastAsiaTheme="majorEastAsia" w:cstheme="majorEastAsia"/>
          <w:vertAlign w:val="baseline"/>
        </w:rPr>
        <w:t>：在公认难度极高的Agent综合评测GAIA (no file)中以84.5</w:t>
      </w:r>
      <w:r>
        <w:rPr>
          <w:rFonts w:hint="eastAsia" w:ascii="Times New Roman" w:hAnsi="Times New Roman" w:eastAsiaTheme="majorEastAsia" w:cstheme="majorEastAsia"/>
          <w:vertAlign w:val="baseline"/>
          <w:lang w:val="en-US" w:eastAsia="zh-CN"/>
        </w:rPr>
        <w:t>与</w:t>
      </w:r>
      <w:r>
        <w:rPr>
          <w:rFonts w:hint="eastAsia" w:ascii="Times New Roman" w:hAnsi="Times New Roman" w:eastAsiaTheme="majorEastAsia" w:cstheme="majorEastAsia"/>
          <w:vertAlign w:val="baseline"/>
        </w:rPr>
        <w:t>深度搜索评测xbench-DeepSearch (2025.05)斩获83.7</w:t>
      </w:r>
      <w:r>
        <w:rPr>
          <w:rFonts w:hint="eastAsia" w:ascii="Times New Roman" w:hAnsi="Times New Roman" w:eastAsiaTheme="majorEastAsia" w:cstheme="majorEastAsia"/>
          <w:vertAlign w:val="baseline"/>
          <w:lang w:eastAsia="zh-CN"/>
        </w:rPr>
        <w:t>，</w:t>
      </w:r>
      <w:r>
        <w:rPr>
          <w:rFonts w:hint="eastAsia" w:ascii="Times New Roman" w:hAnsi="Times New Roman" w:eastAsiaTheme="majorEastAsia" w:cstheme="majorEastAsia"/>
          <w:vertAlign w:val="baseline"/>
          <w:lang w:val="en-US" w:eastAsia="zh-CN"/>
        </w:rPr>
        <w:t>位居榜首</w:t>
      </w:r>
      <w:r>
        <w:rPr>
          <w:rFonts w:hint="eastAsia" w:ascii="Times New Roman" w:hAnsi="Times New Roman" w:eastAsiaTheme="majorEastAsia" w:cstheme="majorEastAsia"/>
          <w:vertAlign w:val="baseline"/>
        </w:rPr>
        <w:t>。</w:t>
      </w:r>
    </w:p>
    <w:p w14:paraId="4ACDBC66">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27A44CAD">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lang w:eastAsia="zh-CN"/>
        </w:rPr>
      </w:pPr>
      <w:r>
        <w:rPr>
          <w:rFonts w:hint="eastAsia" w:ascii="Times New Roman" w:hAnsi="Times New Roman" w:eastAsiaTheme="majorEastAsia" w:cstheme="majorEastAsia"/>
          <w:vertAlign w:val="baseline"/>
        </w:rPr>
        <w:t>·工程</w:t>
      </w:r>
      <w:r>
        <w:rPr>
          <w:rFonts w:hint="eastAsia" w:ascii="Times New Roman" w:hAnsi="Times New Roman" w:eastAsiaTheme="majorEastAsia" w:cstheme="majorEastAsia"/>
          <w:vertAlign w:val="baseline"/>
          <w:lang w:val="en-US" w:eastAsia="zh-CN"/>
        </w:rPr>
        <w:t>能力</w:t>
      </w:r>
      <w:r>
        <w:rPr>
          <w:rFonts w:hint="eastAsia" w:ascii="Times New Roman" w:hAnsi="Times New Roman" w:eastAsiaTheme="majorEastAsia" w:cstheme="majorEastAsia"/>
          <w:vertAlign w:val="baseline"/>
          <w:lang w:eastAsia="zh-CN"/>
        </w:rPr>
        <w:t>：</w:t>
      </w:r>
      <w:r>
        <w:rPr>
          <w:rFonts w:hint="eastAsia" w:ascii="Times New Roman" w:hAnsi="Times New Roman" w:eastAsiaTheme="majorEastAsia" w:cstheme="majorEastAsia"/>
          <w:vertAlign w:val="baseline"/>
        </w:rPr>
        <w:t>在代表动态代码和真实工程解决能力的评测中稳定发挥，LiveCodeBench-V6达86.4，SWE-bench Verified达74.4，Terminal-Bench 2.0达51.0</w:t>
      </w:r>
      <w:r>
        <w:rPr>
          <w:rFonts w:hint="eastAsia" w:ascii="Times New Roman" w:hAnsi="Times New Roman" w:eastAsiaTheme="majorEastAsia" w:cstheme="majorEastAsia"/>
          <w:vertAlign w:val="baseline"/>
          <w:lang w:eastAsia="zh-CN"/>
        </w:rPr>
        <w:t>。</w:t>
      </w:r>
    </w:p>
    <w:p w14:paraId="53C93F76">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4C0380E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w:t>
      </w:r>
      <w:r>
        <w:rPr>
          <w:rFonts w:hint="eastAsia" w:ascii="Times New Roman" w:hAnsi="Times New Roman" w:eastAsiaTheme="majorEastAsia" w:cstheme="majorEastAsia"/>
          <w:vertAlign w:val="baseline"/>
          <w:lang w:val="en-US" w:eastAsia="zh-CN"/>
        </w:rPr>
        <w:t>数理深度</w:t>
      </w:r>
      <w:r>
        <w:rPr>
          <w:rFonts w:hint="eastAsia" w:ascii="Times New Roman" w:hAnsi="Times New Roman" w:eastAsiaTheme="majorEastAsia" w:cstheme="majorEastAsia"/>
          <w:vertAlign w:val="baseline"/>
        </w:rPr>
        <w:t>：在数学推理黄金标准AIME 2025 (97.3)与HMMT 2025 Feb (98.4)中，压制了包括思考模型在内的所有对手。</w:t>
      </w:r>
    </w:p>
    <w:p w14:paraId="4CD32E15">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tbl>
      <w:tblPr>
        <w:tblStyle w:val="2"/>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63"/>
        <w:gridCol w:w="943"/>
        <w:gridCol w:w="1057"/>
        <w:gridCol w:w="1014"/>
        <w:gridCol w:w="956"/>
        <w:gridCol w:w="1000"/>
        <w:gridCol w:w="1033"/>
        <w:gridCol w:w="1251"/>
      </w:tblGrid>
      <w:tr w14:paraId="0AF6C2A9">
        <w:trPr>
          <w:trHeight w:val="1184" w:hRule="atLeast"/>
        </w:trPr>
        <w:tc>
          <w:tcPr>
            <w:tcW w:w="741" w:type="pct"/>
            <w:tcBorders>
              <w:top w:val="nil"/>
              <w:left w:val="single" w:color="00B0F0" w:sz="8" w:space="0"/>
              <w:bottom w:val="single" w:color="00B0F0" w:sz="8" w:space="0"/>
              <w:right w:val="single" w:color="00B0F0" w:sz="8" w:space="0"/>
            </w:tcBorders>
            <w:shd w:val="clear" w:color="auto" w:fill="004590"/>
            <w:vAlign w:val="center"/>
          </w:tcPr>
          <w:p w14:paraId="356178E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Benchmark / Model</w:t>
            </w:r>
          </w:p>
        </w:tc>
        <w:tc>
          <w:tcPr>
            <w:tcW w:w="553" w:type="pct"/>
            <w:tcBorders>
              <w:top w:val="nil"/>
              <w:left w:val="single" w:color="00B0F0" w:sz="8" w:space="0"/>
              <w:bottom w:val="single" w:color="00B0F0" w:sz="8" w:space="0"/>
              <w:right w:val="single" w:color="00B0F0" w:sz="8" w:space="0"/>
            </w:tcBorders>
            <w:shd w:val="clear" w:color="auto" w:fill="004590"/>
            <w:vAlign w:val="center"/>
          </w:tcPr>
          <w:p w14:paraId="29ACC5A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Activated Params</w:t>
            </w:r>
          </w:p>
        </w:tc>
        <w:tc>
          <w:tcPr>
            <w:tcW w:w="620" w:type="pct"/>
            <w:tcBorders>
              <w:top w:val="nil"/>
              <w:left w:val="single" w:color="00B0F0" w:sz="8" w:space="0"/>
              <w:bottom w:val="single" w:color="00B0F0" w:sz="8" w:space="0"/>
              <w:right w:val="single" w:color="00B0F0" w:sz="8" w:space="0"/>
            </w:tcBorders>
            <w:shd w:val="clear" w:color="auto" w:fill="004590"/>
            <w:vAlign w:val="center"/>
          </w:tcPr>
          <w:p w14:paraId="2D32D6D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GAIA(no file)</w:t>
            </w:r>
          </w:p>
        </w:tc>
        <w:tc>
          <w:tcPr>
            <w:tcW w:w="595" w:type="pct"/>
            <w:tcBorders>
              <w:top w:val="nil"/>
              <w:left w:val="single" w:color="00B0F0" w:sz="8" w:space="0"/>
              <w:bottom w:val="single" w:color="00B0F0" w:sz="8" w:space="0"/>
              <w:right w:val="single" w:color="00B0F0" w:sz="8" w:space="0"/>
            </w:tcBorders>
            <w:shd w:val="clear" w:color="auto" w:fill="004590"/>
            <w:vAlign w:val="center"/>
          </w:tcPr>
          <w:p w14:paraId="34B7B60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kern w:val="0"/>
                <w:sz w:val="16"/>
                <w:szCs w:val="16"/>
                <w:u w:val="none"/>
                <w:lang w:val="en-US" w:eastAsia="zh-CN" w:bidi="ar"/>
              </w:rPr>
            </w:pPr>
            <w:r>
              <w:rPr>
                <w:rFonts w:hint="eastAsia" w:ascii="Times New Roman" w:hAnsi="Times New Roman" w:eastAsiaTheme="majorEastAsia" w:cstheme="majorEastAsia"/>
                <w:b/>
                <w:bCs/>
                <w:i w:val="0"/>
                <w:iCs w:val="0"/>
                <w:color w:val="FFFFFF"/>
                <w:kern w:val="0"/>
                <w:sz w:val="16"/>
                <w:szCs w:val="16"/>
                <w:u w:val="none"/>
                <w:lang w:val="en-US" w:eastAsia="zh-CN" w:bidi="ar"/>
              </w:rPr>
              <w:t>xbench-DeepSearch</w:t>
            </w:r>
          </w:p>
          <w:p w14:paraId="71A527D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(2025.05)</w:t>
            </w:r>
          </w:p>
        </w:tc>
        <w:tc>
          <w:tcPr>
            <w:tcW w:w="561" w:type="pct"/>
            <w:tcBorders>
              <w:top w:val="nil"/>
              <w:left w:val="single" w:color="00B0F0" w:sz="8" w:space="0"/>
              <w:bottom w:val="single" w:color="00B0F0" w:sz="8" w:space="0"/>
              <w:right w:val="single" w:color="00B0F0" w:sz="8" w:space="0"/>
            </w:tcBorders>
            <w:shd w:val="clear" w:color="auto" w:fill="004590"/>
            <w:vAlign w:val="center"/>
          </w:tcPr>
          <w:p w14:paraId="193C26D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AIME 2025</w:t>
            </w:r>
          </w:p>
        </w:tc>
        <w:tc>
          <w:tcPr>
            <w:tcW w:w="587" w:type="pct"/>
            <w:tcBorders>
              <w:top w:val="nil"/>
              <w:left w:val="single" w:color="00B0F0" w:sz="8" w:space="0"/>
              <w:bottom w:val="single" w:color="00B0F0" w:sz="8" w:space="0"/>
              <w:right w:val="single" w:color="00B0F0" w:sz="8" w:space="0"/>
            </w:tcBorders>
            <w:shd w:val="clear" w:color="auto" w:fill="004590"/>
            <w:vAlign w:val="center"/>
          </w:tcPr>
          <w:p w14:paraId="2F7000D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HMMT 2025 (Feb.)</w:t>
            </w:r>
          </w:p>
        </w:tc>
        <w:tc>
          <w:tcPr>
            <w:tcW w:w="606" w:type="pct"/>
            <w:tcBorders>
              <w:top w:val="nil"/>
              <w:left w:val="single" w:color="00B0F0" w:sz="8" w:space="0"/>
              <w:bottom w:val="single" w:color="00B0F0" w:sz="8" w:space="0"/>
              <w:right w:val="single" w:color="00B0F0" w:sz="8" w:space="0"/>
            </w:tcBorders>
            <w:shd w:val="clear" w:color="auto" w:fill="004590"/>
            <w:vAlign w:val="center"/>
          </w:tcPr>
          <w:p w14:paraId="2773C74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LiveCodeBench-V6</w:t>
            </w:r>
          </w:p>
        </w:tc>
        <w:tc>
          <w:tcPr>
            <w:tcW w:w="734" w:type="pct"/>
            <w:tcBorders>
              <w:top w:val="nil"/>
              <w:left w:val="single" w:color="00B0F0" w:sz="8" w:space="0"/>
              <w:bottom w:val="single" w:color="00B0F0" w:sz="8" w:space="0"/>
              <w:right w:val="single" w:color="00B0F0" w:sz="8" w:space="0"/>
            </w:tcBorders>
            <w:shd w:val="clear" w:color="auto" w:fill="004590"/>
            <w:vAlign w:val="center"/>
          </w:tcPr>
          <w:p w14:paraId="0AE3FC4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16"/>
                <w:szCs w:val="16"/>
                <w:u w:val="none"/>
                <w:lang w:val="en-US" w:eastAsia="zh-CN" w:bidi="ar"/>
              </w:rPr>
              <w:t>SWE-bench Verified</w:t>
            </w:r>
          </w:p>
        </w:tc>
      </w:tr>
      <w:tr w14:paraId="449FF8B2">
        <w:trPr>
          <w:trHeight w:val="336" w:hRule="atLeast"/>
        </w:trPr>
        <w:tc>
          <w:tcPr>
            <w:tcW w:w="741" w:type="pct"/>
            <w:tcBorders>
              <w:top w:val="nil"/>
              <w:left w:val="single" w:color="00B0F0" w:sz="8" w:space="0"/>
              <w:bottom w:val="single" w:color="00B0F0" w:sz="8" w:space="0"/>
              <w:right w:val="single" w:color="00B0F0" w:sz="8" w:space="0"/>
            </w:tcBorders>
            <w:shd w:val="clear" w:color="auto" w:fill="FFFFFF"/>
            <w:vAlign w:val="center"/>
          </w:tcPr>
          <w:p w14:paraId="77EB11C3">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Step 3.5 Flash</w:t>
            </w:r>
          </w:p>
        </w:tc>
        <w:tc>
          <w:tcPr>
            <w:tcW w:w="553" w:type="pct"/>
            <w:tcBorders>
              <w:top w:val="nil"/>
              <w:left w:val="single" w:color="00B0F0" w:sz="8" w:space="0"/>
              <w:bottom w:val="single" w:color="00B0F0" w:sz="8" w:space="0"/>
              <w:right w:val="single" w:color="00B0F0" w:sz="8" w:space="0"/>
            </w:tcBorders>
            <w:shd w:val="clear" w:color="auto" w:fill="FFFFFF"/>
            <w:vAlign w:val="center"/>
          </w:tcPr>
          <w:p w14:paraId="41F88DF3">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11B</w:t>
            </w:r>
          </w:p>
        </w:tc>
        <w:tc>
          <w:tcPr>
            <w:tcW w:w="620" w:type="pct"/>
            <w:tcBorders>
              <w:top w:val="nil"/>
              <w:left w:val="single" w:color="00B0F0" w:sz="8" w:space="0"/>
              <w:bottom w:val="single" w:color="00B0F0" w:sz="8" w:space="0"/>
              <w:right w:val="single" w:color="00B0F0" w:sz="8" w:space="0"/>
            </w:tcBorders>
            <w:shd w:val="clear" w:color="auto" w:fill="FFFFFF"/>
            <w:vAlign w:val="center"/>
          </w:tcPr>
          <w:p w14:paraId="33D21955">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84.5</w:t>
            </w:r>
          </w:p>
        </w:tc>
        <w:tc>
          <w:tcPr>
            <w:tcW w:w="595" w:type="pct"/>
            <w:tcBorders>
              <w:top w:val="nil"/>
              <w:left w:val="single" w:color="00B0F0" w:sz="8" w:space="0"/>
              <w:bottom w:val="single" w:color="00B0F0" w:sz="8" w:space="0"/>
              <w:right w:val="single" w:color="00B0F0" w:sz="8" w:space="0"/>
            </w:tcBorders>
            <w:shd w:val="clear" w:color="auto" w:fill="FFFFFF"/>
            <w:vAlign w:val="center"/>
          </w:tcPr>
          <w:p w14:paraId="4B7F4E91">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83.7</w:t>
            </w:r>
          </w:p>
        </w:tc>
        <w:tc>
          <w:tcPr>
            <w:tcW w:w="561" w:type="pct"/>
            <w:tcBorders>
              <w:top w:val="nil"/>
              <w:left w:val="single" w:color="00B0F0" w:sz="8" w:space="0"/>
              <w:bottom w:val="single" w:color="00B0F0" w:sz="8" w:space="0"/>
              <w:right w:val="single" w:color="00B0F0" w:sz="8" w:space="0"/>
            </w:tcBorders>
            <w:shd w:val="clear" w:color="auto" w:fill="FFFFFF"/>
            <w:vAlign w:val="center"/>
          </w:tcPr>
          <w:p w14:paraId="11CB544D">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97.3</w:t>
            </w:r>
          </w:p>
        </w:tc>
        <w:tc>
          <w:tcPr>
            <w:tcW w:w="587" w:type="pct"/>
            <w:tcBorders>
              <w:top w:val="nil"/>
              <w:left w:val="single" w:color="00B0F0" w:sz="8" w:space="0"/>
              <w:bottom w:val="single" w:color="00B0F0" w:sz="8" w:space="0"/>
              <w:right w:val="single" w:color="00B0F0" w:sz="8" w:space="0"/>
            </w:tcBorders>
            <w:shd w:val="clear" w:color="auto" w:fill="FFFFFF"/>
            <w:vAlign w:val="center"/>
          </w:tcPr>
          <w:p w14:paraId="7789A8CE">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98.4</w:t>
            </w:r>
          </w:p>
        </w:tc>
        <w:tc>
          <w:tcPr>
            <w:tcW w:w="606" w:type="pct"/>
            <w:tcBorders>
              <w:top w:val="nil"/>
              <w:left w:val="single" w:color="00B0F0" w:sz="8" w:space="0"/>
              <w:bottom w:val="single" w:color="00B0F0" w:sz="8" w:space="0"/>
              <w:right w:val="single" w:color="00B0F0" w:sz="8" w:space="0"/>
            </w:tcBorders>
            <w:shd w:val="clear" w:color="auto" w:fill="FFFFFF"/>
            <w:vAlign w:val="center"/>
          </w:tcPr>
          <w:p w14:paraId="5775B28A">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86.4</w:t>
            </w:r>
          </w:p>
        </w:tc>
        <w:tc>
          <w:tcPr>
            <w:tcW w:w="734" w:type="pct"/>
            <w:tcBorders>
              <w:top w:val="nil"/>
              <w:left w:val="single" w:color="00B0F0" w:sz="8" w:space="0"/>
              <w:bottom w:val="single" w:color="00B0F0" w:sz="8" w:space="0"/>
              <w:right w:val="single" w:color="00B0F0" w:sz="8" w:space="0"/>
            </w:tcBorders>
            <w:shd w:val="clear" w:color="auto" w:fill="FFFFFF"/>
            <w:vAlign w:val="center"/>
          </w:tcPr>
          <w:p w14:paraId="1337FDE6">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74.4</w:t>
            </w:r>
          </w:p>
        </w:tc>
      </w:tr>
      <w:tr w14:paraId="3FBFA40A">
        <w:trPr>
          <w:trHeight w:val="351" w:hRule="atLeast"/>
        </w:trPr>
        <w:tc>
          <w:tcPr>
            <w:tcW w:w="741" w:type="pct"/>
            <w:tcBorders>
              <w:top w:val="nil"/>
              <w:left w:val="single" w:color="00B0F0" w:sz="8" w:space="0"/>
              <w:bottom w:val="single" w:color="00B0F0" w:sz="8" w:space="0"/>
              <w:right w:val="single" w:color="00B0F0" w:sz="8" w:space="0"/>
            </w:tcBorders>
            <w:shd w:val="clear" w:color="auto" w:fill="C4E4FF"/>
            <w:vAlign w:val="center"/>
          </w:tcPr>
          <w:p w14:paraId="68F36734">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DeepSeek V3.2</w:t>
            </w:r>
          </w:p>
        </w:tc>
        <w:tc>
          <w:tcPr>
            <w:tcW w:w="553" w:type="pct"/>
            <w:tcBorders>
              <w:top w:val="nil"/>
              <w:left w:val="single" w:color="00B0F0" w:sz="8" w:space="0"/>
              <w:bottom w:val="single" w:color="00B0F0" w:sz="8" w:space="0"/>
              <w:right w:val="single" w:color="00B0F0" w:sz="8" w:space="0"/>
            </w:tcBorders>
            <w:shd w:val="clear" w:color="auto" w:fill="C4E4FF"/>
            <w:vAlign w:val="center"/>
          </w:tcPr>
          <w:p w14:paraId="15122CF2">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37B</w:t>
            </w:r>
          </w:p>
        </w:tc>
        <w:tc>
          <w:tcPr>
            <w:tcW w:w="620" w:type="pct"/>
            <w:tcBorders>
              <w:top w:val="nil"/>
              <w:left w:val="single" w:color="00B0F0" w:sz="8" w:space="0"/>
              <w:bottom w:val="single" w:color="00B0F0" w:sz="8" w:space="0"/>
              <w:right w:val="single" w:color="00B0F0" w:sz="8" w:space="0"/>
            </w:tcBorders>
            <w:shd w:val="clear" w:color="auto" w:fill="C4E4FF"/>
            <w:vAlign w:val="center"/>
          </w:tcPr>
          <w:p w14:paraId="5FBD05E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75.1*</w:t>
            </w:r>
          </w:p>
        </w:tc>
        <w:tc>
          <w:tcPr>
            <w:tcW w:w="595" w:type="pct"/>
            <w:tcBorders>
              <w:top w:val="nil"/>
              <w:left w:val="single" w:color="00B0F0" w:sz="8" w:space="0"/>
              <w:bottom w:val="single" w:color="00B0F0" w:sz="8" w:space="0"/>
              <w:right w:val="single" w:color="00B0F0" w:sz="8" w:space="0"/>
            </w:tcBorders>
            <w:shd w:val="clear" w:color="auto" w:fill="C4E4FF"/>
            <w:vAlign w:val="center"/>
          </w:tcPr>
          <w:p w14:paraId="70A80FBC">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78.0*</w:t>
            </w:r>
          </w:p>
        </w:tc>
        <w:tc>
          <w:tcPr>
            <w:tcW w:w="561" w:type="pct"/>
            <w:tcBorders>
              <w:top w:val="nil"/>
              <w:left w:val="single" w:color="00B0F0" w:sz="8" w:space="0"/>
              <w:bottom w:val="single" w:color="00B0F0" w:sz="8" w:space="0"/>
              <w:right w:val="single" w:color="00B0F0" w:sz="8" w:space="0"/>
            </w:tcBorders>
            <w:shd w:val="clear" w:color="auto" w:fill="C4E4FF"/>
            <w:vAlign w:val="center"/>
          </w:tcPr>
          <w:p w14:paraId="2C532CF0">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93.1</w:t>
            </w:r>
          </w:p>
        </w:tc>
        <w:tc>
          <w:tcPr>
            <w:tcW w:w="587" w:type="pct"/>
            <w:tcBorders>
              <w:top w:val="nil"/>
              <w:left w:val="single" w:color="00B0F0" w:sz="8" w:space="0"/>
              <w:bottom w:val="single" w:color="00B0F0" w:sz="8" w:space="0"/>
              <w:right w:val="single" w:color="00B0F0" w:sz="8" w:space="0"/>
            </w:tcBorders>
            <w:shd w:val="clear" w:color="auto" w:fill="C4E4FF"/>
            <w:vAlign w:val="center"/>
          </w:tcPr>
          <w:p w14:paraId="7436B8A6">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92.5</w:t>
            </w:r>
          </w:p>
        </w:tc>
        <w:tc>
          <w:tcPr>
            <w:tcW w:w="606" w:type="pct"/>
            <w:tcBorders>
              <w:top w:val="nil"/>
              <w:left w:val="single" w:color="00B0F0" w:sz="8" w:space="0"/>
              <w:bottom w:val="single" w:color="00B0F0" w:sz="8" w:space="0"/>
              <w:right w:val="single" w:color="00B0F0" w:sz="8" w:space="0"/>
            </w:tcBorders>
            <w:shd w:val="clear" w:color="auto" w:fill="C4E4FF"/>
            <w:vAlign w:val="center"/>
          </w:tcPr>
          <w:p w14:paraId="1A6D68CE">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83.3</w:t>
            </w:r>
          </w:p>
        </w:tc>
        <w:tc>
          <w:tcPr>
            <w:tcW w:w="734" w:type="pct"/>
            <w:tcBorders>
              <w:top w:val="nil"/>
              <w:left w:val="single" w:color="00B0F0" w:sz="8" w:space="0"/>
              <w:bottom w:val="single" w:color="00B0F0" w:sz="8" w:space="0"/>
              <w:right w:val="single" w:color="00B0F0" w:sz="8" w:space="0"/>
            </w:tcBorders>
            <w:shd w:val="clear" w:color="auto" w:fill="C4E4FF"/>
            <w:vAlign w:val="center"/>
          </w:tcPr>
          <w:p w14:paraId="553F412E">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73.1</w:t>
            </w:r>
          </w:p>
        </w:tc>
      </w:tr>
      <w:tr w14:paraId="0B1ED4F6">
        <w:trPr>
          <w:trHeight w:val="351" w:hRule="atLeast"/>
        </w:trPr>
        <w:tc>
          <w:tcPr>
            <w:tcW w:w="741" w:type="pct"/>
            <w:tcBorders>
              <w:top w:val="nil"/>
              <w:left w:val="single" w:color="00B0F0" w:sz="8" w:space="0"/>
              <w:bottom w:val="single" w:color="00B0F0" w:sz="8" w:space="0"/>
              <w:right w:val="single" w:color="00B0F0" w:sz="8" w:space="0"/>
            </w:tcBorders>
            <w:shd w:val="clear" w:color="auto" w:fill="FFFFFF"/>
            <w:vAlign w:val="center"/>
          </w:tcPr>
          <w:p w14:paraId="2F341014">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Kimi K2 / K2.5</w:t>
            </w:r>
          </w:p>
        </w:tc>
        <w:tc>
          <w:tcPr>
            <w:tcW w:w="553" w:type="pct"/>
            <w:tcBorders>
              <w:top w:val="nil"/>
              <w:left w:val="single" w:color="00B0F0" w:sz="8" w:space="0"/>
              <w:bottom w:val="single" w:color="00B0F0" w:sz="8" w:space="0"/>
              <w:right w:val="single" w:color="00B0F0" w:sz="8" w:space="0"/>
            </w:tcBorders>
            <w:shd w:val="clear" w:color="auto" w:fill="FFFFFF"/>
            <w:vAlign w:val="center"/>
          </w:tcPr>
          <w:p w14:paraId="5774DE22">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32B</w:t>
            </w:r>
          </w:p>
        </w:tc>
        <w:tc>
          <w:tcPr>
            <w:tcW w:w="620" w:type="pct"/>
            <w:tcBorders>
              <w:top w:val="nil"/>
              <w:left w:val="single" w:color="00B0F0" w:sz="8" w:space="0"/>
              <w:bottom w:val="single" w:color="00B0F0" w:sz="8" w:space="0"/>
              <w:right w:val="single" w:color="00B0F0" w:sz="8" w:space="0"/>
            </w:tcBorders>
            <w:shd w:val="clear" w:color="auto" w:fill="FFFFFF"/>
            <w:vAlign w:val="center"/>
          </w:tcPr>
          <w:p w14:paraId="5A5D138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75.6* / 75.9*</w:t>
            </w:r>
          </w:p>
        </w:tc>
        <w:tc>
          <w:tcPr>
            <w:tcW w:w="595" w:type="pct"/>
            <w:tcBorders>
              <w:top w:val="nil"/>
              <w:left w:val="single" w:color="00B0F0" w:sz="8" w:space="0"/>
              <w:bottom w:val="single" w:color="00B0F0" w:sz="8" w:space="0"/>
              <w:right w:val="single" w:color="00B0F0" w:sz="8" w:space="0"/>
            </w:tcBorders>
            <w:shd w:val="clear" w:color="auto" w:fill="FFFFFF"/>
            <w:vAlign w:val="center"/>
          </w:tcPr>
          <w:p w14:paraId="2A60999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76.0* / 76.7*</w:t>
            </w:r>
          </w:p>
        </w:tc>
        <w:tc>
          <w:tcPr>
            <w:tcW w:w="561" w:type="pct"/>
            <w:tcBorders>
              <w:top w:val="nil"/>
              <w:left w:val="single" w:color="00B0F0" w:sz="8" w:space="0"/>
              <w:bottom w:val="single" w:color="00B0F0" w:sz="8" w:space="0"/>
              <w:right w:val="single" w:color="00B0F0" w:sz="8" w:space="0"/>
            </w:tcBorders>
            <w:shd w:val="clear" w:color="auto" w:fill="FFFFFF"/>
            <w:vAlign w:val="center"/>
          </w:tcPr>
          <w:p w14:paraId="06E7BC5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94.5 / 96.1</w:t>
            </w:r>
          </w:p>
        </w:tc>
        <w:tc>
          <w:tcPr>
            <w:tcW w:w="587" w:type="pct"/>
            <w:tcBorders>
              <w:top w:val="nil"/>
              <w:left w:val="single" w:color="00B0F0" w:sz="8" w:space="0"/>
              <w:bottom w:val="single" w:color="00B0F0" w:sz="8" w:space="0"/>
              <w:right w:val="single" w:color="00B0F0" w:sz="8" w:space="0"/>
            </w:tcBorders>
            <w:shd w:val="clear" w:color="auto" w:fill="FFFFFF"/>
            <w:vAlign w:val="center"/>
          </w:tcPr>
          <w:p w14:paraId="4C91112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89.4 / 95.4</w:t>
            </w:r>
          </w:p>
        </w:tc>
        <w:tc>
          <w:tcPr>
            <w:tcW w:w="606" w:type="pct"/>
            <w:tcBorders>
              <w:top w:val="nil"/>
              <w:left w:val="single" w:color="00B0F0" w:sz="8" w:space="0"/>
              <w:bottom w:val="single" w:color="00B0F0" w:sz="8" w:space="0"/>
              <w:right w:val="single" w:color="00B0F0" w:sz="8" w:space="0"/>
            </w:tcBorders>
            <w:shd w:val="clear" w:color="auto" w:fill="FFFFFF"/>
            <w:vAlign w:val="center"/>
          </w:tcPr>
          <w:p w14:paraId="479630B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83.1 / 85.0</w:t>
            </w:r>
          </w:p>
        </w:tc>
        <w:tc>
          <w:tcPr>
            <w:tcW w:w="734" w:type="pct"/>
            <w:tcBorders>
              <w:top w:val="nil"/>
              <w:left w:val="single" w:color="00B0F0" w:sz="8" w:space="0"/>
              <w:bottom w:val="single" w:color="00B0F0" w:sz="8" w:space="0"/>
              <w:right w:val="single" w:color="00B0F0" w:sz="8" w:space="0"/>
            </w:tcBorders>
            <w:shd w:val="clear" w:color="auto" w:fill="FFFFFF"/>
            <w:vAlign w:val="center"/>
          </w:tcPr>
          <w:p w14:paraId="3BB8E3F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71.3 / 76.8</w:t>
            </w:r>
          </w:p>
        </w:tc>
      </w:tr>
      <w:tr w14:paraId="1ADE03E1">
        <w:trPr>
          <w:trHeight w:val="351" w:hRule="atLeast"/>
        </w:trPr>
        <w:tc>
          <w:tcPr>
            <w:tcW w:w="741" w:type="pct"/>
            <w:tcBorders>
              <w:top w:val="nil"/>
              <w:left w:val="single" w:color="00B0F0" w:sz="8" w:space="0"/>
              <w:bottom w:val="single" w:color="00B0F0" w:sz="8" w:space="0"/>
              <w:right w:val="single" w:color="00B0F0" w:sz="8" w:space="0"/>
            </w:tcBorders>
            <w:shd w:val="clear" w:color="auto" w:fill="C4E4FF"/>
            <w:vAlign w:val="center"/>
          </w:tcPr>
          <w:p w14:paraId="5490A0BC">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GLM-4.7</w:t>
            </w:r>
          </w:p>
        </w:tc>
        <w:tc>
          <w:tcPr>
            <w:tcW w:w="553" w:type="pct"/>
            <w:tcBorders>
              <w:top w:val="nil"/>
              <w:left w:val="single" w:color="00B0F0" w:sz="8" w:space="0"/>
              <w:bottom w:val="single" w:color="00B0F0" w:sz="8" w:space="0"/>
              <w:right w:val="single" w:color="00B0F0" w:sz="8" w:space="0"/>
            </w:tcBorders>
            <w:shd w:val="clear" w:color="auto" w:fill="C4E4FF"/>
            <w:vAlign w:val="center"/>
          </w:tcPr>
          <w:p w14:paraId="6259C3D4">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32B</w:t>
            </w:r>
          </w:p>
        </w:tc>
        <w:tc>
          <w:tcPr>
            <w:tcW w:w="620" w:type="pct"/>
            <w:tcBorders>
              <w:top w:val="nil"/>
              <w:left w:val="single" w:color="00B0F0" w:sz="8" w:space="0"/>
              <w:bottom w:val="single" w:color="00B0F0" w:sz="8" w:space="0"/>
              <w:right w:val="single" w:color="00B0F0" w:sz="8" w:space="0"/>
            </w:tcBorders>
            <w:shd w:val="clear" w:color="auto" w:fill="C4E4FF"/>
            <w:vAlign w:val="center"/>
          </w:tcPr>
          <w:p w14:paraId="7CE7B8A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61.9*</w:t>
            </w:r>
          </w:p>
        </w:tc>
        <w:tc>
          <w:tcPr>
            <w:tcW w:w="595" w:type="pct"/>
            <w:tcBorders>
              <w:top w:val="nil"/>
              <w:left w:val="single" w:color="00B0F0" w:sz="8" w:space="0"/>
              <w:bottom w:val="single" w:color="00B0F0" w:sz="8" w:space="0"/>
              <w:right w:val="single" w:color="00B0F0" w:sz="8" w:space="0"/>
            </w:tcBorders>
            <w:shd w:val="clear" w:color="auto" w:fill="C4E4FF"/>
            <w:vAlign w:val="center"/>
          </w:tcPr>
          <w:p w14:paraId="12BF8174">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72.0*</w:t>
            </w:r>
          </w:p>
        </w:tc>
        <w:tc>
          <w:tcPr>
            <w:tcW w:w="561" w:type="pct"/>
            <w:tcBorders>
              <w:top w:val="nil"/>
              <w:left w:val="single" w:color="00B0F0" w:sz="8" w:space="0"/>
              <w:bottom w:val="single" w:color="00B0F0" w:sz="8" w:space="0"/>
              <w:right w:val="single" w:color="00B0F0" w:sz="8" w:space="0"/>
            </w:tcBorders>
            <w:shd w:val="clear" w:color="auto" w:fill="C4E4FF"/>
            <w:vAlign w:val="center"/>
          </w:tcPr>
          <w:p w14:paraId="10B2F326">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95.7</w:t>
            </w:r>
          </w:p>
        </w:tc>
        <w:tc>
          <w:tcPr>
            <w:tcW w:w="587" w:type="pct"/>
            <w:tcBorders>
              <w:top w:val="nil"/>
              <w:left w:val="single" w:color="00B0F0" w:sz="8" w:space="0"/>
              <w:bottom w:val="single" w:color="00B0F0" w:sz="8" w:space="0"/>
              <w:right w:val="single" w:color="00B0F0" w:sz="8" w:space="0"/>
            </w:tcBorders>
            <w:shd w:val="clear" w:color="auto" w:fill="C4E4FF"/>
            <w:vAlign w:val="center"/>
          </w:tcPr>
          <w:p w14:paraId="688206EF">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97.1</w:t>
            </w:r>
          </w:p>
        </w:tc>
        <w:tc>
          <w:tcPr>
            <w:tcW w:w="606" w:type="pct"/>
            <w:tcBorders>
              <w:top w:val="nil"/>
              <w:left w:val="single" w:color="00B0F0" w:sz="8" w:space="0"/>
              <w:bottom w:val="single" w:color="00B0F0" w:sz="8" w:space="0"/>
              <w:right w:val="single" w:color="00B0F0" w:sz="8" w:space="0"/>
            </w:tcBorders>
            <w:shd w:val="clear" w:color="auto" w:fill="C4E4FF"/>
            <w:vAlign w:val="center"/>
          </w:tcPr>
          <w:p w14:paraId="5331D36B">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84.9</w:t>
            </w:r>
          </w:p>
        </w:tc>
        <w:tc>
          <w:tcPr>
            <w:tcW w:w="734" w:type="pct"/>
            <w:tcBorders>
              <w:top w:val="nil"/>
              <w:left w:val="single" w:color="00B0F0" w:sz="8" w:space="0"/>
              <w:bottom w:val="single" w:color="00B0F0" w:sz="8" w:space="0"/>
              <w:right w:val="single" w:color="00B0F0" w:sz="8" w:space="0"/>
            </w:tcBorders>
            <w:shd w:val="clear" w:color="auto" w:fill="C4E4FF"/>
            <w:vAlign w:val="center"/>
          </w:tcPr>
          <w:p w14:paraId="1B8F34A7">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73.8</w:t>
            </w:r>
          </w:p>
        </w:tc>
      </w:tr>
      <w:tr w14:paraId="4C823E4D">
        <w:trPr>
          <w:trHeight w:val="351" w:hRule="atLeast"/>
        </w:trPr>
        <w:tc>
          <w:tcPr>
            <w:tcW w:w="741" w:type="pct"/>
            <w:tcBorders>
              <w:top w:val="nil"/>
              <w:left w:val="single" w:color="00B0F0" w:sz="8" w:space="0"/>
              <w:bottom w:val="single" w:color="00B0F0" w:sz="8" w:space="0"/>
              <w:right w:val="single" w:color="00B0F0" w:sz="8" w:space="0"/>
            </w:tcBorders>
            <w:shd w:val="clear" w:color="auto" w:fill="FFFFFF"/>
            <w:vAlign w:val="center"/>
          </w:tcPr>
          <w:p w14:paraId="0975D39C">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MiniMax M2.1</w:t>
            </w:r>
          </w:p>
        </w:tc>
        <w:tc>
          <w:tcPr>
            <w:tcW w:w="553" w:type="pct"/>
            <w:tcBorders>
              <w:top w:val="nil"/>
              <w:left w:val="single" w:color="00B0F0" w:sz="8" w:space="0"/>
              <w:bottom w:val="single" w:color="00B0F0" w:sz="8" w:space="0"/>
              <w:right w:val="single" w:color="00B0F0" w:sz="8" w:space="0"/>
            </w:tcBorders>
            <w:shd w:val="clear" w:color="auto" w:fill="FFFFFF"/>
            <w:vAlign w:val="center"/>
          </w:tcPr>
          <w:p w14:paraId="6416FF5A">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10B</w:t>
            </w:r>
          </w:p>
        </w:tc>
        <w:tc>
          <w:tcPr>
            <w:tcW w:w="620" w:type="pct"/>
            <w:tcBorders>
              <w:top w:val="nil"/>
              <w:left w:val="single" w:color="00B0F0" w:sz="8" w:space="0"/>
              <w:bottom w:val="single" w:color="00B0F0" w:sz="8" w:space="0"/>
              <w:right w:val="single" w:color="00B0F0" w:sz="8" w:space="0"/>
            </w:tcBorders>
            <w:shd w:val="clear" w:color="auto" w:fill="FFFFFF"/>
            <w:vAlign w:val="center"/>
          </w:tcPr>
          <w:p w14:paraId="7594A5A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64.3*</w:t>
            </w:r>
          </w:p>
        </w:tc>
        <w:tc>
          <w:tcPr>
            <w:tcW w:w="595" w:type="pct"/>
            <w:tcBorders>
              <w:top w:val="nil"/>
              <w:left w:val="single" w:color="00B0F0" w:sz="8" w:space="0"/>
              <w:bottom w:val="single" w:color="00B0F0" w:sz="8" w:space="0"/>
              <w:right w:val="single" w:color="00B0F0" w:sz="8" w:space="0"/>
            </w:tcBorders>
            <w:shd w:val="clear" w:color="auto" w:fill="FFFFFF"/>
            <w:vAlign w:val="center"/>
          </w:tcPr>
          <w:p w14:paraId="39BDDAD1">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68.7*</w:t>
            </w:r>
          </w:p>
        </w:tc>
        <w:tc>
          <w:tcPr>
            <w:tcW w:w="561" w:type="pct"/>
            <w:tcBorders>
              <w:top w:val="nil"/>
              <w:left w:val="single" w:color="00B0F0" w:sz="8" w:space="0"/>
              <w:bottom w:val="single" w:color="00B0F0" w:sz="8" w:space="0"/>
              <w:right w:val="single" w:color="00B0F0" w:sz="8" w:space="0"/>
            </w:tcBorders>
            <w:shd w:val="clear" w:color="auto" w:fill="FFFFFF"/>
            <w:vAlign w:val="center"/>
          </w:tcPr>
          <w:p w14:paraId="5EA5E38E">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83</w:t>
            </w:r>
          </w:p>
        </w:tc>
        <w:tc>
          <w:tcPr>
            <w:tcW w:w="587" w:type="pct"/>
            <w:tcBorders>
              <w:top w:val="nil"/>
              <w:left w:val="single" w:color="00B0F0" w:sz="8" w:space="0"/>
              <w:bottom w:val="single" w:color="00B0F0" w:sz="8" w:space="0"/>
              <w:right w:val="single" w:color="00B0F0" w:sz="8" w:space="0"/>
            </w:tcBorders>
            <w:shd w:val="clear" w:color="auto" w:fill="FFFFFF"/>
            <w:vAlign w:val="center"/>
          </w:tcPr>
          <w:p w14:paraId="6F252AE4">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71.0*</w:t>
            </w:r>
          </w:p>
        </w:tc>
        <w:tc>
          <w:tcPr>
            <w:tcW w:w="606" w:type="pct"/>
            <w:tcBorders>
              <w:top w:val="nil"/>
              <w:left w:val="single" w:color="00B0F0" w:sz="8" w:space="0"/>
              <w:bottom w:val="single" w:color="00B0F0" w:sz="8" w:space="0"/>
              <w:right w:val="single" w:color="00B0F0" w:sz="8" w:space="0"/>
            </w:tcBorders>
            <w:shd w:val="clear" w:color="auto" w:fill="FFFFFF"/>
            <w:vAlign w:val="center"/>
          </w:tcPr>
          <w:p w14:paraId="1897F427">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w:t>
            </w:r>
          </w:p>
        </w:tc>
        <w:tc>
          <w:tcPr>
            <w:tcW w:w="734" w:type="pct"/>
            <w:tcBorders>
              <w:top w:val="nil"/>
              <w:left w:val="single" w:color="00B0F0" w:sz="8" w:space="0"/>
              <w:bottom w:val="single" w:color="00B0F0" w:sz="8" w:space="0"/>
              <w:right w:val="single" w:color="00B0F0" w:sz="8" w:space="0"/>
            </w:tcBorders>
            <w:shd w:val="clear" w:color="auto" w:fill="FFFFFF"/>
            <w:vAlign w:val="center"/>
          </w:tcPr>
          <w:p w14:paraId="5E742408">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74</w:t>
            </w:r>
          </w:p>
        </w:tc>
      </w:tr>
      <w:tr w14:paraId="25F96233">
        <w:trPr>
          <w:trHeight w:val="351" w:hRule="atLeast"/>
        </w:trPr>
        <w:tc>
          <w:tcPr>
            <w:tcW w:w="741" w:type="pct"/>
            <w:tcBorders>
              <w:top w:val="nil"/>
              <w:left w:val="single" w:color="00B0F0" w:sz="8" w:space="0"/>
              <w:bottom w:val="single" w:color="00B0F0" w:sz="8" w:space="0"/>
              <w:right w:val="single" w:color="00B0F0" w:sz="8" w:space="0"/>
            </w:tcBorders>
            <w:shd w:val="clear" w:color="auto" w:fill="C4E4FF"/>
            <w:vAlign w:val="center"/>
          </w:tcPr>
          <w:p w14:paraId="47C4E4A5">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MiMo-V2 Flash</w:t>
            </w:r>
          </w:p>
        </w:tc>
        <w:tc>
          <w:tcPr>
            <w:tcW w:w="553" w:type="pct"/>
            <w:tcBorders>
              <w:top w:val="nil"/>
              <w:left w:val="single" w:color="00B0F0" w:sz="8" w:space="0"/>
              <w:bottom w:val="single" w:color="00B0F0" w:sz="8" w:space="0"/>
              <w:right w:val="single" w:color="00B0F0" w:sz="8" w:space="0"/>
            </w:tcBorders>
            <w:shd w:val="clear" w:color="auto" w:fill="C4E4FF"/>
            <w:vAlign w:val="center"/>
          </w:tcPr>
          <w:p w14:paraId="5743BC03">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15B</w:t>
            </w:r>
          </w:p>
        </w:tc>
        <w:tc>
          <w:tcPr>
            <w:tcW w:w="620" w:type="pct"/>
            <w:tcBorders>
              <w:top w:val="nil"/>
              <w:left w:val="single" w:color="00B0F0" w:sz="8" w:space="0"/>
              <w:bottom w:val="single" w:color="00B0F0" w:sz="8" w:space="0"/>
              <w:right w:val="single" w:color="00B0F0" w:sz="8" w:space="0"/>
            </w:tcBorders>
            <w:shd w:val="clear" w:color="auto" w:fill="C4E4FF"/>
            <w:vAlign w:val="center"/>
          </w:tcPr>
          <w:p w14:paraId="30E5C36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78.2*</w:t>
            </w:r>
          </w:p>
        </w:tc>
        <w:tc>
          <w:tcPr>
            <w:tcW w:w="595" w:type="pct"/>
            <w:tcBorders>
              <w:top w:val="nil"/>
              <w:left w:val="single" w:color="00B0F0" w:sz="8" w:space="0"/>
              <w:bottom w:val="single" w:color="00B0F0" w:sz="8" w:space="0"/>
              <w:right w:val="single" w:color="00B0F0" w:sz="8" w:space="0"/>
            </w:tcBorders>
            <w:shd w:val="clear" w:color="auto" w:fill="C4E4FF"/>
            <w:vAlign w:val="center"/>
          </w:tcPr>
          <w:p w14:paraId="09A2CF1F">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69.3*</w:t>
            </w:r>
          </w:p>
        </w:tc>
        <w:tc>
          <w:tcPr>
            <w:tcW w:w="561" w:type="pct"/>
            <w:tcBorders>
              <w:top w:val="nil"/>
              <w:left w:val="single" w:color="00B0F0" w:sz="8" w:space="0"/>
              <w:bottom w:val="single" w:color="00B0F0" w:sz="8" w:space="0"/>
              <w:right w:val="single" w:color="00B0F0" w:sz="8" w:space="0"/>
            </w:tcBorders>
            <w:shd w:val="clear" w:color="auto" w:fill="C4E4FF"/>
            <w:vAlign w:val="center"/>
          </w:tcPr>
          <w:p w14:paraId="3800193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94.1 (95.1*)</w:t>
            </w:r>
          </w:p>
        </w:tc>
        <w:tc>
          <w:tcPr>
            <w:tcW w:w="587" w:type="pct"/>
            <w:tcBorders>
              <w:top w:val="nil"/>
              <w:left w:val="single" w:color="00B0F0" w:sz="8" w:space="0"/>
              <w:bottom w:val="single" w:color="00B0F0" w:sz="8" w:space="0"/>
              <w:right w:val="single" w:color="00B0F0" w:sz="8" w:space="0"/>
            </w:tcBorders>
            <w:shd w:val="clear" w:color="auto" w:fill="C4E4FF"/>
            <w:vAlign w:val="center"/>
          </w:tcPr>
          <w:p w14:paraId="50A967F2">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84.4 (95.4*)</w:t>
            </w:r>
          </w:p>
        </w:tc>
        <w:tc>
          <w:tcPr>
            <w:tcW w:w="606" w:type="pct"/>
            <w:tcBorders>
              <w:top w:val="nil"/>
              <w:left w:val="single" w:color="00B0F0" w:sz="8" w:space="0"/>
              <w:bottom w:val="single" w:color="00B0F0" w:sz="8" w:space="0"/>
              <w:right w:val="single" w:color="00B0F0" w:sz="8" w:space="0"/>
            </w:tcBorders>
            <w:shd w:val="clear" w:color="auto" w:fill="C4E4FF"/>
            <w:vAlign w:val="center"/>
          </w:tcPr>
          <w:p w14:paraId="03882690">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80.6 (81.6*)</w:t>
            </w:r>
          </w:p>
        </w:tc>
        <w:tc>
          <w:tcPr>
            <w:tcW w:w="734" w:type="pct"/>
            <w:tcBorders>
              <w:top w:val="nil"/>
              <w:left w:val="single" w:color="00B0F0" w:sz="8" w:space="0"/>
              <w:bottom w:val="single" w:color="00B0F0" w:sz="8" w:space="0"/>
              <w:right w:val="single" w:color="00B0F0" w:sz="8" w:space="0"/>
            </w:tcBorders>
            <w:shd w:val="clear" w:color="auto" w:fill="C4E4FF"/>
            <w:vAlign w:val="center"/>
          </w:tcPr>
          <w:p w14:paraId="6C6BA83E">
            <w:pPr>
              <w:keepNext w:val="0"/>
              <w:keepLines w:val="0"/>
              <w:pageBreakBefore w:val="0"/>
              <w:widowControl/>
              <w:suppressLineNumbers w:val="0"/>
              <w:kinsoku/>
              <w:wordWrap/>
              <w:overflowPunct/>
              <w:topLinePunct w:val="0"/>
              <w:autoSpaceDE/>
              <w:autoSpaceDN/>
              <w:bidi w:val="0"/>
              <w:adjustRightInd/>
              <w:snapToGrid/>
              <w:spacing w:line="240" w:lineRule="auto"/>
              <w:ind w:firstLine="300" w:firstLineChars="200"/>
              <w:jc w:val="center"/>
              <w:textAlignment w:val="auto"/>
              <w:rPr>
                <w:rFonts w:hint="eastAsia" w:ascii="Times New Roman" w:hAnsi="Times New Roman" w:eastAsiaTheme="majorEastAsia" w:cstheme="majorEastAsia"/>
                <w:i w:val="0"/>
                <w:iCs w:val="0"/>
                <w:color w:val="060607"/>
                <w:sz w:val="15"/>
                <w:szCs w:val="15"/>
                <w:u w:val="none"/>
              </w:rPr>
            </w:pPr>
            <w:r>
              <w:rPr>
                <w:rFonts w:hint="eastAsia" w:ascii="Times New Roman" w:hAnsi="Times New Roman" w:eastAsiaTheme="majorEastAsia" w:cstheme="majorEastAsia"/>
                <w:i w:val="0"/>
                <w:iCs w:val="0"/>
                <w:color w:val="060607"/>
                <w:kern w:val="0"/>
                <w:sz w:val="15"/>
                <w:szCs w:val="15"/>
                <w:u w:val="none"/>
                <w:lang w:val="en-US" w:eastAsia="zh-CN" w:bidi="ar"/>
              </w:rPr>
              <w:t>73.4</w:t>
            </w:r>
          </w:p>
        </w:tc>
      </w:tr>
    </w:tbl>
    <w:p w14:paraId="03528696">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rPr>
      </w:pPr>
    </w:p>
    <w:p w14:paraId="77849954">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在 2026 年大模型从“参数竞赛”全面转向“工程落地”的关键拐点，阶跃星辰Step 3.5 Flash的登场无疑是一场降维打击。当行业仍在长上下文的高昂成本与延迟困局中挣扎时，Step 3.5 F</w:t>
      </w:r>
      <w:r>
        <w:rPr>
          <w:rFonts w:hint="default" w:ascii="Times New Roman" w:hAnsi="Times New Roman" w:eastAsiaTheme="majorEastAsia" w:cstheme="majorEastAsia"/>
          <w:vertAlign w:val="baseline"/>
          <w:lang w:val="en-US" w:eastAsia="zh-CN"/>
        </w:rPr>
        <w:t>lash</w:t>
      </w:r>
      <w:r>
        <w:rPr>
          <w:rFonts w:hint="eastAsia" w:ascii="Times New Roman" w:hAnsi="Times New Roman" w:eastAsiaTheme="majorEastAsia" w:cstheme="majorEastAsia"/>
          <w:vertAlign w:val="baseline"/>
          <w:lang w:val="en-US" w:eastAsia="zh-CN"/>
        </w:rPr>
        <w:t>凭借1.0x的基准成本与100+ TPS的极速响应，彻底终结了高性能、低延迟、低成本之间的“不可能三角”。</w:t>
      </w:r>
    </w:p>
    <w:p w14:paraId="442E00CC">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rPr>
      </w:pP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720"/>
        <w:gridCol w:w="4800"/>
      </w:tblGrid>
      <w:tr w14:paraId="67224BE0">
        <w:trPr>
          <w:trHeight w:val="402" w:hRule="atLeast"/>
        </w:trPr>
        <w:tc>
          <w:tcPr>
            <w:tcW w:w="2183" w:type="pct"/>
            <w:tcBorders>
              <w:top w:val="nil"/>
              <w:left w:val="single" w:color="00B0F0" w:sz="8" w:space="0"/>
              <w:bottom w:val="single" w:color="00B0F0" w:sz="8" w:space="0"/>
              <w:right w:val="single" w:color="00B0F0" w:sz="8" w:space="0"/>
            </w:tcBorders>
            <w:shd w:val="clear" w:color="auto" w:fill="004590"/>
            <w:vAlign w:val="center"/>
          </w:tcPr>
          <w:p w14:paraId="3AD3CC89">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center"/>
              <w:textAlignment w:val="auto"/>
              <w:rPr>
                <w:rFonts w:hint="eastAsia" w:ascii="Times New Roman" w:hAnsi="Times New Roman" w:eastAsiaTheme="majorEastAsia" w:cstheme="majorEastAsia"/>
                <w:b/>
                <w:bCs/>
                <w:i w:val="0"/>
                <w:iCs w:val="0"/>
                <w:color w:val="FFFFFF"/>
                <w:sz w:val="16"/>
                <w:szCs w:val="16"/>
                <w:u w:val="none"/>
              </w:rPr>
            </w:pPr>
            <w:r>
              <w:rPr>
                <w:rFonts w:hint="eastAsia" w:ascii="Times New Roman" w:hAnsi="Times New Roman" w:eastAsiaTheme="majorEastAsia" w:cstheme="majorEastAsia"/>
                <w:b/>
                <w:bCs/>
                <w:i w:val="0"/>
                <w:iCs w:val="0"/>
                <w:color w:val="FFFFFF"/>
                <w:kern w:val="0"/>
                <w:sz w:val="20"/>
                <w:szCs w:val="20"/>
                <w:u w:val="none"/>
                <w:lang w:val="en-US" w:eastAsia="zh-CN" w:bidi="ar"/>
              </w:rPr>
              <w:t>Benchmark / Model</w:t>
            </w:r>
          </w:p>
        </w:tc>
        <w:tc>
          <w:tcPr>
            <w:tcW w:w="2816" w:type="pct"/>
            <w:tcBorders>
              <w:top w:val="nil"/>
              <w:left w:val="single" w:color="00B0F0" w:sz="8" w:space="0"/>
              <w:bottom w:val="single" w:color="00B0F0" w:sz="8" w:space="0"/>
              <w:right w:val="single" w:color="00B0F0" w:sz="8" w:space="0"/>
            </w:tcBorders>
            <w:shd w:val="clear" w:color="auto" w:fill="004590"/>
            <w:vAlign w:val="center"/>
          </w:tcPr>
          <w:p w14:paraId="572CF0E7">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center"/>
              <w:textAlignment w:val="auto"/>
              <w:rPr>
                <w:rFonts w:hint="eastAsia" w:ascii="Times New Roman" w:hAnsi="Times New Roman" w:eastAsiaTheme="majorEastAsia" w:cstheme="majorEastAsia"/>
                <w:b/>
                <w:bCs/>
                <w:i w:val="0"/>
                <w:iCs w:val="0"/>
                <w:color w:val="FFFFFF"/>
                <w:sz w:val="20"/>
                <w:szCs w:val="20"/>
                <w:u w:val="none"/>
              </w:rPr>
            </w:pPr>
            <w:r>
              <w:rPr>
                <w:rFonts w:hint="eastAsia" w:ascii="Times New Roman" w:hAnsi="Times New Roman" w:eastAsiaTheme="majorEastAsia" w:cstheme="majorEastAsia"/>
                <w:b/>
                <w:bCs/>
                <w:i w:val="0"/>
                <w:iCs w:val="0"/>
                <w:color w:val="FFFFFF"/>
                <w:kern w:val="0"/>
                <w:sz w:val="20"/>
                <w:szCs w:val="20"/>
                <w:u w:val="none"/>
                <w:lang w:val="en-US" w:eastAsia="zh-CN" w:bidi="ar"/>
              </w:rPr>
              <w:t>Est. decoding cost (128K context)</w:t>
            </w:r>
          </w:p>
        </w:tc>
      </w:tr>
      <w:tr w14:paraId="62222EAF">
        <w:trPr>
          <w:trHeight w:val="355" w:hRule="atLeast"/>
        </w:trPr>
        <w:tc>
          <w:tcPr>
            <w:tcW w:w="2183" w:type="pct"/>
            <w:tcBorders>
              <w:top w:val="nil"/>
              <w:left w:val="single" w:color="00B0F0" w:sz="8" w:space="0"/>
              <w:bottom w:val="single" w:color="00B0F0" w:sz="8" w:space="0"/>
              <w:right w:val="single" w:color="00B0F0" w:sz="8" w:space="0"/>
            </w:tcBorders>
            <w:shd w:val="clear" w:color="auto" w:fill="FFFFFF"/>
            <w:vAlign w:val="center"/>
          </w:tcPr>
          <w:p w14:paraId="5C37A1E4">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Step 3.5 Flash</w:t>
            </w:r>
          </w:p>
        </w:tc>
        <w:tc>
          <w:tcPr>
            <w:tcW w:w="2816" w:type="pct"/>
            <w:tcBorders>
              <w:top w:val="nil"/>
              <w:left w:val="single" w:color="00B0F0" w:sz="8" w:space="0"/>
              <w:bottom w:val="single" w:color="00B0F0" w:sz="8" w:space="0"/>
              <w:right w:val="single" w:color="00B0F0" w:sz="8" w:space="0"/>
            </w:tcBorders>
            <w:shd w:val="clear" w:color="auto" w:fill="FFFFFF"/>
            <w:vAlign w:val="center"/>
          </w:tcPr>
          <w:p w14:paraId="3EE85BFC">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1.0x (100 TPS)</w:t>
            </w:r>
          </w:p>
        </w:tc>
      </w:tr>
      <w:tr w14:paraId="303E2BAE">
        <w:trPr>
          <w:trHeight w:val="351" w:hRule="atLeast"/>
        </w:trPr>
        <w:tc>
          <w:tcPr>
            <w:tcW w:w="2183" w:type="pct"/>
            <w:tcBorders>
              <w:top w:val="nil"/>
              <w:left w:val="single" w:color="00B0F0" w:sz="8" w:space="0"/>
              <w:bottom w:val="single" w:color="00B0F0" w:sz="8" w:space="0"/>
              <w:right w:val="single" w:color="00B0F0" w:sz="8" w:space="0"/>
            </w:tcBorders>
            <w:shd w:val="clear" w:color="auto" w:fill="C4E4FF"/>
            <w:vAlign w:val="center"/>
          </w:tcPr>
          <w:p w14:paraId="12AED15C">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DeepSeek V3.2</w:t>
            </w:r>
          </w:p>
        </w:tc>
        <w:tc>
          <w:tcPr>
            <w:tcW w:w="2816" w:type="pct"/>
            <w:tcBorders>
              <w:top w:val="nil"/>
              <w:left w:val="single" w:color="00B0F0" w:sz="8" w:space="0"/>
              <w:bottom w:val="single" w:color="00B0F0" w:sz="8" w:space="0"/>
              <w:right w:val="single" w:color="00B0F0" w:sz="8" w:space="0"/>
            </w:tcBorders>
            <w:shd w:val="clear" w:color="auto" w:fill="C4E4FF"/>
            <w:vAlign w:val="center"/>
          </w:tcPr>
          <w:p w14:paraId="586FE8FE">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6.0x (33 TPS)</w:t>
            </w:r>
          </w:p>
        </w:tc>
      </w:tr>
      <w:tr w14:paraId="2C3FB413">
        <w:trPr>
          <w:trHeight w:val="336" w:hRule="atLeast"/>
        </w:trPr>
        <w:tc>
          <w:tcPr>
            <w:tcW w:w="2183" w:type="pct"/>
            <w:tcBorders>
              <w:top w:val="nil"/>
              <w:left w:val="single" w:color="00B0F0" w:sz="8" w:space="0"/>
              <w:bottom w:val="single" w:color="00B0F0" w:sz="8" w:space="0"/>
              <w:right w:val="single" w:color="00B0F0" w:sz="8" w:space="0"/>
            </w:tcBorders>
            <w:shd w:val="clear" w:color="auto" w:fill="FFFFFF"/>
            <w:vAlign w:val="center"/>
          </w:tcPr>
          <w:p w14:paraId="7DFEF1B0">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Kimi K2 / K2.5</w:t>
            </w:r>
          </w:p>
        </w:tc>
        <w:tc>
          <w:tcPr>
            <w:tcW w:w="2816" w:type="pct"/>
            <w:tcBorders>
              <w:top w:val="nil"/>
              <w:left w:val="single" w:color="00B0F0" w:sz="8" w:space="0"/>
              <w:bottom w:val="single" w:color="00B0F0" w:sz="8" w:space="0"/>
              <w:right w:val="single" w:color="00B0F0" w:sz="8" w:space="0"/>
            </w:tcBorders>
            <w:shd w:val="clear" w:color="auto" w:fill="FFFFFF"/>
            <w:vAlign w:val="center"/>
          </w:tcPr>
          <w:p w14:paraId="7E4C88C2">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18.9x (33 TPS)</w:t>
            </w:r>
          </w:p>
        </w:tc>
      </w:tr>
      <w:tr w14:paraId="09B8859C">
        <w:trPr>
          <w:trHeight w:val="336" w:hRule="atLeast"/>
        </w:trPr>
        <w:tc>
          <w:tcPr>
            <w:tcW w:w="2183" w:type="pct"/>
            <w:tcBorders>
              <w:top w:val="nil"/>
              <w:left w:val="single" w:color="00B0F0" w:sz="8" w:space="0"/>
              <w:bottom w:val="single" w:color="00B0F0" w:sz="8" w:space="0"/>
              <w:right w:val="single" w:color="00B0F0" w:sz="8" w:space="0"/>
            </w:tcBorders>
            <w:shd w:val="clear" w:color="auto" w:fill="C4E4FF"/>
            <w:vAlign w:val="center"/>
          </w:tcPr>
          <w:p w14:paraId="37CE7DD0">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GLM-4.7</w:t>
            </w:r>
          </w:p>
        </w:tc>
        <w:tc>
          <w:tcPr>
            <w:tcW w:w="2816" w:type="pct"/>
            <w:tcBorders>
              <w:top w:val="nil"/>
              <w:left w:val="single" w:color="00B0F0" w:sz="8" w:space="0"/>
              <w:bottom w:val="single" w:color="00B0F0" w:sz="8" w:space="0"/>
              <w:right w:val="single" w:color="00B0F0" w:sz="8" w:space="0"/>
            </w:tcBorders>
            <w:shd w:val="clear" w:color="auto" w:fill="C4E4FF"/>
            <w:vAlign w:val="center"/>
          </w:tcPr>
          <w:p w14:paraId="1F6F787C">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18.9x (100 TPS)</w:t>
            </w:r>
          </w:p>
        </w:tc>
      </w:tr>
      <w:tr w14:paraId="03D2FB7E">
        <w:trPr>
          <w:trHeight w:val="336" w:hRule="atLeast"/>
        </w:trPr>
        <w:tc>
          <w:tcPr>
            <w:tcW w:w="2183" w:type="pct"/>
            <w:tcBorders>
              <w:top w:val="nil"/>
              <w:left w:val="single" w:color="00B0F0" w:sz="8" w:space="0"/>
              <w:bottom w:val="single" w:color="00B0F0" w:sz="8" w:space="0"/>
              <w:right w:val="single" w:color="00B0F0" w:sz="8" w:space="0"/>
            </w:tcBorders>
            <w:shd w:val="clear" w:color="auto" w:fill="FFFFFF"/>
            <w:vAlign w:val="center"/>
          </w:tcPr>
          <w:p w14:paraId="699C5A2A">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MiniMax M2.1</w:t>
            </w:r>
          </w:p>
        </w:tc>
        <w:tc>
          <w:tcPr>
            <w:tcW w:w="2816" w:type="pct"/>
            <w:tcBorders>
              <w:top w:val="nil"/>
              <w:left w:val="single" w:color="00B0F0" w:sz="8" w:space="0"/>
              <w:bottom w:val="single" w:color="00B0F0" w:sz="8" w:space="0"/>
              <w:right w:val="single" w:color="00B0F0" w:sz="8" w:space="0"/>
            </w:tcBorders>
            <w:shd w:val="clear" w:color="auto" w:fill="FFFFFF"/>
            <w:vAlign w:val="center"/>
          </w:tcPr>
          <w:p w14:paraId="51B30173">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3.9x (100 TPS)</w:t>
            </w:r>
          </w:p>
        </w:tc>
      </w:tr>
      <w:tr w14:paraId="7D424E10">
        <w:trPr>
          <w:trHeight w:val="336" w:hRule="atLeast"/>
        </w:trPr>
        <w:tc>
          <w:tcPr>
            <w:tcW w:w="2183" w:type="pct"/>
            <w:tcBorders>
              <w:top w:val="nil"/>
              <w:left w:val="single" w:color="00B0F0" w:sz="8" w:space="0"/>
              <w:bottom w:val="single" w:color="00B0F0" w:sz="8" w:space="0"/>
              <w:right w:val="single" w:color="00B0F0" w:sz="8" w:space="0"/>
            </w:tcBorders>
            <w:shd w:val="clear" w:color="auto" w:fill="C4E4FF"/>
            <w:vAlign w:val="center"/>
          </w:tcPr>
          <w:p w14:paraId="31CCA56C">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sz w:val="18"/>
                <w:szCs w:val="18"/>
                <w:u w:val="none"/>
              </w:rPr>
            </w:pPr>
            <w:r>
              <w:rPr>
                <w:rFonts w:hint="eastAsia" w:ascii="Times New Roman" w:hAnsi="Times New Roman" w:eastAsiaTheme="majorEastAsia" w:cstheme="majorEastAsia"/>
                <w:i w:val="0"/>
                <w:iCs w:val="0"/>
                <w:color w:val="060607"/>
                <w:kern w:val="0"/>
                <w:sz w:val="18"/>
                <w:szCs w:val="18"/>
                <w:u w:val="none"/>
                <w:lang w:val="en-US" w:eastAsia="zh-CN" w:bidi="ar"/>
              </w:rPr>
              <w:t>MiMo-V2 Flash</w:t>
            </w:r>
          </w:p>
        </w:tc>
        <w:tc>
          <w:tcPr>
            <w:tcW w:w="2816" w:type="pct"/>
            <w:tcBorders>
              <w:top w:val="nil"/>
              <w:left w:val="single" w:color="00B0F0" w:sz="8" w:space="0"/>
              <w:bottom w:val="single" w:color="00B0F0" w:sz="8" w:space="0"/>
              <w:right w:val="single" w:color="00B0F0" w:sz="8" w:space="0"/>
            </w:tcBorders>
            <w:shd w:val="clear" w:color="auto" w:fill="C4E4FF"/>
            <w:vAlign w:val="center"/>
          </w:tcPr>
          <w:p w14:paraId="51D3350C">
            <w:pPr>
              <w:keepNext w:val="0"/>
              <w:keepLines w:val="0"/>
              <w:pageBreakBefore w:val="0"/>
              <w:widowControl/>
              <w:suppressLineNumbers w:val="0"/>
              <w:kinsoku/>
              <w:wordWrap/>
              <w:overflowPunct/>
              <w:topLinePunct w:val="0"/>
              <w:autoSpaceDE/>
              <w:autoSpaceDN/>
              <w:bidi w:val="0"/>
              <w:adjustRightInd/>
              <w:snapToGrid/>
              <w:spacing w:line="240" w:lineRule="auto"/>
              <w:ind w:firstLine="360" w:firstLineChars="200"/>
              <w:jc w:val="center"/>
              <w:textAlignment w:val="auto"/>
              <w:rPr>
                <w:rFonts w:hint="eastAsia" w:ascii="Times New Roman" w:hAnsi="Times New Roman" w:eastAsiaTheme="majorEastAsia" w:cstheme="majorEastAsia"/>
                <w:i w:val="0"/>
                <w:iCs w:val="0"/>
                <w:color w:val="060607"/>
                <w:kern w:val="0"/>
                <w:sz w:val="18"/>
                <w:szCs w:val="18"/>
                <w:u w:val="none"/>
                <w:lang w:val="en-US" w:eastAsia="zh-CN" w:bidi="ar"/>
              </w:rPr>
            </w:pPr>
            <w:r>
              <w:rPr>
                <w:rFonts w:hint="eastAsia" w:ascii="Times New Roman" w:hAnsi="Times New Roman" w:eastAsiaTheme="majorEastAsia" w:cstheme="majorEastAsia"/>
                <w:i w:val="0"/>
                <w:iCs w:val="0"/>
                <w:color w:val="060607"/>
                <w:kern w:val="0"/>
                <w:sz w:val="18"/>
                <w:szCs w:val="18"/>
                <w:u w:val="none"/>
                <w:lang w:val="en-US" w:eastAsia="zh-CN" w:bidi="ar"/>
              </w:rPr>
              <w:t>1.2x (100 TPS)</w:t>
            </w:r>
          </w:p>
        </w:tc>
      </w:tr>
    </w:tbl>
    <w:p w14:paraId="233632BC">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30EC39C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r>
        <w:rPr>
          <w:rFonts w:hint="eastAsia" w:ascii="Times New Roman" w:hAnsi="Times New Roman" w:eastAsiaTheme="majorEastAsia" w:cstheme="majorEastAsia"/>
          <w:color w:val="0000FF"/>
          <w:vertAlign w:val="baseline"/>
          <w:lang w:val="en-US" w:eastAsia="zh-CN"/>
        </w:rPr>
        <w:t>技术突破：MTP-3并行预测架构与细粒度MoE路由</w:t>
      </w:r>
    </w:p>
    <w:p w14:paraId="6A0EF2B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lang w:eastAsia="zh-CN"/>
        </w:rPr>
      </w:pPr>
    </w:p>
    <w:p w14:paraId="6054394A">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Step 3.5 Flash的卓越性能，根植于其对“智能体基座”逻辑的底层重构。其核心技术MTP-3（多Token并行预测）与细粒度稀疏混合专家（MoE）路由，</w:t>
      </w:r>
      <w:r>
        <w:rPr>
          <w:rFonts w:hint="eastAsia" w:ascii="Times New Roman" w:hAnsi="Times New Roman" w:eastAsiaTheme="majorEastAsia" w:cstheme="majorEastAsia"/>
          <w:vertAlign w:val="baseline"/>
          <w:lang w:val="en-US" w:eastAsia="zh-CN"/>
        </w:rPr>
        <w:t>夯实</w:t>
      </w:r>
      <w:r>
        <w:rPr>
          <w:rFonts w:hint="eastAsia" w:ascii="Times New Roman" w:hAnsi="Times New Roman" w:eastAsiaTheme="majorEastAsia" w:cstheme="majorEastAsia"/>
          <w:vertAlign w:val="baseline"/>
        </w:rPr>
        <w:t>了其在高频、重度Agent任务中极致能效比的</w:t>
      </w:r>
      <w:r>
        <w:rPr>
          <w:rFonts w:hint="eastAsia" w:ascii="Times New Roman" w:hAnsi="Times New Roman" w:eastAsiaTheme="majorEastAsia" w:cstheme="majorEastAsia"/>
          <w:vertAlign w:val="baseline"/>
          <w:lang w:val="en-US" w:eastAsia="zh-CN"/>
        </w:rPr>
        <w:t>基础</w:t>
      </w:r>
      <w:r>
        <w:rPr>
          <w:rFonts w:hint="eastAsia" w:ascii="Times New Roman" w:hAnsi="Times New Roman" w:eastAsiaTheme="majorEastAsia" w:cstheme="majorEastAsia"/>
          <w:vertAlign w:val="baseline"/>
        </w:rPr>
        <w:t>。</w:t>
      </w:r>
    </w:p>
    <w:p w14:paraId="206A3B6F">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18418CD6">
      <w:pPr>
        <w:keepNext w:val="0"/>
        <w:keepLines w:val="0"/>
        <w:pageBreakBefore w:val="0"/>
        <w:numPr>
          <w:ilvl w:val="0"/>
          <w:numId w:val="3"/>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精益架构：以“举重若轻”实现极致能效比</w:t>
      </w:r>
    </w:p>
    <w:p w14:paraId="15A60AF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31DDB0E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Step 3.5 Flash的卓越性能源于对“智能体基座”逻辑的底层重构。其核心采用了细粒度MoE（混合专家）架构：模型总参数量虽高达196.81B，但通过自研的智能路由策略，在处理具体任务时仅需调用约11B的激活参数。这种“大身躯、轻引擎”的设计，如同在一个拥有数百名顶尖专家的团队中，每次精准指派最合适的8位专家协作，确保了模型在保持深度逻辑能力的同时，将推理成本降至行业的“生死线”水平（1.0x基准成本），彻底解决了Agent规模化落地的成本瓶颈。</w:t>
      </w:r>
    </w:p>
    <w:p w14:paraId="637019CD">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459A0A7E">
      <w:pPr>
        <w:keepNext w:val="0"/>
        <w:keepLines w:val="0"/>
        <w:pageBreakBefore w:val="0"/>
        <w:numPr>
          <w:ilvl w:val="0"/>
          <w:numId w:val="3"/>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算法革新：以并行预测与智能记忆实现瞬时响应</w:t>
      </w:r>
    </w:p>
    <w:p w14:paraId="62E3865B">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7D18D02F">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针对智能体协作中的延迟痛点，Step 3.5 Flash引入了MTP-3（多Token并行预测）技术，打破了传统模型“逐字生成”的效率限制。它能够单次预测后续3-4个字词，使吞吐量跨越至100-350 TPS，让AI的思考从“加载中”变为“瞬时完成”。同时，配合独创的3:1滑动窗口注意力机制（SWA），模型在处理256K超长上下文（海量文档或复杂代码库）时，既能保持逻辑的连续性与精准度，又大幅削减了计算开销，为复杂多步骤推理提供了坚实的技术支撑。</w:t>
      </w:r>
    </w:p>
    <w:p w14:paraId="52A5A16F">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drawing>
          <wp:inline distT="0" distB="0" distL="114300" distR="114300">
            <wp:extent cx="5267960" cy="3086735"/>
            <wp:effectExtent l="0" t="0" r="15240" b="1206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7"/>
                    <a:stretch>
                      <a:fillRect/>
                    </a:stretch>
                  </pic:blipFill>
                  <pic:spPr>
                    <a:xfrm>
                      <a:off x="0" y="0"/>
                      <a:ext cx="5267960" cy="3086735"/>
                    </a:xfrm>
                    <a:prstGeom prst="rect">
                      <a:avLst/>
                    </a:prstGeom>
                    <a:noFill/>
                    <a:ln>
                      <a:noFill/>
                    </a:ln>
                  </pic:spPr>
                </pic:pic>
              </a:graphicData>
            </a:graphic>
          </wp:inline>
        </w:drawing>
      </w:r>
    </w:p>
    <w:p w14:paraId="39ACCDDF">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76AA2628">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t>reference：</w:t>
      </w:r>
      <w:r>
        <w:rPr>
          <w:rFonts w:hint="eastAsia" w:ascii="Times New Roman" w:hAnsi="Times New Roman" w:eastAsiaTheme="majorEastAsia" w:cstheme="majorEastAsia"/>
          <w:vertAlign w:val="baseline"/>
          <w:lang w:val="en-US" w:eastAsia="zh-CN"/>
        </w:rPr>
        <w:fldChar w:fldCharType="begin"/>
      </w:r>
      <w:r>
        <w:rPr>
          <w:rFonts w:hint="eastAsia" w:ascii="Times New Roman" w:hAnsi="Times New Roman" w:eastAsiaTheme="majorEastAsia" w:cstheme="majorEastAsia"/>
          <w:vertAlign w:val="baseline"/>
          <w:lang w:val="en-US" w:eastAsia="zh-CN"/>
        </w:rPr>
        <w:instrText xml:space="preserve"> HYPERLINK "https://static.stepfun.com/blog/step-3.5-flash/" </w:instrText>
      </w:r>
      <w:r>
        <w:rPr>
          <w:rFonts w:hint="eastAsia" w:ascii="Times New Roman" w:hAnsi="Times New Roman" w:eastAsiaTheme="majorEastAsia" w:cstheme="majorEastAsia"/>
          <w:vertAlign w:val="baseline"/>
          <w:lang w:val="en-US" w:eastAsia="zh-CN"/>
        </w:rPr>
        <w:fldChar w:fldCharType="separate"/>
      </w:r>
      <w:r>
        <w:rPr>
          <w:rStyle w:val="4"/>
          <w:rFonts w:hint="eastAsia" w:ascii="Times New Roman" w:hAnsi="Times New Roman" w:eastAsiaTheme="majorEastAsia" w:cstheme="majorEastAsia"/>
          <w:vertAlign w:val="baseline"/>
          <w:lang w:val="en-US" w:eastAsia="zh-CN"/>
        </w:rPr>
        <w:t>https://static.stepfun.com/blog/step-3.5-flash/</w:t>
      </w:r>
      <w:r>
        <w:rPr>
          <w:rFonts w:hint="eastAsia" w:ascii="Times New Roman" w:hAnsi="Times New Roman" w:eastAsiaTheme="majorEastAsia" w:cstheme="majorEastAsia"/>
          <w:vertAlign w:val="baseline"/>
          <w:lang w:val="en-US" w:eastAsia="zh-CN"/>
        </w:rPr>
        <w:fldChar w:fldCharType="end"/>
      </w:r>
    </w:p>
    <w:p w14:paraId="388DFEB5">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val="en-US" w:eastAsia="zh-CN"/>
        </w:rPr>
      </w:pPr>
      <w:r>
        <w:rPr>
          <w:rFonts w:hint="eastAsia" w:ascii="Times New Roman" w:hAnsi="Times New Roman" w:eastAsiaTheme="majorEastAsia" w:cstheme="majorEastAsia"/>
          <w:vertAlign w:val="baseline"/>
          <w:lang w:val="en-US" w:eastAsia="zh-CN"/>
        </w:rPr>
        <w:fldChar w:fldCharType="begin"/>
      </w:r>
      <w:r>
        <w:rPr>
          <w:rFonts w:hint="eastAsia" w:ascii="Times New Roman" w:hAnsi="Times New Roman" w:eastAsiaTheme="majorEastAsia" w:cstheme="majorEastAsia"/>
          <w:vertAlign w:val="baseline"/>
          <w:lang w:val="en-US" w:eastAsia="zh-CN"/>
        </w:rPr>
        <w:instrText xml:space="preserve"> HYPERLINK "https://github.com/stepfun-ai/Step-3.5-Flash" </w:instrText>
      </w:r>
      <w:r>
        <w:rPr>
          <w:rFonts w:hint="eastAsia" w:ascii="Times New Roman" w:hAnsi="Times New Roman" w:eastAsiaTheme="majorEastAsia" w:cstheme="majorEastAsia"/>
          <w:vertAlign w:val="baseline"/>
          <w:lang w:val="en-US" w:eastAsia="zh-CN"/>
        </w:rPr>
        <w:fldChar w:fldCharType="separate"/>
      </w:r>
      <w:r>
        <w:rPr>
          <w:rStyle w:val="4"/>
          <w:rFonts w:hint="eastAsia" w:ascii="Times New Roman" w:hAnsi="Times New Roman" w:eastAsiaTheme="majorEastAsia" w:cstheme="majorEastAsia"/>
          <w:vertAlign w:val="baseline"/>
          <w:lang w:val="en-US" w:eastAsia="zh-CN"/>
        </w:rPr>
        <w:t>https://github.com/stepfun-ai/Step-3.5-Flash</w:t>
      </w:r>
      <w:r>
        <w:rPr>
          <w:rFonts w:hint="eastAsia" w:ascii="Times New Roman" w:hAnsi="Times New Roman" w:eastAsiaTheme="majorEastAsia" w:cstheme="majorEastAsia"/>
          <w:vertAlign w:val="baseline"/>
          <w:lang w:val="en-US" w:eastAsia="zh-CN"/>
        </w:rPr>
        <w:fldChar w:fldCharType="end"/>
      </w:r>
    </w:p>
    <w:p w14:paraId="59CD8D3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p>
    <w:p w14:paraId="430ACA2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r>
        <w:rPr>
          <w:rFonts w:hint="eastAsia" w:ascii="Times New Roman" w:hAnsi="Times New Roman" w:eastAsiaTheme="majorEastAsia" w:cstheme="majorEastAsia"/>
          <w:color w:val="0000FF"/>
          <w:vertAlign w:val="baseline"/>
        </w:rPr>
        <w:t>商业落地实战：深潜垂直行业，打通端到端利润闭环</w:t>
      </w:r>
    </w:p>
    <w:p w14:paraId="76977D1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rPr>
      </w:pPr>
    </w:p>
    <w:p w14:paraId="4029E0B7">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区别于行业内仅靠底层API倒卖的“纸上谈兵”，阶跃星辰联动战略合作伙伴千里科技（Qianli），以“实战派”姿态将Agent能力深深扎入高门槛的行业深水区，创造真实的商业价值。</w:t>
      </w:r>
    </w:p>
    <w:p w14:paraId="20272FA0">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rPr>
      </w:pPr>
    </w:p>
    <w:p w14:paraId="5699DBE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舱驾融合新范式（“超级 Eva”智能体）：在NVIDIA GTC 2026大会上，吉利汽车宣布联合阶跃星辰、千里科技打造全球首个整车级智能体“超级Eva”，并由极氪8X（Zeekr 8X）量产首发。</w:t>
      </w:r>
    </w:p>
    <w:p w14:paraId="540780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rPr>
          <w:rFonts w:hint="eastAsia" w:ascii="Times New Roman" w:hAnsi="Times New Roman" w:eastAsiaTheme="majorEastAsia" w:cstheme="majorEastAsia"/>
          <w:vertAlign w:val="baseline"/>
        </w:rPr>
      </w:pPr>
    </w:p>
    <w:p w14:paraId="2F94C0D0">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依托Step 3.5 Flash的“最强龙虾大脑”，利用其单请求最高350 TPS的极速推理能力，实现了国内首个类“Grok上车Tesla”的原生AI体验。</w:t>
      </w:r>
    </w:p>
    <w:p w14:paraId="5F13D6FE">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rPr>
      </w:pPr>
    </w:p>
    <w:p w14:paraId="0AF6AB23">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不同于传统“浅层挂载”的聊天机器人，超级Eva与智能辅助驾驶（G-ASD 4.0）、底盘、动力等底层系统原生融合。它不仅彻底攻克了车内多人闲聊时系统“乱接话”的行业痛点，更实现了全双工、对话式操控的自然交互。</w:t>
      </w:r>
    </w:p>
    <w:p w14:paraId="1AAE906D">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rPr>
      </w:pPr>
    </w:p>
    <w:p w14:paraId="3156B70A">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rPr>
      </w:pPr>
      <w:r>
        <w:rPr>
          <w:rFonts w:hint="eastAsia" w:ascii="Times New Roman" w:hAnsi="Times New Roman" w:eastAsiaTheme="majorEastAsia" w:cstheme="majorEastAsia"/>
          <w:vertAlign w:val="baseline"/>
        </w:rPr>
        <w:t>凭借Step 3.5</w:t>
      </w:r>
      <w:r>
        <w:rPr>
          <w:rFonts w:hint="default" w:ascii="Times New Roman" w:hAnsi="Times New Roman" w:eastAsiaTheme="majorEastAsia" w:cstheme="majorEastAsia"/>
          <w:vertAlign w:val="baseline"/>
          <w:lang w:val="en-US"/>
        </w:rPr>
        <w:t xml:space="preserve"> Flash</w:t>
      </w:r>
      <w:r>
        <w:rPr>
          <w:rFonts w:hint="eastAsia" w:ascii="Times New Roman" w:hAnsi="Times New Roman" w:eastAsiaTheme="majorEastAsia" w:cstheme="majorEastAsia"/>
          <w:vertAlign w:val="baseline"/>
        </w:rPr>
        <w:t>强大的逻辑规划能力，Eva 能精准理解“接娃放学、顺路订餐、自动找位泊车”等模糊、复杂的长任务指令，真正实现了从“车载语音助手”向“实驾数字生命”的代际跨越。</w:t>
      </w:r>
    </w:p>
    <w:p w14:paraId="4B4DFD67">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Theme="majorEastAsia" w:cstheme="majorEastAsia"/>
          <w:vertAlign w:val="baseline"/>
          <w:lang w:eastAsia="zh-CN"/>
        </w:rPr>
      </w:pPr>
      <w:r>
        <w:rPr>
          <w:rFonts w:hint="eastAsia" w:ascii="Times New Roman" w:hAnsi="Times New Roman" w:eastAsiaTheme="majorEastAsia" w:cstheme="majorEastAsia"/>
        </w:rPr>
        <w:drawing>
          <wp:inline distT="0" distB="0" distL="114300" distR="114300">
            <wp:extent cx="5270500" cy="2197735"/>
            <wp:effectExtent l="0" t="0" r="12700" b="1206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8"/>
                    <a:stretch>
                      <a:fillRect/>
                    </a:stretch>
                  </pic:blipFill>
                  <pic:spPr>
                    <a:xfrm>
                      <a:off x="0" y="0"/>
                      <a:ext cx="5270500" cy="2197735"/>
                    </a:xfrm>
                    <a:prstGeom prst="rect">
                      <a:avLst/>
                    </a:prstGeom>
                    <a:noFill/>
                    <a:ln>
                      <a:noFill/>
                    </a:ln>
                  </pic:spPr>
                </pic:pic>
              </a:graphicData>
            </a:graphic>
          </wp:inline>
        </w:drawing>
      </w:r>
    </w:p>
    <w:p w14:paraId="3C938BE7">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eastAsia="zh-CN"/>
        </w:rPr>
      </w:pPr>
      <w:r>
        <w:rPr>
          <w:rFonts w:hint="eastAsia" w:ascii="Times New Roman" w:hAnsi="Times New Roman" w:eastAsiaTheme="majorEastAsia" w:cstheme="majorEastAsia"/>
          <w:vertAlign w:val="baseline"/>
          <w:lang w:val="en-US" w:eastAsia="zh-CN"/>
        </w:rPr>
        <w:t>reference：</w:t>
      </w:r>
      <w:r>
        <w:rPr>
          <w:rFonts w:hint="eastAsia" w:ascii="Times New Roman" w:hAnsi="Times New Roman" w:eastAsiaTheme="majorEastAsia" w:cstheme="majorEastAsia"/>
          <w:vertAlign w:val="baseline"/>
          <w:lang w:eastAsia="zh-CN"/>
        </w:rPr>
        <w:fldChar w:fldCharType="begin"/>
      </w:r>
      <w:r>
        <w:rPr>
          <w:rFonts w:hint="eastAsia" w:ascii="Times New Roman" w:hAnsi="Times New Roman" w:eastAsiaTheme="majorEastAsia" w:cstheme="majorEastAsia"/>
          <w:vertAlign w:val="baseline"/>
          <w:lang w:eastAsia="zh-CN"/>
        </w:rPr>
        <w:instrText xml:space="preserve"> HYPERLINK "https://finance.ifeng.com/c/8rZZlADfzC3" </w:instrText>
      </w:r>
      <w:r>
        <w:rPr>
          <w:rFonts w:hint="eastAsia" w:ascii="Times New Roman" w:hAnsi="Times New Roman" w:eastAsiaTheme="majorEastAsia" w:cstheme="majorEastAsia"/>
          <w:vertAlign w:val="baseline"/>
          <w:lang w:eastAsia="zh-CN"/>
        </w:rPr>
        <w:fldChar w:fldCharType="separate"/>
      </w:r>
      <w:r>
        <w:rPr>
          <w:rStyle w:val="4"/>
          <w:rFonts w:hint="eastAsia" w:ascii="Times New Roman" w:hAnsi="Times New Roman" w:eastAsiaTheme="majorEastAsia" w:cstheme="majorEastAsia"/>
          <w:vertAlign w:val="baseline"/>
          <w:lang w:eastAsia="zh-CN"/>
        </w:rPr>
        <w:t>https://finance.ifeng.com/c/8rZZlADfzC3</w:t>
      </w:r>
      <w:r>
        <w:rPr>
          <w:rFonts w:hint="eastAsia" w:ascii="Times New Roman" w:hAnsi="Times New Roman" w:eastAsiaTheme="majorEastAsia" w:cstheme="majorEastAsia"/>
          <w:vertAlign w:val="baseline"/>
          <w:lang w:eastAsia="zh-CN"/>
        </w:rPr>
        <w:fldChar w:fldCharType="end"/>
      </w:r>
    </w:p>
    <w:p w14:paraId="1731420D">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eastAsia="zh-CN"/>
        </w:rPr>
      </w:pPr>
      <w:r>
        <w:rPr>
          <w:rFonts w:hint="eastAsia" w:ascii="Times New Roman" w:hAnsi="Times New Roman" w:eastAsiaTheme="majorEastAsia" w:cstheme="majorEastAsia"/>
          <w:vertAlign w:val="baseline"/>
          <w:lang w:eastAsia="zh-CN"/>
        </w:rPr>
        <w:fldChar w:fldCharType="begin"/>
      </w:r>
      <w:r>
        <w:rPr>
          <w:rFonts w:hint="eastAsia" w:ascii="Times New Roman" w:hAnsi="Times New Roman" w:eastAsiaTheme="majorEastAsia" w:cstheme="majorEastAsia"/>
          <w:vertAlign w:val="baseline"/>
          <w:lang w:eastAsia="zh-CN"/>
        </w:rPr>
        <w:instrText xml:space="preserve"> HYPERLINK "https://finance.sina.com.cn/tjhz/2026-03-17/doc-inhrikre5148925.shtml" </w:instrText>
      </w:r>
      <w:r>
        <w:rPr>
          <w:rFonts w:hint="eastAsia" w:ascii="Times New Roman" w:hAnsi="Times New Roman" w:eastAsiaTheme="majorEastAsia" w:cstheme="majorEastAsia"/>
          <w:vertAlign w:val="baseline"/>
          <w:lang w:eastAsia="zh-CN"/>
        </w:rPr>
        <w:fldChar w:fldCharType="separate"/>
      </w:r>
      <w:r>
        <w:rPr>
          <w:rStyle w:val="4"/>
          <w:rFonts w:hint="eastAsia" w:ascii="Times New Roman" w:hAnsi="Times New Roman" w:eastAsiaTheme="majorEastAsia" w:cstheme="majorEastAsia"/>
          <w:vertAlign w:val="baseline"/>
          <w:lang w:eastAsia="zh-CN"/>
        </w:rPr>
        <w:t>https://finance.sina.com.cn/tjhz/2026-03-17/doc-inhrikre5148925.shtml</w:t>
      </w:r>
      <w:r>
        <w:rPr>
          <w:rFonts w:hint="eastAsia" w:ascii="Times New Roman" w:hAnsi="Times New Roman" w:eastAsiaTheme="majorEastAsia" w:cstheme="majorEastAsia"/>
          <w:vertAlign w:val="baseline"/>
          <w:lang w:eastAsia="zh-CN"/>
        </w:rPr>
        <w:fldChar w:fldCharType="end"/>
      </w:r>
    </w:p>
    <w:p w14:paraId="5CC737C8">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Theme="majorEastAsia" w:cstheme="majorEastAsia"/>
          <w:vertAlign w:val="baseline"/>
          <w:lang w:eastAsia="zh-CN"/>
        </w:rPr>
      </w:pPr>
    </w:p>
    <w:p w14:paraId="0BF10C4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lang w:val="en-US" w:eastAsia="zh-CN"/>
        </w:rPr>
      </w:pPr>
      <w:r>
        <w:rPr>
          <w:rFonts w:hint="eastAsia" w:ascii="Times New Roman" w:hAnsi="Times New Roman" w:eastAsiaTheme="majorEastAsia" w:cstheme="majorEastAsia"/>
          <w:color w:val="0000FF"/>
          <w:vertAlign w:val="baseline"/>
          <w:lang w:val="en-US" w:eastAsia="zh-CN"/>
        </w:rPr>
        <w:t>从垂直应用迈向标准化基座：阶跃星辰的商业升维逻辑</w:t>
      </w:r>
    </w:p>
    <w:p w14:paraId="4B18D81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ajorEastAsia" w:cstheme="majorEastAsia"/>
          <w:color w:val="0000FF"/>
          <w:vertAlign w:val="baseline"/>
          <w:lang w:val="en-US" w:eastAsia="zh-CN"/>
        </w:rPr>
      </w:pPr>
    </w:p>
    <w:p w14:paraId="39D876BC">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Theme="majorEastAsia" w:cstheme="majorEastAsia"/>
          <w:vertAlign w:val="baseline"/>
          <w:lang w:val="en-US" w:eastAsia="zh-CN"/>
        </w:rPr>
      </w:pPr>
      <w:r>
        <w:rPr>
          <w:rFonts w:hint="default" w:ascii="Times New Roman" w:hAnsi="Times New Roman" w:eastAsiaTheme="majorEastAsia" w:cstheme="majorEastAsia"/>
          <w:vertAlign w:val="baseline"/>
          <w:lang w:val="en-US" w:eastAsia="zh-CN"/>
        </w:rPr>
        <w:t>阶跃星辰通过“超级 Eva”在极氪8X的成功落地，不仅验证了复杂场景下的工程成熟度，更标志着其战略重心已从定制化交付转向以Step 3.5 Flash为核心的标准化API供应。阶跃正通过该基座模型打破“性能、延迟、成本”的不可能三角，将车载交互与桌面Agent“小跃”作为底层能力的实战标杆，实现了跨应用工作流的毫秒级响应。这不仅展示了其技术栈的大规模商业化潜力，更为2026年爆发的多智能体</w:t>
      </w:r>
      <w:bookmarkStart w:id="0" w:name="_GoBack"/>
      <w:bookmarkEnd w:id="0"/>
      <w:r>
        <w:rPr>
          <w:rFonts w:hint="default" w:ascii="Times New Roman" w:hAnsi="Times New Roman" w:eastAsiaTheme="majorEastAsia" w:cstheme="majorEastAsia"/>
          <w:vertAlign w:val="baseline"/>
          <w:lang w:val="en-US" w:eastAsia="zh-CN"/>
        </w:rPr>
        <w:t>协作需求确立了可落地的技术参考与交互标准。</w:t>
      </w:r>
    </w:p>
    <w:p w14:paraId="72A44F6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Theme="majorEastAsia" w:cstheme="majorEastAsia"/>
          <w:vertAlign w:val="baseline"/>
          <w:lang w:val="en-US" w:eastAsia="zh-CN"/>
        </w:rPr>
      </w:pPr>
    </w:p>
    <w:p w14:paraId="0782EF39">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Theme="majorEastAsia" w:cstheme="majorEastAsia"/>
          <w:vertAlign w:val="baseline"/>
          <w:lang w:val="en-US" w:eastAsia="zh-CN"/>
        </w:rPr>
      </w:pPr>
      <w:r>
        <w:rPr>
          <w:rFonts w:hint="default" w:ascii="Times New Roman" w:hAnsi="Times New Roman" w:eastAsiaTheme="majorEastAsia" w:cstheme="majorEastAsia"/>
          <w:vertAlign w:val="baseline"/>
          <w:lang w:val="en-US" w:eastAsia="zh-CN"/>
        </w:rPr>
        <w:t>展望未来，阶跃星辰有望通过多端场景工程共生实现技术低成本复用；强化学习数据飞轮积累真实任务轨迹，以及驱动持续进化以及极致能效比以成本优势绑定开发者生态锚定竞争优势，确保在AGI时代的长期主导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5BA92"/>
    <w:multiLevelType w:val="singleLevel"/>
    <w:tmpl w:val="BF95BA92"/>
    <w:lvl w:ilvl="0" w:tentative="0">
      <w:start w:val="1"/>
      <w:numFmt w:val="decimal"/>
      <w:suff w:val="space"/>
      <w:lvlText w:val="%1."/>
      <w:lvlJc w:val="left"/>
    </w:lvl>
  </w:abstractNum>
  <w:abstractNum w:abstractNumId="1">
    <w:nsid w:val="DE3EEE2C"/>
    <w:multiLevelType w:val="singleLevel"/>
    <w:tmpl w:val="DE3EEE2C"/>
    <w:lvl w:ilvl="0" w:tentative="0">
      <w:start w:val="2"/>
      <w:numFmt w:val="decimal"/>
      <w:suff w:val="space"/>
      <w:lvlText w:val="%1."/>
      <w:lvlJc w:val="left"/>
    </w:lvl>
  </w:abstractNum>
  <w:abstractNum w:abstractNumId="2">
    <w:nsid w:val="FFFC357D"/>
    <w:multiLevelType w:val="singleLevel"/>
    <w:tmpl w:val="FFFC357D"/>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F6759"/>
    <w:rsid w:val="15F756D2"/>
    <w:rsid w:val="171A86CD"/>
    <w:rsid w:val="17BAFE0D"/>
    <w:rsid w:val="1B7FD1E5"/>
    <w:rsid w:val="1CF10AF0"/>
    <w:rsid w:val="1D7C478F"/>
    <w:rsid w:val="1DFF5036"/>
    <w:rsid w:val="1ED22CD8"/>
    <w:rsid w:val="1FA7837B"/>
    <w:rsid w:val="26CBD256"/>
    <w:rsid w:val="2AC93554"/>
    <w:rsid w:val="2B673F2F"/>
    <w:rsid w:val="2BBF6DBF"/>
    <w:rsid w:val="2BFF8325"/>
    <w:rsid w:val="2EEA9395"/>
    <w:rsid w:val="2FFCDBE7"/>
    <w:rsid w:val="337EEBA3"/>
    <w:rsid w:val="33F0C923"/>
    <w:rsid w:val="3577D67E"/>
    <w:rsid w:val="377DBA78"/>
    <w:rsid w:val="377DCB39"/>
    <w:rsid w:val="37FA9BCB"/>
    <w:rsid w:val="39A7C181"/>
    <w:rsid w:val="3AD79020"/>
    <w:rsid w:val="3AF4AEE8"/>
    <w:rsid w:val="3B77BB2F"/>
    <w:rsid w:val="3CF6DC4C"/>
    <w:rsid w:val="3DDD6CF0"/>
    <w:rsid w:val="3DFF8437"/>
    <w:rsid w:val="3E31E858"/>
    <w:rsid w:val="3E6BB8CB"/>
    <w:rsid w:val="3E9B241A"/>
    <w:rsid w:val="3EDFA9BF"/>
    <w:rsid w:val="3EDFE3CB"/>
    <w:rsid w:val="3EE72AC9"/>
    <w:rsid w:val="3F2DC23D"/>
    <w:rsid w:val="3FAF7E3A"/>
    <w:rsid w:val="3FBBEEE1"/>
    <w:rsid w:val="3FD7C4BC"/>
    <w:rsid w:val="3FDB9594"/>
    <w:rsid w:val="3FEFCF9C"/>
    <w:rsid w:val="3FF5D48C"/>
    <w:rsid w:val="3FFD2745"/>
    <w:rsid w:val="457EAA72"/>
    <w:rsid w:val="47CEAA86"/>
    <w:rsid w:val="47DF29C1"/>
    <w:rsid w:val="47E31D6D"/>
    <w:rsid w:val="49766C93"/>
    <w:rsid w:val="49F1C868"/>
    <w:rsid w:val="4B6FD0E4"/>
    <w:rsid w:val="4EFD814E"/>
    <w:rsid w:val="4F0FB691"/>
    <w:rsid w:val="4FB1B8C0"/>
    <w:rsid w:val="4FBFD601"/>
    <w:rsid w:val="4FDD6EDB"/>
    <w:rsid w:val="4FFE0FD3"/>
    <w:rsid w:val="4FFE3D86"/>
    <w:rsid w:val="51D56D95"/>
    <w:rsid w:val="52FE3EE8"/>
    <w:rsid w:val="55B94396"/>
    <w:rsid w:val="55EA8F42"/>
    <w:rsid w:val="55F62662"/>
    <w:rsid w:val="56E82D59"/>
    <w:rsid w:val="57ADF28E"/>
    <w:rsid w:val="57CB6B3B"/>
    <w:rsid w:val="594E9707"/>
    <w:rsid w:val="5BC71F64"/>
    <w:rsid w:val="5C2C656E"/>
    <w:rsid w:val="5C57C966"/>
    <w:rsid w:val="5D7F09CB"/>
    <w:rsid w:val="5DB62E01"/>
    <w:rsid w:val="5DEF631E"/>
    <w:rsid w:val="5DFDE2CE"/>
    <w:rsid w:val="5EB1BE30"/>
    <w:rsid w:val="5EBD4184"/>
    <w:rsid w:val="5EFB0774"/>
    <w:rsid w:val="5F5FF626"/>
    <w:rsid w:val="5F7F23B5"/>
    <w:rsid w:val="5F938D6D"/>
    <w:rsid w:val="5F9B5A06"/>
    <w:rsid w:val="5FBD4DE5"/>
    <w:rsid w:val="5FBF875D"/>
    <w:rsid w:val="5FDFD8A4"/>
    <w:rsid w:val="5FE38218"/>
    <w:rsid w:val="5FE3987C"/>
    <w:rsid w:val="5FEAF515"/>
    <w:rsid w:val="5FF31E76"/>
    <w:rsid w:val="5FFF61AA"/>
    <w:rsid w:val="62FF4044"/>
    <w:rsid w:val="638F0569"/>
    <w:rsid w:val="63DE7D4F"/>
    <w:rsid w:val="63EAFCF1"/>
    <w:rsid w:val="65F9553A"/>
    <w:rsid w:val="673DE8E4"/>
    <w:rsid w:val="677EF37A"/>
    <w:rsid w:val="67B5DEAD"/>
    <w:rsid w:val="67FDF77D"/>
    <w:rsid w:val="67FEC9CF"/>
    <w:rsid w:val="697FEA44"/>
    <w:rsid w:val="69BF810C"/>
    <w:rsid w:val="6ACFC4E8"/>
    <w:rsid w:val="6BB7053B"/>
    <w:rsid w:val="6BBF76D8"/>
    <w:rsid w:val="6BD6BD2B"/>
    <w:rsid w:val="6BE867D7"/>
    <w:rsid w:val="6BEFBF51"/>
    <w:rsid w:val="6BFFC9D2"/>
    <w:rsid w:val="6D9E0A1D"/>
    <w:rsid w:val="6DD7D601"/>
    <w:rsid w:val="6E777294"/>
    <w:rsid w:val="6EDB92FA"/>
    <w:rsid w:val="6EDE0778"/>
    <w:rsid w:val="6EFFCE84"/>
    <w:rsid w:val="6F16E133"/>
    <w:rsid w:val="6F7C6616"/>
    <w:rsid w:val="6FA6EA34"/>
    <w:rsid w:val="6FFF6654"/>
    <w:rsid w:val="705686E2"/>
    <w:rsid w:val="71BD375B"/>
    <w:rsid w:val="736F1A63"/>
    <w:rsid w:val="73AB49F7"/>
    <w:rsid w:val="73FB23C5"/>
    <w:rsid w:val="74EF138A"/>
    <w:rsid w:val="757FAAD8"/>
    <w:rsid w:val="75BFD0F8"/>
    <w:rsid w:val="75DE3515"/>
    <w:rsid w:val="75F383AA"/>
    <w:rsid w:val="75F9D24B"/>
    <w:rsid w:val="767D502F"/>
    <w:rsid w:val="76C9791D"/>
    <w:rsid w:val="76EC30C2"/>
    <w:rsid w:val="76F71F26"/>
    <w:rsid w:val="773F578A"/>
    <w:rsid w:val="77675890"/>
    <w:rsid w:val="77DDE102"/>
    <w:rsid w:val="77F78DFB"/>
    <w:rsid w:val="77FCC45C"/>
    <w:rsid w:val="77FDAD1D"/>
    <w:rsid w:val="77FE8EF7"/>
    <w:rsid w:val="785FE72D"/>
    <w:rsid w:val="790FA405"/>
    <w:rsid w:val="792D157E"/>
    <w:rsid w:val="797F0ED5"/>
    <w:rsid w:val="79AFDC82"/>
    <w:rsid w:val="79DC325F"/>
    <w:rsid w:val="79E77EFC"/>
    <w:rsid w:val="7A3E7BA0"/>
    <w:rsid w:val="7B5AD44E"/>
    <w:rsid w:val="7B7F6759"/>
    <w:rsid w:val="7B7FAE86"/>
    <w:rsid w:val="7BAFA18E"/>
    <w:rsid w:val="7BBF32DF"/>
    <w:rsid w:val="7BCD0E37"/>
    <w:rsid w:val="7BDC45A0"/>
    <w:rsid w:val="7BEEFD1F"/>
    <w:rsid w:val="7BFC24E9"/>
    <w:rsid w:val="7BFE3899"/>
    <w:rsid w:val="7CE59940"/>
    <w:rsid w:val="7D3F1ED5"/>
    <w:rsid w:val="7DB716C6"/>
    <w:rsid w:val="7DDA598E"/>
    <w:rsid w:val="7DDFA6CE"/>
    <w:rsid w:val="7DDFDADB"/>
    <w:rsid w:val="7DDFF0E9"/>
    <w:rsid w:val="7DFA42A0"/>
    <w:rsid w:val="7DFD00B1"/>
    <w:rsid w:val="7DFDDEA5"/>
    <w:rsid w:val="7DFE2252"/>
    <w:rsid w:val="7DFEB537"/>
    <w:rsid w:val="7DFF3D3D"/>
    <w:rsid w:val="7DFFCC1F"/>
    <w:rsid w:val="7E3D5C23"/>
    <w:rsid w:val="7E8A89AC"/>
    <w:rsid w:val="7EBF25D7"/>
    <w:rsid w:val="7EBF7E5A"/>
    <w:rsid w:val="7ECF14C6"/>
    <w:rsid w:val="7EF75D35"/>
    <w:rsid w:val="7EFB2769"/>
    <w:rsid w:val="7EFBC28F"/>
    <w:rsid w:val="7F143783"/>
    <w:rsid w:val="7F4F3980"/>
    <w:rsid w:val="7F732F1A"/>
    <w:rsid w:val="7F74D267"/>
    <w:rsid w:val="7F7707E9"/>
    <w:rsid w:val="7F7B6C74"/>
    <w:rsid w:val="7F7EC85D"/>
    <w:rsid w:val="7F7FEFF0"/>
    <w:rsid w:val="7FAF007A"/>
    <w:rsid w:val="7FAFA5D9"/>
    <w:rsid w:val="7FB77C24"/>
    <w:rsid w:val="7FBC638B"/>
    <w:rsid w:val="7FBF01B6"/>
    <w:rsid w:val="7FC7270A"/>
    <w:rsid w:val="7FDB6446"/>
    <w:rsid w:val="7FF73B5B"/>
    <w:rsid w:val="7FF798F2"/>
    <w:rsid w:val="7FF7E39B"/>
    <w:rsid w:val="7FF8D678"/>
    <w:rsid w:val="7FFA258D"/>
    <w:rsid w:val="7FFC201D"/>
    <w:rsid w:val="7FFD7BD7"/>
    <w:rsid w:val="7FFF06DE"/>
    <w:rsid w:val="7FFF2011"/>
    <w:rsid w:val="7FFF2B1C"/>
    <w:rsid w:val="7FFFB11E"/>
    <w:rsid w:val="8D76C37A"/>
    <w:rsid w:val="92B44CBB"/>
    <w:rsid w:val="93FEBA14"/>
    <w:rsid w:val="97AFFB7C"/>
    <w:rsid w:val="97E96DFB"/>
    <w:rsid w:val="97FA5E24"/>
    <w:rsid w:val="98E9EDE2"/>
    <w:rsid w:val="9D7F75B8"/>
    <w:rsid w:val="9E163B0C"/>
    <w:rsid w:val="9EDD30BC"/>
    <w:rsid w:val="9EF72922"/>
    <w:rsid w:val="9F7E56B1"/>
    <w:rsid w:val="9FDF73AA"/>
    <w:rsid w:val="9FFE70B9"/>
    <w:rsid w:val="9FFEEF2D"/>
    <w:rsid w:val="A3FFEC12"/>
    <w:rsid w:val="AB3D26AB"/>
    <w:rsid w:val="AD367CB2"/>
    <w:rsid w:val="AD7B903D"/>
    <w:rsid w:val="ADBD4F8C"/>
    <w:rsid w:val="ADF54BBE"/>
    <w:rsid w:val="AF6E9B7B"/>
    <w:rsid w:val="AF7E3901"/>
    <w:rsid w:val="B2F88075"/>
    <w:rsid w:val="B3302331"/>
    <w:rsid w:val="B4978EC6"/>
    <w:rsid w:val="B52BC648"/>
    <w:rsid w:val="B5AF8DD5"/>
    <w:rsid w:val="B5DCD1A4"/>
    <w:rsid w:val="B77BC39A"/>
    <w:rsid w:val="B77E39E8"/>
    <w:rsid w:val="B77F91EA"/>
    <w:rsid w:val="BA79A081"/>
    <w:rsid w:val="BB7FCC5C"/>
    <w:rsid w:val="BB9F794D"/>
    <w:rsid w:val="BBCE7650"/>
    <w:rsid w:val="BBD7BA30"/>
    <w:rsid w:val="BBF76B1E"/>
    <w:rsid w:val="BD779616"/>
    <w:rsid w:val="BDBC5FB2"/>
    <w:rsid w:val="BE7FDE03"/>
    <w:rsid w:val="BE9E9C1B"/>
    <w:rsid w:val="BEB5A8DE"/>
    <w:rsid w:val="BEBEBA9D"/>
    <w:rsid w:val="BEFD0E25"/>
    <w:rsid w:val="BF7F8526"/>
    <w:rsid w:val="BFB74F52"/>
    <w:rsid w:val="BFBB5311"/>
    <w:rsid w:val="BFDF8F6E"/>
    <w:rsid w:val="BFF32E8A"/>
    <w:rsid w:val="BFF5E07E"/>
    <w:rsid w:val="BFF7D3AF"/>
    <w:rsid w:val="BFFB5A6D"/>
    <w:rsid w:val="C5EBE853"/>
    <w:rsid w:val="CA7E861F"/>
    <w:rsid w:val="CBFC3EC8"/>
    <w:rsid w:val="CFEB6859"/>
    <w:rsid w:val="D2E3949D"/>
    <w:rsid w:val="D5CBD185"/>
    <w:rsid w:val="D66C9C2B"/>
    <w:rsid w:val="D67E7F23"/>
    <w:rsid w:val="D6FFC5D7"/>
    <w:rsid w:val="D76DD1E7"/>
    <w:rsid w:val="D7EF234E"/>
    <w:rsid w:val="D7FD4F59"/>
    <w:rsid w:val="DA3DA422"/>
    <w:rsid w:val="DB7F7A7D"/>
    <w:rsid w:val="DBBC016A"/>
    <w:rsid w:val="DBD985DD"/>
    <w:rsid w:val="DBFF1353"/>
    <w:rsid w:val="DCFF3F64"/>
    <w:rsid w:val="DD97646B"/>
    <w:rsid w:val="DDEB3459"/>
    <w:rsid w:val="DDFF8B89"/>
    <w:rsid w:val="DE5C1751"/>
    <w:rsid w:val="DEDE716D"/>
    <w:rsid w:val="DF526125"/>
    <w:rsid w:val="DF576DFC"/>
    <w:rsid w:val="DF6C943F"/>
    <w:rsid w:val="DFE916D8"/>
    <w:rsid w:val="DFE94B7C"/>
    <w:rsid w:val="DFEB8D8A"/>
    <w:rsid w:val="DFFF10BC"/>
    <w:rsid w:val="DFFF9B58"/>
    <w:rsid w:val="E37F3BEB"/>
    <w:rsid w:val="E7E03DE2"/>
    <w:rsid w:val="E8EF3B6A"/>
    <w:rsid w:val="E9FF341B"/>
    <w:rsid w:val="EA5DDF08"/>
    <w:rsid w:val="EAC46947"/>
    <w:rsid w:val="EBB6E1CB"/>
    <w:rsid w:val="EBF81C05"/>
    <w:rsid w:val="ECFFA6FF"/>
    <w:rsid w:val="EDFCB7A1"/>
    <w:rsid w:val="EDFE3846"/>
    <w:rsid w:val="EE6FD8ED"/>
    <w:rsid w:val="EF15BFFE"/>
    <w:rsid w:val="EF2FC6A5"/>
    <w:rsid w:val="EF39FDE7"/>
    <w:rsid w:val="EF9F8053"/>
    <w:rsid w:val="EFC73759"/>
    <w:rsid w:val="EFD6513A"/>
    <w:rsid w:val="EFDFF391"/>
    <w:rsid w:val="EFF77E60"/>
    <w:rsid w:val="EFFBF005"/>
    <w:rsid w:val="EFFDE5FF"/>
    <w:rsid w:val="EFFF8608"/>
    <w:rsid w:val="F0FF4FE3"/>
    <w:rsid w:val="F4E7AA27"/>
    <w:rsid w:val="F54C4B26"/>
    <w:rsid w:val="F5F61FD1"/>
    <w:rsid w:val="F5FEE404"/>
    <w:rsid w:val="F5FF5EF4"/>
    <w:rsid w:val="F677E54F"/>
    <w:rsid w:val="F72BC824"/>
    <w:rsid w:val="F73F055E"/>
    <w:rsid w:val="F74CD27B"/>
    <w:rsid w:val="F75DF5FD"/>
    <w:rsid w:val="F775F0E6"/>
    <w:rsid w:val="F77FE7D7"/>
    <w:rsid w:val="F782289A"/>
    <w:rsid w:val="F7A903FF"/>
    <w:rsid w:val="F7B7FCB1"/>
    <w:rsid w:val="F7DEBC1C"/>
    <w:rsid w:val="F7DFB268"/>
    <w:rsid w:val="F7E5EC31"/>
    <w:rsid w:val="F7FF1256"/>
    <w:rsid w:val="F7FFE5B0"/>
    <w:rsid w:val="F97E00BB"/>
    <w:rsid w:val="F9BB3500"/>
    <w:rsid w:val="F9FF4A25"/>
    <w:rsid w:val="FA7E5634"/>
    <w:rsid w:val="FAAFB355"/>
    <w:rsid w:val="FAB38BD5"/>
    <w:rsid w:val="FABDEF56"/>
    <w:rsid w:val="FAD397EF"/>
    <w:rsid w:val="FB78318B"/>
    <w:rsid w:val="FB7A69BF"/>
    <w:rsid w:val="FB7FF28C"/>
    <w:rsid w:val="FBD9CE46"/>
    <w:rsid w:val="FBF6A5A0"/>
    <w:rsid w:val="FC7317FC"/>
    <w:rsid w:val="FC9A03F5"/>
    <w:rsid w:val="FCB8CB85"/>
    <w:rsid w:val="FCBC0669"/>
    <w:rsid w:val="FD1AFBDE"/>
    <w:rsid w:val="FD6F5641"/>
    <w:rsid w:val="FD6F8621"/>
    <w:rsid w:val="FDDF72FB"/>
    <w:rsid w:val="FDF74B0F"/>
    <w:rsid w:val="FDFF8666"/>
    <w:rsid w:val="FE375C50"/>
    <w:rsid w:val="FE7BE2BC"/>
    <w:rsid w:val="FEAFA3B5"/>
    <w:rsid w:val="FEB642AA"/>
    <w:rsid w:val="FECB7F49"/>
    <w:rsid w:val="FED314C5"/>
    <w:rsid w:val="FEE33C5D"/>
    <w:rsid w:val="FEE63C8F"/>
    <w:rsid w:val="FEF3FC17"/>
    <w:rsid w:val="FEFA9C9B"/>
    <w:rsid w:val="FEFC7F23"/>
    <w:rsid w:val="FEFD2B2E"/>
    <w:rsid w:val="FEFF4F66"/>
    <w:rsid w:val="FEFFAE2F"/>
    <w:rsid w:val="FF5F40DF"/>
    <w:rsid w:val="FF7D49DE"/>
    <w:rsid w:val="FF7F466D"/>
    <w:rsid w:val="FF7F5D9F"/>
    <w:rsid w:val="FFAFD32A"/>
    <w:rsid w:val="FFBE932B"/>
    <w:rsid w:val="FFBF0899"/>
    <w:rsid w:val="FFBF4C81"/>
    <w:rsid w:val="FFC9024B"/>
    <w:rsid w:val="FFCBBEF9"/>
    <w:rsid w:val="FFD6E205"/>
    <w:rsid w:val="FFDD662C"/>
    <w:rsid w:val="FFDEC7DE"/>
    <w:rsid w:val="FFE7C92D"/>
    <w:rsid w:val="FFEFB6DB"/>
    <w:rsid w:val="FFF3B564"/>
    <w:rsid w:val="FFF58A87"/>
    <w:rsid w:val="FFF60B83"/>
    <w:rsid w:val="FFF69A6A"/>
    <w:rsid w:val="FFFB3886"/>
    <w:rsid w:val="FFFD9EB1"/>
    <w:rsid w:val="FFFDEFED"/>
    <w:rsid w:val="FFFE3F67"/>
    <w:rsid w:val="FFFEABDF"/>
    <w:rsid w:val="FFFF0124"/>
    <w:rsid w:val="FFFFD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 w:type="character" w:customStyle="1" w:styleId="5">
    <w:name w:val="font31"/>
    <w:basedOn w:val="3"/>
    <w:uiPriority w:val="0"/>
    <w:rPr>
      <w:rFonts w:hint="eastAsia" w:ascii="华文仿宋" w:hAnsi="华文仿宋" w:eastAsia="华文仿宋" w:cs="华文仿宋"/>
      <w:color w:val="000000"/>
      <w:sz w:val="18"/>
      <w:szCs w:val="18"/>
      <w:u w:val="none"/>
    </w:rPr>
  </w:style>
  <w:style w:type="character" w:customStyle="1" w:styleId="6">
    <w:name w:val="font01"/>
    <w:basedOn w:val="3"/>
    <w:uiPriority w:val="0"/>
    <w:rPr>
      <w:rFonts w:hint="eastAsia" w:ascii="宋体" w:hAnsi="宋体" w:eastAsia="宋体" w:cs="宋体"/>
      <w:color w:val="000000"/>
      <w:sz w:val="22"/>
      <w:szCs w:val="22"/>
      <w:u w:val="none"/>
    </w:rPr>
  </w:style>
  <w:style w:type="character" w:customStyle="1" w:styleId="7">
    <w:name w:val="font41"/>
    <w:basedOn w:val="3"/>
    <w:uiPriority w:val="0"/>
    <w:rPr>
      <w:rFonts w:hint="eastAsia" w:ascii="宋体" w:hAnsi="宋体" w:eastAsia="宋体" w:cs="宋体"/>
      <w:color w:val="000000"/>
      <w:sz w:val="18"/>
      <w:szCs w:val="18"/>
      <w:u w:val="none"/>
    </w:rPr>
  </w:style>
  <w:style w:type="character" w:customStyle="1" w:styleId="8">
    <w:name w:val="font21"/>
    <w:basedOn w:val="3"/>
    <w:uiPriority w:val="0"/>
    <w:rPr>
      <w:rFonts w:hint="eastAsia" w:ascii="华文仿宋" w:hAnsi="华文仿宋" w:eastAsia="华文仿宋" w:cs="华文仿宋"/>
      <w:color w:val="060607"/>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2898</Words>
  <Characters>4235</Characters>
  <Lines>0</Lines>
  <Paragraphs>0</Paragraphs>
  <TotalTime>16</TotalTime>
  <ScaleCrop>false</ScaleCrop>
  <LinksUpToDate>false</LinksUpToDate>
  <CharactersWithSpaces>4378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2026-03-20T21:46:00Z</dcterms:created>
  <dc:creator>democlaw</dc:creator>
  <cp:lastModifiedBy>PARZIVAL</cp:lastModifiedBy>
  <dcterms:modified xsi:type="dcterms:W3CDTF">2026-03-20T16:14:21Z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545464C4F60A15989C8DBB696E7A2F57_41</vt:lpwstr>
  </property>
</Properties>
</file>