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2E5AAC"/>
          <w:sz w:val="24"/>
          <w:szCs w:val="24"/>
        </w:rPr>
        <w:t xml:space="preserve">Tax Exempt Market — AMCE</w:t>
      </w:r>
    </w:p>
    <w:p>
      <w:pPr>
        <w:spacing w:after="40"/>
      </w:pPr>
      <w:r>
        <w:rPr>
          <w:b/>
          <w:bCs/>
          <w:color w:val="1F2A44"/>
          <w:sz w:val="44"/>
          <w:szCs w:val="44"/>
        </w:rPr>
        <w:t xml:space="preserve">QBR &amp; Executive Dashboard — Master Plan</w:t>
      </w:r>
    </w:p>
    <w:p>
      <w:pPr>
        <w:spacing w:after="40"/>
      </w:pPr>
      <w:r>
        <w:rPr>
          <w:i/>
          <w:iCs/>
          <w:color w:val="222222"/>
          <w:sz w:val="24"/>
          <w:szCs w:val="24"/>
        </w:rPr>
        <w:t xml:space="preserve">How the AMCE team performs against and contributes to TEM and Fidelity strategy</w:t>
      </w:r>
    </w:p>
    <w:p>
      <w:pPr>
        <w:pBdr>
          <w:bottom w:val="single" w:color="9A7B1A" w:sz="8" w:space="4"/>
        </w:pBdr>
        <w:spacing w:after="160"/>
      </w:pPr>
      <w:r>
        <w:t xml:space="preserve"/>
      </w:r>
    </w:p>
    <w:p>
      <w:pPr>
        <w:spacing w:after="120"/>
      </w:pPr>
      <w:r>
        <w:rPr>
          <w:b/>
          <w:bCs/>
        </w:rPr>
        <w:t xml:space="preserve">Prepared for: </w:t>
      </w:r>
      <w:r>
        <w:t xml:space="preserve">Nick — challenge from Sheri</w:t>
      </w:r>
    </w:p>
    <w:p>
      <w:pPr>
        <w:spacing w:after="120"/>
      </w:pPr>
      <w:r>
        <w:rPr>
          <w:b/>
          <w:bCs/>
        </w:rPr>
        <w:t xml:space="preserve">AMCE leaders: </w:t>
      </w:r>
      <w:r>
        <w:t xml:space="preserve">Analytics (Nick) · Marketing (Beth) · Communications — Consultants (Eric), Sales (Jon), Implementation (Jason) · Events – Workplace Education &amp; B2B (Kara)</w:t>
      </w:r>
    </w:p>
    <w:p>
      <w:pPr>
        <w:spacing w:after="120"/>
      </w:pPr>
      <w:r>
        <w:rPr>
          <w:b/>
          <w:bCs/>
        </w:rPr>
        <w:t xml:space="preserve">Companion file: </w:t>
      </w:r>
      <w:r>
        <w:t xml:space="preserve">TEM_QBR_Intake_KPI_Workbook.xlsx (intake tabs, KPI master list, linkage map, data inventory)</w:t>
      </w:r>
    </w:p>
    <w:p>
      <w:pPr>
        <w:spacing w:after="120"/>
      </w:pPr>
      <w:r>
        <w:rPr>
          <w:b/>
          <w:bCs/>
        </w:rPr>
        <w:t xml:space="preserve">Dashboard platform: </w:t>
      </w:r>
      <w:r>
        <w:t xml:space="preserve">Domo or a custom interactive web app — under decision; see Section 6.  QBR deck: PowerPoint.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challenge, restated</w:t>
      </w:r>
    </w:p>
    <w:p>
      <w:pPr>
        <w:spacing w:after="120"/>
      </w:pPr>
      <w:r>
        <w:t xml:space="preserve">Sheri has asked for two connected deliverables: an executive dashboard (platform under decision — Domo or a custom interactive web app) and a quarterly business review (QBR) deck, both showing how our area performs against — and actively contributes to — TEM and Fidelity strategy, goals, KPIs and OKRs.</w:t>
      </w:r>
    </w:p>
    <w:p>
      <w:pPr>
        <w:spacing w:after="120"/>
      </w:pPr>
      <w:r>
        <w:t xml:space="preserve">The hard part is not the dashboard or the slides. It is assembling a single, coherent line of sight that runs from a Fidelity-level priority, through the three TEM pillars, down to a specific metric owned by Analytics, Marketing, Comms or Events — and back up again. This plan is the structure for gathering everything we need and turning it into those two artifacts.</w:t>
      </w:r>
    </w:p>
    <w:p>
      <w:pPr>
        <w:spacing w:after="120"/>
      </w:pPr>
      <w:r>
        <w:rPr>
          <w:i/>
          <w:iCs/>
        </w:rPr>
        <w:t xml:space="preserve">You already have a strong read on how Analytics contributes. The gaps are the other three teams. So this plan is deliberately built around a repeatable intake that pulls the same information out of every team in the same shape, then rolls it up.</w:t>
      </w:r>
    </w:p>
    <w:p>
      <w:pPr>
        <w:pStyle w:val="Heading2"/>
      </w:pPr>
      <w:r>
        <w:t xml:space="preserve">What 'done' looks like</w:t>
      </w:r>
    </w:p>
    <w:p>
      <w:pPr>
        <w:pStyle w:val="ListParagraph"/>
        <w:numPr>
          <w:ilvl w:val="0"/>
          <w:numId w:val="2"/>
        </w:numPr>
        <w:spacing w:after="60"/>
      </w:pPr>
      <w:r>
        <w:t xml:space="preserve">A populated KPI master list where every metric traces to an area of focus and an impact measure (Market Share &amp; Retention, Participant Engagement &amp; LTV, Operating Efficiency &amp; Resiliency).</w:t>
      </w:r>
    </w:p>
    <w:p>
      <w:pPr>
        <w:pStyle w:val="ListParagraph"/>
        <w:numPr>
          <w:ilvl w:val="0"/>
          <w:numId w:val="2"/>
        </w:numPr>
        <w:spacing w:after="60"/>
      </w:pPr>
      <w:r>
        <w:t xml:space="preserve">An executive dashboard (Domo or custom web app) with a summary page plus a page per area of focus and per team lead, refreshed from owned data sources.</w:t>
      </w:r>
    </w:p>
    <w:p>
      <w:pPr>
        <w:pStyle w:val="ListParagraph"/>
        <w:numPr>
          <w:ilvl w:val="0"/>
          <w:numId w:val="2"/>
        </w:numPr>
        <w:spacing w:after="60"/>
      </w:pPr>
      <w:r>
        <w:t xml:space="preserve">A QBR deck that tells the performance-and-contribution story in a consistent narrative every quarter.</w:t>
      </w:r>
    </w:p>
    <w:p>
      <w:pPr>
        <w:pStyle w:val="ListParagraph"/>
        <w:numPr>
          <w:ilvl w:val="0"/>
          <w:numId w:val="2"/>
        </w:numPr>
        <w:spacing w:after="60"/>
      </w:pPr>
      <w:r>
        <w:t xml:space="preserve">A governance rhythm so this is maintained, not rebuilt each quarter.</w:t>
      </w:r>
    </w:p>
    <w:p>
      <w:pPr>
        <w:pStyle w:val="Heading1"/>
      </w:pPr>
      <w:r>
        <w:t xml:space="preserve">2. The operating model — one line of sight</w:t>
      </w:r>
    </w:p>
    <w:p>
      <w:pPr>
        <w:spacing w:after="120"/>
      </w:pPr>
      <w:r>
        <w:rPr>
          <w:b/>
          <w:bCs/>
          <w:color w:val="B00000"/>
        </w:rPr>
        <w:t xml:space="preserve">Note — refreshed framework. </w:t>
      </w:r>
      <w:r>
        <w:t xml:space="preserve">This plan reflects the latest TEM areas of focus (Growth &amp; Retention; Participant Engagement; Scale &amp; Resiliency). Pillar 3 in particular shifted from the earlier 'lifetime engagement' framing to operating efficiency and resiliency. Everything below hangs off these three areas and their named KPIs — the spine every KPI, activity and slide attaches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Area of focus</w:t>
            </w:r>
          </w:p>
        </w:tc>
        <w:tc>
          <w:tcPr>
            <w:tcW w:type="dxa" w:w="47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Focus / sub-objectives</w:t>
            </w:r>
          </w:p>
        </w:tc>
        <w:tc>
          <w:tcPr>
            <w:tcW w:type="dxa" w:w="24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Impact measure &amp; named KPIs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1. Growth &amp; Retention</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Grow market share via client wins, retention &amp; development; maintain Healthcare &amp; Higher-Education focus; deliver Core Market offering expansion; thoughtful expansion of other segments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Market Share &amp; Retention — HC/HE market share, client retention, core offering delivery</w:t>
            </w:r>
          </w:p>
        </w:tc>
      </w:tr>
      <w:tr>
        <w:tc>
          <w:tcPr>
            <w:tcW w:type="dxa" w:w="22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2. Participant Engagement</w:t>
            </w:r>
          </w:p>
        </w:tc>
        <w:tc>
          <w:tcPr>
            <w:tcW w:type="dxa" w:w="47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Drive participant outcomes &amp; lifetime value; engage all participants; hone in on unique TEM segments (women, nurses, faculty/physicians, mission-driven culture); identify &amp; develop customers who can grow with Fidelity; deepen end-to-end experience</w:t>
            </w:r>
          </w:p>
        </w:tc>
        <w:tc>
          <w:tcPr>
            <w:tcW w:type="dxa" w:w="2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Participant Engagement &amp; LTV — % participants engaged, participant NPS, new crossover individuals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3. Scale &amp; Resiliency</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Operating efficiency engaging clients, participants &amp; consultants/advisors; service-model evolution; live-channel optimization for planning &amp; appointments; operational efficiencies; risk mitigation via automation</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Operating Efficiency &amp; Resiliency — CPP (cost per participant), PW rep-driven flows, PP&amp;A newly enrolled assets, enterprise paper reduction</w:t>
            </w:r>
          </w:p>
        </w:tc>
      </w:tr>
    </w:tbl>
    <w:p>
      <w:pPr>
        <w:spacing w:after="80"/>
      </w:pPr>
      <w:r>
        <w:t xml:space="preserve"/>
      </w:r>
    </w:p>
    <w:p>
      <w:pPr>
        <w:spacing w:after="120"/>
      </w:pPr>
      <w:r>
        <w:rPr>
          <w:b/>
          <w:bCs/>
        </w:rPr>
        <w:t xml:space="preserve">The cascade: </w:t>
      </w:r>
      <w:r>
        <w:t xml:space="preserve">Fidelity strategy → TEM pillar → sub-objective → impact measure → team objective → key result → KPI. The Strategy Cascade tab in the workbook is the reference grid; the test for any metric is whether it can travel that whole path without a gap.</w:t>
      </w:r>
    </w:p>
    <w:p>
      <w:pPr>
        <w:pStyle w:val="Heading2"/>
      </w:pPr>
      <w:r>
        <w:t xml:space="preserve">The current AMCE scorecard — the apex of the cascade</w:t>
      </w:r>
    </w:p>
    <w:p>
      <w:pPr>
        <w:spacing w:after="120"/>
      </w:pPr>
      <w:r>
        <w:t xml:space="preserve">The AMCE team already publishes a Q2 2026 scorecard. It is the apex everything rolls up to: the dashboard's executive summary should mirror it, and each team's KPIs and OKRs sit </w:t>
      </w:r>
      <w:r>
        <w:rPr>
          <w:i/>
          <w:iCs/>
        </w:rPr>
        <w:t xml:space="preserve">underneath</w:t>
      </w:r>
      <w:r>
        <w:t xml:space="preserve"> these lines, explaining how AMCE moves them. Below is that scorecard mapped to the three pillars. (Values were transcribed from the screenshot and should be verified against the source file before publishing — a couple of prior-quarter figures were not fully legible and are flagged in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250"/>
        <w:gridCol w:w="1250"/>
        <w:gridCol w:w="1100"/>
        <w:gridCol w:w="1400"/>
      </w:tblGrid>
      <w:tr>
        <w:trPr>
          <w:tblHeader/>
        </w:trPr>
        <w:tc>
          <w:tcPr>
            <w:tcW w:type="dxa" w:w="43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Category / KPI</w:t>
            </w:r>
          </w:p>
        </w:tc>
        <w:tc>
          <w:tcPr>
            <w:tcW w:type="dxa" w:w="125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Q2 Actual</w:t>
            </w:r>
          </w:p>
        </w:tc>
        <w:tc>
          <w:tcPr>
            <w:tcW w:type="dxa" w:w="125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Q2 Target</w:t>
            </w:r>
          </w:p>
        </w:tc>
        <w:tc>
          <w:tcPr>
            <w:tcW w:type="dxa" w:w="11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Status</w:t>
            </w:r>
          </w:p>
        </w:tc>
        <w:tc>
          <w:tcPr>
            <w:tcW w:type="dxa" w:w="14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Maps to area of focus</w:t>
            </w:r>
          </w:p>
        </w:tc>
      </w:tr>
      <w:t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Grow TEM's Business — HC/HE Market Share</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34.7%</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34.7%</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1 Growth &amp; Retention</w:t>
            </w:r>
          </w:p>
        </w:tc>
      </w:tr>
      <w:tr>
        <w:tc>
          <w:tcPr>
            <w:tcW w:type="dxa" w:w="43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Client Retention — Plan Sponsor NPS</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94</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80</w:t>
            </w:r>
          </w:p>
        </w:tc>
        <w:tc>
          <w:tcPr>
            <w:tcW w:type="dxa" w:w="1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1 Growth &amp; Retention</w:t>
            </w:r>
          </w:p>
        </w:tc>
      </w:tr>
      <w:t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Client Retention — Client Retention</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99.8%</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99.7%</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1 Growth &amp; Retention</w:t>
            </w:r>
          </w:p>
        </w:tc>
      </w:tr>
      <w:tr>
        <w:tc>
          <w:tcPr>
            <w:tcW w:type="dxa" w:w="43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Client Retention — Clients with 3+ Products</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275</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270</w:t>
            </w:r>
          </w:p>
        </w:tc>
        <w:tc>
          <w:tcPr>
            <w:tcW w:type="dxa" w:w="1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1 Growth &amp; Retention</w:t>
            </w:r>
          </w:p>
        </w:tc>
      </w:tr>
      <w:t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Participant Engagement — Participants Engaged</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72.0%</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71.3%</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Verify</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2 Participant Engagement</w:t>
            </w:r>
          </w:p>
        </w:tc>
      </w:tr>
      <w:tr>
        <w:tc>
          <w:tcPr>
            <w:tcW w:type="dxa" w:w="43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Participant Engagement — Participant NPS</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37</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35</w:t>
            </w:r>
          </w:p>
        </w:tc>
        <w:tc>
          <w:tcPr>
            <w:tcW w:type="dxa" w:w="1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2 Participant Engagement</w:t>
            </w:r>
          </w:p>
        </w:tc>
      </w:tr>
      <w:t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Participant Engagement — Client Advocacy Solutions</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64.7%</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58.0%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2 Participant Engagement</w:t>
            </w:r>
          </w:p>
        </w:tc>
      </w:tr>
      <w:tr>
        <w:tc>
          <w:tcPr>
            <w:tcW w:type="dxa" w:w="43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Participant Engagement — Engaging the Unengaged</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25%</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20%</w:t>
            </w:r>
          </w:p>
        </w:tc>
        <w:tc>
          <w:tcPr>
            <w:tcW w:type="dxa" w:w="1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2 Participant Engagement</w:t>
            </w:r>
          </w:p>
        </w:tc>
      </w:tr>
      <w:t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Participant Engagement — Participant Enrollment</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77%</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75%</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2 Participant Engagement</w:t>
            </w:r>
          </w:p>
        </w:tc>
      </w:tr>
      <w:tr>
        <w:tc>
          <w:tcPr>
            <w:tcW w:type="dxa" w:w="43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Participant Engagement — PP&amp;A Newly Enrolled Assets ($M)</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$1,329</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$1,168</w:t>
            </w:r>
          </w:p>
        </w:tc>
        <w:tc>
          <w:tcPr>
            <w:tcW w:type="dxa" w:w="1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3 Scale &amp; Resiliency</w:t>
            </w:r>
          </w:p>
        </w:tc>
      </w:tr>
      <w:t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Participant Engagement — New Crossover Individuals (#)</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89,783</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72,500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2 Participant Engagement</w:t>
            </w:r>
          </w:p>
        </w:tc>
      </w:tr>
      <w:tr>
        <w:tc>
          <w:tcPr>
            <w:tcW w:type="dxa" w:w="43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Participant Engagement — Rollover Retention Rate %</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52.1%</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52.0%</w:t>
            </w:r>
          </w:p>
        </w:tc>
        <w:tc>
          <w:tcPr>
            <w:tcW w:type="dxa" w:w="1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1 Growth &amp; Retention</w:t>
            </w:r>
          </w:p>
        </w:tc>
      </w:tr>
      <w:t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Key Initiatives — Drive to Digital</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$1.0M</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$0.7M</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3 Scale &amp; Resiliency</w:t>
            </w:r>
          </w:p>
        </w:tc>
      </w:tr>
      <w:tr>
        <w:tc>
          <w:tcPr>
            <w:tcW w:type="dxa" w:w="43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Key Initiatives — Higher Ed &amp; Health Care Strategic Efforts</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25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Green</w:t>
            </w:r>
          </w:p>
        </w:tc>
        <w:tc>
          <w:tcPr>
            <w:tcW w:type="dxa" w:w="1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1 Growth &amp; Retention</w:t>
            </w:r>
          </w:p>
        </w:tc>
      </w:tr>
    </w:tbl>
    <w:p>
      <w:pPr>
        <w:spacing w:after="80"/>
      </w:pPr>
      <w:r>
        <w:t xml:space="preserve"/>
      </w:r>
    </w:p>
    <w:p>
      <w:pPr>
        <w:spacing w:after="120"/>
      </w:pPr>
      <w:r>
        <w:rPr>
          <w:b/>
          <w:bCs/>
        </w:rPr>
        <w:t xml:space="preserve">Note on mapping: </w:t>
      </w:r>
      <w:r>
        <w:t xml:space="preserve">the scorecard's own section bands (Grow TEM's Business / Client Retention / Deepen Participant Engagement / Execute on Key Initiatives) predate the refreshed framework. The right-hand column re-aligns each KPI to the new three areas of focus — most notably PP&amp;A Newly Enrolled Assets and Drive to Digital now sit under Scale &amp; Resiliency, and the named KPIs CPP, PW rep-driven flows and enterprise paper reduction will be added as that area matures.</w:t>
      </w:r>
    </w:p>
    <w:p>
      <w:pPr>
        <w:spacing w:after="120"/>
      </w:pPr>
      <w:r>
        <w:rPr>
          <w:b/>
          <w:bCs/>
        </w:rPr>
        <w:t xml:space="preserve">What this changes: </w:t>
      </w:r>
      <w:r>
        <w:t xml:space="preserve">these are the headline KPIs for the dashboard summary and the QBR scorecard slide. The intake from Beth, Eric, Jon, Jason and Kara should explain which scorecard lines each team drives and add the leading indicators beneath them — e.g., the always-on program for unique TEM segments (women, nurses, faculty/physicians) feeds 'Participants Engaged' and 'Engaging the Unengaged'; digital/paperless efforts feed 'Drive to Digital' and enterprise paper reduction; B2B events and marketing feed 'Market Share' and 'New Crossover Individuals'.</w:t>
      </w:r>
    </w:p>
    <w:p>
      <w:pPr>
        <w:pStyle w:val="Heading1"/>
      </w:pPr>
      <w:r>
        <w:t xml:space="preserve">3. KPI &amp; OKR model we'll use</w:t>
      </w:r>
    </w:p>
    <w:p>
      <w:pPr>
        <w:spacing w:after="120"/>
      </w:pPr>
      <w:r>
        <w:t xml:space="preserve">To keep all the teams consistent, we standardize the vocabulary before we collect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tblHeader/>
        </w:trPr>
        <w:tc>
          <w:tcPr>
            <w:tcW w:type="dxa" w:w="17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Term</w:t>
            </w:r>
          </w:p>
        </w:tc>
        <w:tc>
          <w:tcPr>
            <w:tcW w:type="dxa" w:w="43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Definition</w:t>
            </w:r>
          </w:p>
        </w:tc>
        <w:tc>
          <w:tcPr>
            <w:tcW w:type="dxa" w:w="33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Example (TEM)</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Objective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A qualitative, directional aim for the quarter/year, tied to an area of focus</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Run an always-on engagement program for unique TEM segments (women, nurses, faculty/physicians)</w:t>
            </w:r>
          </w:p>
        </w:tc>
      </w:tr>
      <w:tr>
        <w:tc>
          <w:tcPr>
            <w:tcW w:type="dxa" w:w="17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Key Result (KR)</w:t>
            </w:r>
          </w:p>
        </w:tc>
        <w:tc>
          <w:tcPr>
            <w:tcW w:type="dxa" w:w="43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A measurable outcome that proves the objective is met</w:t>
            </w:r>
          </w:p>
        </w:tc>
        <w:tc>
          <w:tcPr>
            <w:tcW w:type="dxa" w:w="33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Reach 80% of the target segments with an engagement rate above X%</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KPI</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The standing metric that tracks a KR over time</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Target-segment reach; engagement rate</w:t>
            </w:r>
          </w:p>
        </w:tc>
      </w:tr>
      <w:tr>
        <w:tc>
          <w:tcPr>
            <w:tcW w:type="dxa" w:w="17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Leading indicator</w:t>
            </w:r>
          </w:p>
        </w:tc>
        <w:tc>
          <w:tcPr>
            <w:tcW w:type="dxa" w:w="43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Predicts future outcomes; we can act on it now</w:t>
            </w:r>
          </w:p>
        </w:tc>
        <w:tc>
          <w:tcPr>
            <w:tcW w:type="dxa" w:w="33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Campaign reach, appointments booked, comms plans live</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Lagging indicator</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Confirms results after the fact</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Market share, retention, CPP</w:t>
            </w:r>
          </w:p>
        </w:tc>
      </w:tr>
      <w:tr>
        <w:tc>
          <w:tcPr>
            <w:tcW w:type="dxa" w:w="17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Impact measure</w:t>
            </w:r>
          </w:p>
        </w:tc>
        <w:tc>
          <w:tcPr>
            <w:tcW w:type="dxa" w:w="43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The area-of-focus outcome the KPI ultimately moves</w:t>
            </w:r>
          </w:p>
        </w:tc>
        <w:tc>
          <w:tcPr>
            <w:tcW w:type="dxa" w:w="33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Participant Engagement &amp; LTV</w:t>
            </w:r>
          </w:p>
        </w:tc>
      </w:tr>
    </w:tbl>
    <w:p>
      <w:pPr>
        <w:spacing w:after="80"/>
      </w:pPr>
      <w:r>
        <w:t xml:space="preserve"/>
      </w:r>
    </w:p>
    <w:p>
      <w:pPr>
        <w:spacing w:after="120"/>
      </w:pPr>
      <w:r>
        <w:rPr>
          <w:b/>
          <w:bCs/>
        </w:rPr>
        <w:t xml:space="preserve">Balance leading and lagging. </w:t>
      </w:r>
      <w:r>
        <w:t xml:space="preserve">Lagging measures (market share, retention) are what Sheri's leadership cares about, but they move slowly. Each pillar needs a few leading indicators the teams control so the QBR can show momentum between the lagging results.</w:t>
      </w:r>
    </w:p>
    <w:p>
      <w:pPr>
        <w:spacing w:after="120"/>
      </w:pPr>
      <w:r>
        <w:rPr>
          <w:b/>
          <w:bCs/>
        </w:rPr>
        <w:t xml:space="preserve">Every KPI gets one accountable owner team</w:t>
      </w:r>
      <w:r>
        <w:t xml:space="preserve"> even when several teams contribute — the Linkage Map records primary vs. supporting roles so contribution is visible without diffusing accountability.</w:t>
      </w:r>
    </w:p>
    <w:p>
      <w:pPr>
        <w:pStyle w:val="Heading1"/>
      </w:pPr>
      <w:r>
        <w:t xml:space="preserve">4. The approach — six phases</w:t>
      </w:r>
    </w:p>
    <w:p>
      <w:pPr>
        <w:spacing w:after="120"/>
      </w:pPr>
      <w:r>
        <w:t xml:space="preserve">This is the path from where you are today to a live dashboard and a repeatable QBR.</w:t>
      </w:r>
    </w:p>
    <w:p>
      <w:pPr>
        <w:pStyle w:val="Heading2"/>
      </w:pPr>
      <w:r>
        <w:t xml:space="preserve">Phase 1 — Frame &amp; align (week 1)</w:t>
      </w:r>
    </w:p>
    <w:p>
      <w:pPr>
        <w:pStyle w:val="ListParagraph"/>
        <w:numPr>
          <w:ilvl w:val="0"/>
          <w:numId w:val="2"/>
        </w:numPr>
        <w:spacing w:after="60"/>
      </w:pPr>
      <w:r>
        <w:t xml:space="preserve">Confirm the three pillars, sub-objectives and impact measures with Sheri so the spine is locked before teams invest time.</w:t>
      </w:r>
    </w:p>
    <w:p>
      <w:pPr>
        <w:pStyle w:val="ListParagraph"/>
        <w:numPr>
          <w:ilvl w:val="0"/>
          <w:numId w:val="2"/>
        </w:numPr>
        <w:spacing w:after="60"/>
      </w:pPr>
      <w:r>
        <w:t xml:space="preserve">Socialize the KPI/OKR vocabulary (Section 3) so all teams answer in the same language.</w:t>
      </w:r>
    </w:p>
    <w:p>
      <w:pPr>
        <w:pStyle w:val="ListParagraph"/>
        <w:numPr>
          <w:ilvl w:val="0"/>
          <w:numId w:val="2"/>
        </w:numPr>
        <w:spacing w:after="60"/>
      </w:pPr>
      <w:r>
        <w:t xml:space="preserve">Distribute the intake workbook with a short live walkthrough.</w:t>
      </w:r>
    </w:p>
    <w:p>
      <w:pPr>
        <w:pStyle w:val="Heading2"/>
      </w:pPr>
      <w:r>
        <w:t xml:space="preserve">Phase 2 — Team intake (weeks 1–3)</w:t>
      </w:r>
    </w:p>
    <w:p>
      <w:pPr>
        <w:pStyle w:val="ListParagraph"/>
        <w:numPr>
          <w:ilvl w:val="0"/>
          <w:numId w:val="2"/>
        </w:numPr>
        <w:spacing w:after="60"/>
      </w:pPr>
      <w:r>
        <w:t xml:space="preserve">Each lead completes their intake tab: objectives, key results, KPIs, definitions, baselines, targets, data sources, owners.</w:t>
      </w:r>
    </w:p>
    <w:p>
      <w:pPr>
        <w:pStyle w:val="ListParagraph"/>
        <w:numPr>
          <w:ilvl w:val="0"/>
          <w:numId w:val="2"/>
        </w:numPr>
        <w:spacing w:after="60"/>
      </w:pPr>
      <w:r>
        <w:t xml:space="preserve">Run a 45-minute working session per team to fill gaps and pressure-test that each KPI traces to a pillar.</w:t>
      </w:r>
    </w:p>
    <w:p>
      <w:pPr>
        <w:pStyle w:val="ListParagraph"/>
        <w:numPr>
          <w:ilvl w:val="0"/>
          <w:numId w:val="2"/>
        </w:numPr>
        <w:spacing w:after="60"/>
      </w:pPr>
      <w:r>
        <w:t xml:space="preserve">Capture the activity categories too — the </w:t>
      </w:r>
      <w:r>
        <w:rPr>
          <w:i/>
          <w:iCs/>
        </w:rPr>
        <w:t xml:space="preserve">Activities Catalog</w:t>
      </w:r>
      <w:r>
        <w:t xml:space="preserve"> tab — so the QBR can show what the team </w:t>
      </w:r>
      <w:r>
        <w:rPr>
          <w:i/>
          <w:iCs/>
        </w:rPr>
        <w:t xml:space="preserve">did</w:t>
      </w:r>
      <w:r>
        <w:t xml:space="preserve">, not only its outcomes.</w:t>
      </w:r>
    </w:p>
    <w:p>
      <w:pPr>
        <w:pStyle w:val="Heading2"/>
      </w:pPr>
      <w:r>
        <w:t xml:space="preserve">Phase 3 — Consolidate &amp; map (week 3–4)</w:t>
      </w:r>
    </w:p>
    <w:p>
      <w:pPr>
        <w:pStyle w:val="ListParagraph"/>
        <w:numPr>
          <w:ilvl w:val="0"/>
          <w:numId w:val="2"/>
        </w:numPr>
        <w:spacing w:after="60"/>
      </w:pPr>
      <w:r>
        <w:t xml:space="preserve">Roll all confirmed KPIs into the KPI Master List and assign KPI IDs.</w:t>
      </w:r>
    </w:p>
    <w:p>
      <w:pPr>
        <w:pStyle w:val="ListParagraph"/>
        <w:numPr>
          <w:ilvl w:val="0"/>
          <w:numId w:val="2"/>
        </w:numPr>
        <w:spacing w:after="60"/>
      </w:pPr>
      <w:r>
        <w:t xml:space="preserve">Complete the Linkage Map (H/M/L contribution per team per pillar) — surfaces over- or under-covered pillars.</w:t>
      </w:r>
    </w:p>
    <w:p>
      <w:pPr>
        <w:pStyle w:val="ListParagraph"/>
        <w:numPr>
          <w:ilvl w:val="0"/>
          <w:numId w:val="2"/>
        </w:numPr>
        <w:spacing w:after="60"/>
      </w:pPr>
      <w:r>
        <w:t xml:space="preserve">Identify the 8–12 'headline' KPIs that will anchor the executive summary and the QBR.</w:t>
      </w:r>
    </w:p>
    <w:p>
      <w:pPr>
        <w:pStyle w:val="Heading2"/>
      </w:pPr>
      <w:r>
        <w:t xml:space="preserve">Phase 4 — Data &amp; feasibility (week 4–5, parallel)</w:t>
      </w:r>
    </w:p>
    <w:p>
      <w:pPr>
        <w:pStyle w:val="ListParagraph"/>
        <w:numPr>
          <w:ilvl w:val="0"/>
          <w:numId w:val="2"/>
        </w:numPr>
        <w:spacing w:after="60"/>
      </w:pPr>
      <w:r>
        <w:t xml:space="preserve">Complete the Data Source Inventory: system, owner, refresh cadence, whether a platform connector exists, access/PII notes.</w:t>
      </w:r>
    </w:p>
    <w:p>
      <w:pPr>
        <w:pStyle w:val="ListParagraph"/>
        <w:numPr>
          <w:ilvl w:val="0"/>
          <w:numId w:val="2"/>
        </w:numPr>
        <w:spacing w:after="60"/>
      </w:pPr>
      <w:r>
        <w:t xml:space="preserve">Flag KPIs with no current data source as gaps — decide proxy, manual entry, or defer.</w:t>
      </w:r>
    </w:p>
    <w:p>
      <w:pPr>
        <w:pStyle w:val="ListParagraph"/>
        <w:numPr>
          <w:ilvl w:val="0"/>
          <w:numId w:val="2"/>
        </w:numPr>
        <w:spacing w:after="60"/>
      </w:pPr>
      <w:r>
        <w:t xml:space="preserve">Confirm dashboard-platform connectivity and security/governance for any participant (PII) data.</w:t>
      </w:r>
    </w:p>
    <w:p>
      <w:pPr>
        <w:pStyle w:val="Heading2"/>
      </w:pPr>
      <w:r>
        <w:t xml:space="preserve">Phase 5 — Build (week 5–8)</w:t>
      </w:r>
    </w:p>
    <w:p>
      <w:pPr>
        <w:pStyle w:val="ListParagraph"/>
        <w:numPr>
          <w:ilvl w:val="0"/>
          <w:numId w:val="2"/>
        </w:numPr>
        <w:spacing w:after="60"/>
      </w:pPr>
      <w:r>
        <w:t xml:space="preserve">Build the dashboard per the blueprint in Section 6 (summary + area-of-focus + team pages), in the chosen platform.</w:t>
      </w:r>
    </w:p>
    <w:p>
      <w:pPr>
        <w:pStyle w:val="ListParagraph"/>
        <w:numPr>
          <w:ilvl w:val="0"/>
          <w:numId w:val="2"/>
        </w:numPr>
        <w:spacing w:after="60"/>
      </w:pPr>
      <w:r>
        <w:t xml:space="preserve">Build the QBR deck template per Section 7 so quarterly refresh is mostly data swaps.</w:t>
      </w:r>
    </w:p>
    <w:p>
      <w:pPr>
        <w:pStyle w:val="ListParagraph"/>
        <w:numPr>
          <w:ilvl w:val="0"/>
          <w:numId w:val="2"/>
        </w:numPr>
        <w:spacing w:after="60"/>
      </w:pPr>
      <w:r>
        <w:t xml:space="preserve">Validate every tile against its source; review with each lead for accuracy.</w:t>
      </w:r>
    </w:p>
    <w:p>
      <w:pPr>
        <w:pStyle w:val="Heading2"/>
      </w:pPr>
      <w:r>
        <w:t xml:space="preserve">Phase 6 — Operate &amp; govern (ongoing)</w:t>
      </w:r>
    </w:p>
    <w:p>
      <w:pPr>
        <w:pStyle w:val="ListParagraph"/>
        <w:numPr>
          <w:ilvl w:val="0"/>
          <w:numId w:val="2"/>
        </w:numPr>
        <w:spacing w:after="60"/>
      </w:pPr>
      <w:r>
        <w:t xml:space="preserve">Run the cadence in Section 5; refresh the QBR each quarter; review targets at year boundaries.</w:t>
      </w:r>
    </w:p>
    <w:p>
      <w:pPr>
        <w:pStyle w:val="ListParagraph"/>
        <w:numPr>
          <w:ilvl w:val="0"/>
          <w:numId w:val="2"/>
        </w:numPr>
        <w:spacing w:after="60"/>
      </w:pPr>
      <w:r>
        <w:t xml:space="preserve">Treat the workbook as the system of record — changes flow workbook → dashboard → deck.</w:t>
      </w:r>
    </w:p>
    <w:p>
      <w:pPr>
        <w:pStyle w:val="Heading1"/>
      </w:pPr>
      <w:r>
        <w:t xml:space="preserve">5. Governance, roles &amp; cadence</w:t>
      </w:r>
    </w:p>
    <w:p>
      <w:pPr>
        <w:pStyle w:val="Heading2"/>
      </w:pPr>
      <w:r>
        <w:t xml:space="preserve">RACI for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300"/>
        <w:gridCol w:w="2300"/>
        <w:gridCol w:w="1800"/>
      </w:tblGrid>
      <w:tr>
        <w:trPr>
          <w:tblHeader/>
        </w:trPr>
        <w:tc>
          <w:tcPr>
            <w:tcW w:type="dxa" w:w="29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Activity</w:t>
            </w:r>
          </w:p>
        </w:tc>
        <w:tc>
          <w:tcPr>
            <w:tcW w:type="dxa" w:w="23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Nick (Analytics)</w:t>
            </w:r>
          </w:p>
        </w:tc>
        <w:tc>
          <w:tcPr>
            <w:tcW w:type="dxa" w:w="23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Beth · Eric · Jon · Jason · Kara</w:t>
            </w:r>
          </w:p>
        </w:tc>
        <w:tc>
          <w:tcPr>
            <w:tcW w:type="dxa" w:w="18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Sheri</w:t>
            </w:r>
          </w:p>
        </w:tc>
      </w:tr>
      <w:tr>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Pillar &amp; impact-measure definitions</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Drives</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Consulted</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Approves</w:t>
            </w:r>
          </w:p>
        </w:tc>
      </w:tr>
      <w:tr>
        <w:tc>
          <w:tcPr>
            <w:tcW w:type="dxa" w:w="29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Team intake completion</w:t>
            </w:r>
          </w:p>
        </w:tc>
        <w:tc>
          <w:tcPr>
            <w:tcW w:type="dxa" w:w="23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Accountable for rollup</w:t>
            </w:r>
          </w:p>
        </w:tc>
        <w:tc>
          <w:tcPr>
            <w:tcW w:type="dxa" w:w="23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Responsible (own tab)</w:t>
            </w:r>
          </w:p>
        </w:tc>
        <w:tc>
          <w:tcPr>
            <w:tcW w:type="dxa" w:w="18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Informed</w:t>
            </w:r>
          </w:p>
        </w:tc>
      </w:tr>
      <w:tr>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KPI master list &amp; linkage map</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Responsible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Consulted</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Informed</w:t>
            </w:r>
          </w:p>
        </w:tc>
      </w:tr>
      <w:tr>
        <w:tc>
          <w:tcPr>
            <w:tcW w:type="dxa" w:w="29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Data sourcing &amp; dashboard build</w:t>
            </w:r>
          </w:p>
        </w:tc>
        <w:tc>
          <w:tcPr>
            <w:tcW w:type="dxa" w:w="23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Responsible</w:t>
            </w:r>
          </w:p>
        </w:tc>
        <w:tc>
          <w:tcPr>
            <w:tcW w:type="dxa" w:w="23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Consulted (own data)</w:t>
            </w:r>
          </w:p>
        </w:tc>
        <w:tc>
          <w:tcPr>
            <w:tcW w:type="dxa" w:w="18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Informed</w:t>
            </w:r>
          </w:p>
        </w:tc>
      </w:tr>
      <w:tr>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QBR narrative &amp; deck</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Responsible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Contribute sections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Approves / presents</w:t>
            </w:r>
          </w:p>
        </w:tc>
      </w:tr>
    </w:tbl>
    <w:p>
      <w:pPr>
        <w:spacing w:after="80"/>
      </w:pPr>
      <w:r>
        <w:t xml:space="preserve"/>
      </w:r>
    </w:p>
    <w:p>
      <w:pPr>
        <w:pStyle w:val="Heading2"/>
      </w:pPr>
      <w:r>
        <w:t xml:space="preserve">Operating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rPr>
          <w:tblHeader/>
        </w:trPr>
        <w:tc>
          <w:tcPr>
            <w:tcW w:type="dxa" w:w="24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Rhythm</w:t>
            </w:r>
          </w:p>
        </w:tc>
        <w:tc>
          <w:tcPr>
            <w:tcW w:type="dxa" w:w="25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Frequency</w:t>
            </w:r>
          </w:p>
        </w:tc>
        <w:tc>
          <w:tcPr>
            <w:tcW w:type="dxa" w:w="44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KPI data refresh</w:t>
            </w:r>
          </w:p>
        </w:tc>
        <w:tc>
          <w:tcPr>
            <w:tcW w:type="dxa" w:w="2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Per source (daily–monthly)</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Keep dashboard current automatically</w:t>
            </w:r>
          </w:p>
        </w:tc>
      </w:tr>
      <w:tr>
        <w:tc>
          <w:tcPr>
            <w:tcW w:type="dxa" w:w="2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Team metric check-in</w:t>
            </w:r>
          </w:p>
        </w:tc>
        <w:tc>
          <w:tcPr>
            <w:tcW w:type="dxa" w:w="25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Monthly</w:t>
            </w:r>
          </w:p>
        </w:tc>
        <w:tc>
          <w:tcPr>
            <w:tcW w:type="dxa" w:w="4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Each lead reviews their tiles, flags anomalies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QBR assembly</w:t>
            </w:r>
          </w:p>
        </w:tc>
        <w:tc>
          <w:tcPr>
            <w:tcW w:type="dxa" w:w="2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Quarterly</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Refresh deck, agree the narrative, brief Sheri</w:t>
            </w:r>
          </w:p>
        </w:tc>
      </w:tr>
      <w:tr>
        <w:tc>
          <w:tcPr>
            <w:tcW w:type="dxa" w:w="2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Target &amp; pillar review</w:t>
            </w:r>
          </w:p>
        </w:tc>
        <w:tc>
          <w:tcPr>
            <w:tcW w:type="dxa" w:w="25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Annual / half-year</w:t>
            </w:r>
          </w:p>
        </w:tc>
        <w:tc>
          <w:tcPr>
            <w:tcW w:type="dxa" w:w="4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Reset baselines and targets; confirm strategy still maps</w:t>
            </w:r>
          </w:p>
        </w:tc>
      </w:tr>
    </w:tbl>
    <w:p>
      <w:r>
        <w:br w:type="page"/>
      </w:r>
    </w:p>
    <w:p>
      <w:pPr>
        <w:pStyle w:val="Heading1"/>
      </w:pPr>
      <w:r>
        <w:t xml:space="preserve">6. Dashboard — blueprint (platform-agnostic)</w:t>
      </w:r>
    </w:p>
    <w:p>
      <w:pPr>
        <w:spacing w:after="120"/>
      </w:pPr>
      <w:r>
        <w:rPr>
          <w:b/>
          <w:bCs/>
        </w:rPr>
        <w:t xml:space="preserve">Platform decision — Domo vs. a custom web app. </w:t>
      </w:r>
      <w:r>
        <w:t xml:space="preserve">This blueprint holds either way. Domo gives governed, IT-supported, auto-refreshing dashboards that executives already trust at Fidelity, at the cost of licensing and templated layouts. A custom interactive web page built with a GenAI dev-assist tool gives full design freedom and fast prototyping, but the team then owns the data pipelines, hosting, security review, and ongoing maintenance — a heavier lift to make production-grade and trusted in a regulated environment. A practical path: prototype the experience as a web page to align on layout and story, then decide whether to productionize in Domo or harden the web app. See the recommendation discussion accompanying this plan.</w:t>
      </w:r>
    </w:p>
    <w:p>
      <w:pPr>
        <w:spacing w:after="120"/>
      </w:pPr>
      <w:r>
        <w:t xml:space="preserve">Structure the dashboard so a leader can answer three questions in order: How are we doing overall? How is each area of focus performing? Who is driving it? Use a summary page, three area-of-focus pages, and a page per team lead (six), with global filters for time period, segment (higher ed / healthcare; unique TEM segments), and team.</w:t>
      </w:r>
    </w:p>
    <w:p>
      <w:pPr>
        <w:pStyle w:val="Heading2"/>
      </w:pPr>
      <w:r>
        <w:t xml:space="preserve">Page 1 — Executive summary</w:t>
      </w:r>
    </w:p>
    <w:p>
      <w:pPr>
        <w:pStyle w:val="ListParagraph"/>
        <w:numPr>
          <w:ilvl w:val="0"/>
          <w:numId w:val="2"/>
        </w:numPr>
        <w:spacing w:after="60"/>
      </w:pPr>
      <w:r>
        <w:rPr>
          <w:b/>
          <w:bCs/>
        </w:rPr>
        <w:t xml:space="preserve">Mirror the existing AMCE scorecard. </w:t>
      </w:r>
      <w:r>
        <w:t xml:space="preserve">Recreate the Q2 2026 scorecard layout in whichever platform is chosen — the four categories (Grow TEM's Business, Client Retention, Deepen Participant Engagement, Execute on Key Initiatives) with Actual vs Target, vs Goal, vs YoY, QoQ trend and RAG status. Leaders already read this format, so adoption is easier.</w:t>
      </w:r>
    </w:p>
    <w:p>
      <w:pPr>
        <w:pStyle w:val="ListParagraph"/>
        <w:numPr>
          <w:ilvl w:val="0"/>
          <w:numId w:val="2"/>
        </w:numPr>
        <w:spacing w:after="60"/>
      </w:pPr>
      <w:r>
        <w:t xml:space="preserve">Three large scorecards, one per area of focus: Growth &amp; Retention (Market Share &amp; Retention), Participant Engagement (Engagement &amp; LTV), Scale &amp; Resiliency (Operating Efficiency) — current value, target, trend arrow vs. prior quarter.</w:t>
      </w:r>
    </w:p>
    <w:p>
      <w:pPr>
        <w:pStyle w:val="ListParagraph"/>
        <w:numPr>
          <w:ilvl w:val="0"/>
          <w:numId w:val="2"/>
        </w:numPr>
        <w:spacing w:after="60"/>
      </w:pPr>
      <w:r>
        <w:t xml:space="preserve">Headline KPI strip: the scorecard's marquee KPIs (e.g., HC/HE Market Share, Participants Engaged, New Crossover Individuals, Drive to Digital), each with value, target, and red/amber/green status.</w:t>
      </w:r>
    </w:p>
    <w:p>
      <w:pPr>
        <w:pStyle w:val="ListParagraph"/>
        <w:numPr>
          <w:ilvl w:val="0"/>
          <w:numId w:val="2"/>
        </w:numPr>
        <w:spacing w:after="60"/>
      </w:pPr>
      <w:r>
        <w:t xml:space="preserve">Pillar health summary: one row per pillar with on-track / at-risk indicator.</w:t>
      </w:r>
    </w:p>
    <w:p>
      <w:pPr>
        <w:pStyle w:val="ListParagraph"/>
        <w:numPr>
          <w:ilvl w:val="0"/>
          <w:numId w:val="2"/>
        </w:numPr>
        <w:spacing w:after="60"/>
      </w:pPr>
      <w:r>
        <w:t xml:space="preserve">Narrative tile: 2–3 sentence 'what changed and why' (the bridge to the QBR).</w:t>
      </w:r>
    </w:p>
    <w:p>
      <w:pPr>
        <w:pStyle w:val="Heading2"/>
      </w:pPr>
      <w:r>
        <w:t xml:space="preserve">Pages 2–4 — One per pillar</w:t>
      </w:r>
    </w:p>
    <w:p>
      <w:pPr>
        <w:pStyle w:val="ListParagraph"/>
        <w:numPr>
          <w:ilvl w:val="0"/>
          <w:numId w:val="2"/>
        </w:numPr>
        <w:spacing w:after="60"/>
      </w:pPr>
      <w:r>
        <w:t xml:space="preserve">Pillar's lagging outcome measure as the hero tile (e.g., market share trend).</w:t>
      </w:r>
    </w:p>
    <w:p>
      <w:pPr>
        <w:pStyle w:val="ListParagraph"/>
        <w:numPr>
          <w:ilvl w:val="0"/>
          <w:numId w:val="2"/>
        </w:numPr>
        <w:spacing w:after="60"/>
      </w:pPr>
      <w:r>
        <w:t xml:space="preserve">Supporting leading indicators contributed by each team, grouped so cross-team contribution is visible.</w:t>
      </w:r>
    </w:p>
    <w:p>
      <w:pPr>
        <w:pStyle w:val="ListParagraph"/>
        <w:numPr>
          <w:ilvl w:val="0"/>
          <w:numId w:val="2"/>
        </w:numPr>
        <w:spacing w:after="60"/>
      </w:pPr>
      <w:r>
        <w:t xml:space="preserve">Segment cuts where relevant (higher ed vs. healthcare; unique TEM segments such as women, nurses and faculty/physicians).</w:t>
      </w:r>
    </w:p>
    <w:p>
      <w:pPr>
        <w:pStyle w:val="Heading2"/>
      </w:pPr>
      <w:r>
        <w:t xml:space="preserve">Pages 5–10 — One per team lead</w:t>
      </w:r>
    </w:p>
    <w:p>
      <w:pPr>
        <w:pStyle w:val="ListParagraph"/>
        <w:numPr>
          <w:ilvl w:val="0"/>
          <w:numId w:val="2"/>
        </w:numPr>
        <w:spacing w:after="60"/>
      </w:pPr>
      <w:r>
        <w:t xml:space="preserve">Analytics (Nick), Marketing (Beth), Comms–Consultants (Eric), Comms–Sales (Jon), Comms–Implementation (Jason) and Events (Kara) each get a page: their KPIs, targets, trends, and the activity volumes from the Activities Catalog.</w:t>
      </w:r>
    </w:p>
    <w:p>
      <w:pPr>
        <w:pStyle w:val="ListParagraph"/>
        <w:numPr>
          <w:ilvl w:val="0"/>
          <w:numId w:val="2"/>
        </w:numPr>
        <w:spacing w:after="60"/>
      </w:pPr>
      <w:r>
        <w:t xml:space="preserve">Each team page repeats the 'contributes to' tag so every metric shows which area of focus it serves.</w:t>
      </w:r>
    </w:p>
    <w:p>
      <w:pPr>
        <w:pStyle w:val="Heading2"/>
      </w:pPr>
      <w:r>
        <w:t xml:space="preserve">Design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Convention</w:t>
            </w:r>
          </w:p>
        </w:tc>
        <w:tc>
          <w:tcPr>
            <w:tcW w:type="dxa" w:w="67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Standard</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Status colors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Green = at/above target · Amber = within X% · Red = below threshold</w:t>
            </w:r>
          </w:p>
        </w:tc>
      </w:tr>
      <w:tr>
        <w:tc>
          <w:tcPr>
            <w:tcW w:type="dxa" w:w="26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Every tile</w:t>
            </w:r>
          </w:p>
        </w:tc>
        <w:tc>
          <w:tcPr>
            <w:tcW w:type="dxa" w:w="67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Shows value, target, trend vs. prior period, owner team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Filters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Time period, segment (higher ed/healthcare), team — global across pages</w:t>
            </w:r>
          </w:p>
        </w:tc>
      </w:tr>
      <w:tr>
        <w:tc>
          <w:tcPr>
            <w:tcW w:type="dxa" w:w="26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Definitions</w:t>
            </w:r>
          </w:p>
        </w:tc>
        <w:tc>
          <w:tcPr>
            <w:tcW w:type="dxa" w:w="67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Tooltip on each tile pulls the definition from the KPI master list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Refresh</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Cadence shown on each page; sourced from the Data Source Inventory</w:t>
            </w:r>
          </w:p>
        </w:tc>
      </w:tr>
    </w:tbl>
    <w:p>
      <w:r>
        <w:br w:type="page"/>
      </w:r>
    </w:p>
    <w:p>
      <w:pPr>
        <w:pStyle w:val="Heading1"/>
      </w:pPr>
      <w:r>
        <w:t xml:space="preserve">7. QBR deck — slide-by-slide blueprint</w:t>
      </w:r>
    </w:p>
    <w:p>
      <w:pPr>
        <w:spacing w:after="120"/>
      </w:pPr>
      <w:r>
        <w:t xml:space="preserve">The deck is the narrative layer over the dashboard. Same data, but sequenced as a story: where we are against strategy, how each pillar performed, what each team contributed, and what's next. Aim for ~18–22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Slide</w:t>
            </w:r>
          </w:p>
        </w:tc>
        <w:tc>
          <w:tcPr>
            <w:tcW w:type="dxa" w:w="57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Content</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1</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Title</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Quarter, area, presenter; one-line theme for the quarter</w:t>
            </w:r>
          </w:p>
        </w:tc>
      </w:tr>
      <w:tr>
        <w:tc>
          <w:tcPr>
            <w:tcW w:type="dxa" w:w="6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2</w:t>
            </w:r>
          </w:p>
        </w:tc>
        <w:tc>
          <w:tcPr>
            <w:tcW w:type="dxa" w:w="30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Executive summary</w:t>
            </w:r>
          </w:p>
        </w:tc>
        <w:tc>
          <w:tcPr>
            <w:tcW w:type="dxa" w:w="57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The three impact measures vs. target + the single most important message</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3</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Strategy line of sight</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The pillar spine; how our area maps to TEM &amp; Fidelity strategy</w:t>
            </w:r>
          </w:p>
        </w:tc>
      </w:tr>
      <w:tr>
        <w:tc>
          <w:tcPr>
            <w:tcW w:type="dxa" w:w="6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4</w:t>
            </w:r>
          </w:p>
        </w:tc>
        <w:tc>
          <w:tcPr>
            <w:tcW w:type="dxa" w:w="30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Scorecard</w:t>
            </w:r>
          </w:p>
        </w:tc>
        <w:tc>
          <w:tcPr>
            <w:tcW w:type="dxa" w:w="57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Headline KPIs with RAG status — the dashboard summary, static</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5</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Area 1 — Growth &amp; Retention</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Market share, retention, core offering; HC/HE &amp; client-win cuts</w:t>
            </w:r>
          </w:p>
        </w:tc>
      </w:tr>
      <w:tr>
        <w:tc>
          <w:tcPr>
            <w:tcW w:type="dxa" w:w="6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6</w:t>
            </w:r>
          </w:p>
        </w:tc>
        <w:tc>
          <w:tcPr>
            <w:tcW w:type="dxa" w:w="30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Area 1 — team contributions</w:t>
            </w:r>
          </w:p>
        </w:tc>
        <w:tc>
          <w:tcPr>
            <w:tcW w:type="dxa" w:w="57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What Marketing, Events, Analytics did to win, retain and develop</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7</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Area 2 — Participant Engagement</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 engaged, NPS, crossover; planning &amp; appointment trends</w:t>
            </w:r>
          </w:p>
        </w:tc>
      </w:tr>
      <w:tr>
        <w:tc>
          <w:tcPr>
            <w:tcW w:type="dxa" w:w="6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8</w:t>
            </w:r>
          </w:p>
        </w:tc>
        <w:tc>
          <w:tcPr>
            <w:tcW w:type="dxa" w:w="30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Area 2 — segment spotlight</w:t>
            </w:r>
          </w:p>
        </w:tc>
        <w:tc>
          <w:tcPr>
            <w:tcW w:type="dxa" w:w="57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Unique TEM segments: women, nurses, faculty/physicians results</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9</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Area 3 — Scale &amp; Resiliency</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CPP, rep-driven flows, digital/paper reduction, automation progress</w:t>
            </w:r>
          </w:p>
        </w:tc>
      </w:tr>
      <w:tr>
        <w:tc>
          <w:tcPr>
            <w:tcW w:type="dxa" w:w="6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10–15</w:t>
            </w:r>
          </w:p>
        </w:tc>
        <w:tc>
          <w:tcPr>
            <w:tcW w:type="dxa" w:w="30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Team spotlights</w:t>
            </w:r>
          </w:p>
        </w:tc>
        <w:tc>
          <w:tcPr>
            <w:tcW w:type="dxa" w:w="57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One slide each: Analytics, Marketing, Comms–Consultants, Comms–Sales, Comms–Implementation, Events — activities + outcomes + contribution</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16</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Wins &amp; proof points</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2–3 concrete stories that humanize the numbers</w:t>
            </w:r>
          </w:p>
        </w:tc>
      </w:tr>
      <w:tr>
        <w:tc>
          <w:tcPr>
            <w:tcW w:type="dxa" w:w="6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17</w:t>
            </w:r>
          </w:p>
        </w:tc>
        <w:tc>
          <w:tcPr>
            <w:tcW w:type="dxa" w:w="30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Risks, gaps &amp; asks</w:t>
            </w:r>
          </w:p>
        </w:tc>
        <w:tc>
          <w:tcPr>
            <w:tcW w:type="dxa" w:w="57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At-risk KPIs, data gaps, decisions/resources needed from Sheri</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18</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Next quarter</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Priorities and targets by area of focus</w:t>
            </w:r>
          </w:p>
        </w:tc>
      </w:tr>
      <w:tr>
        <w:tc>
          <w:tcPr>
            <w:tcW w:type="dxa" w:w="6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19</w:t>
            </w:r>
          </w:p>
        </w:tc>
        <w:tc>
          <w:tcPr>
            <w:tcW w:type="dxa" w:w="30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Appendix</w:t>
            </w:r>
          </w:p>
        </w:tc>
        <w:tc>
          <w:tcPr>
            <w:tcW w:type="dxa" w:w="57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KPI definitions, methodology, full metric tables</w:t>
            </w:r>
          </w:p>
        </w:tc>
      </w:tr>
    </w:tbl>
    <w:p>
      <w:pPr>
        <w:spacing w:after="80"/>
      </w:pPr>
      <w:r>
        <w:t xml:space="preserve"/>
      </w:r>
    </w:p>
    <w:p>
      <w:pPr>
        <w:spacing w:after="120"/>
      </w:pPr>
      <w:r>
        <w:rPr>
          <w:b/>
          <w:bCs/>
        </w:rPr>
        <w:t xml:space="preserve">Reusability: </w:t>
      </w:r>
      <w:r>
        <w:t xml:space="preserve">build it once as a template. Each quarter, most slides refresh from the same dashboard views; only the narrative and proof points are rewritten. The Activities Catalog feeds the team-spotlight slides directly.</w:t>
      </w:r>
    </w:p>
    <w:p>
      <w:pPr>
        <w:pStyle w:val="Heading1"/>
      </w:pPr>
      <w:r>
        <w:t xml:space="preserve">8. What we need from each team (intake summary)</w:t>
      </w:r>
    </w:p>
    <w:p>
      <w:pPr>
        <w:spacing w:after="120"/>
      </w:pPr>
      <w:r>
        <w:t xml:space="preserve">Each lead completes their tab in the workbook. The same eight things from everyone keeps the rollup clean:</w:t>
      </w:r>
    </w:p>
    <w:p>
      <w:pPr>
        <w:pStyle w:val="ListParagraph"/>
        <w:numPr>
          <w:ilvl w:val="0"/>
          <w:numId w:val="3"/>
        </w:numPr>
        <w:spacing w:after="60"/>
      </w:pPr>
      <w:r>
        <w:t xml:space="preserve">Objectives for the quarter/year, each tagged to a pillar.</w:t>
      </w:r>
    </w:p>
    <w:p>
      <w:pPr>
        <w:pStyle w:val="ListParagraph"/>
        <w:numPr>
          <w:ilvl w:val="0"/>
          <w:numId w:val="3"/>
        </w:numPr>
        <w:spacing w:after="60"/>
      </w:pPr>
      <w:r>
        <w:t xml:space="preserve">Key results — the measurable outcomes under each objective.</w:t>
      </w:r>
    </w:p>
    <w:p>
      <w:pPr>
        <w:pStyle w:val="ListParagraph"/>
        <w:numPr>
          <w:ilvl w:val="0"/>
          <w:numId w:val="3"/>
        </w:numPr>
        <w:spacing w:after="60"/>
      </w:pPr>
      <w:r>
        <w:t xml:space="preserve">KPIs with clear definitions/formulas, and leading vs. lagging.</w:t>
      </w:r>
    </w:p>
    <w:p>
      <w:pPr>
        <w:pStyle w:val="ListParagraph"/>
        <w:numPr>
          <w:ilvl w:val="0"/>
          <w:numId w:val="3"/>
        </w:numPr>
        <w:spacing w:after="60"/>
      </w:pPr>
      <w:r>
        <w:t xml:space="preserve">Baselines and targets for each KPI.</w:t>
      </w:r>
    </w:p>
    <w:p>
      <w:pPr>
        <w:pStyle w:val="ListParagraph"/>
        <w:numPr>
          <w:ilvl w:val="0"/>
          <w:numId w:val="3"/>
        </w:numPr>
        <w:spacing w:after="60"/>
      </w:pPr>
      <w:r>
        <w:t xml:space="preserve">Data source and data owner for each KPI.</w:t>
      </w:r>
    </w:p>
    <w:p>
      <w:pPr>
        <w:pStyle w:val="ListParagraph"/>
        <w:numPr>
          <w:ilvl w:val="0"/>
          <w:numId w:val="3"/>
        </w:numPr>
        <w:spacing w:after="60"/>
      </w:pPr>
      <w:r>
        <w:t xml:space="preserve">Measurement frequency.</w:t>
      </w:r>
    </w:p>
    <w:p>
      <w:pPr>
        <w:pStyle w:val="ListParagraph"/>
        <w:numPr>
          <w:ilvl w:val="0"/>
          <w:numId w:val="3"/>
        </w:numPr>
        <w:spacing w:after="60"/>
      </w:pPr>
      <w:r>
        <w:t xml:space="preserve">Activity categories — the recurring work, mapped to pillars.</w:t>
      </w:r>
    </w:p>
    <w:p>
      <w:pPr>
        <w:pStyle w:val="ListParagraph"/>
        <w:numPr>
          <w:ilvl w:val="0"/>
          <w:numId w:val="3"/>
        </w:numPr>
        <w:spacing w:after="60"/>
      </w:pPr>
      <w:r>
        <w:t xml:space="preserve">Contribution call: which impact measure each KPI ultimately moves.</w:t>
      </w:r>
    </w:p>
    <w:p>
      <w:pPr>
        <w:spacing w:after="80"/>
      </w:pPr>
      <w:r>
        <w:t xml:space="preserve"/>
      </w:r>
    </w:p>
    <w:p>
      <w:pPr>
        <w:spacing w:after="120"/>
      </w:pPr>
      <w:r>
        <w:rPr>
          <w:i/>
          <w:iCs/>
        </w:rPr>
        <w:t xml:space="preserve">Each intake tab is pre-filled with realistic TEM example rows (shaded amber) so leads see exactly what's expected. The examples are illustrative starting points, not assumed facts — they should be replaced with each team's real objectives and confirmed numbers.</w:t>
      </w:r>
    </w:p>
    <w:p>
      <w:pPr>
        <w:pStyle w:val="Heading2"/>
      </w:pPr>
      <w:r>
        <w:t xml:space="preserve">Likely contribution by team (starting hypothesis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Team</w:t>
            </w:r>
          </w:p>
        </w:tc>
        <w:tc>
          <w:tcPr>
            <w:tcW w:type="dxa" w:w="24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Strongest area of focus</w:t>
            </w:r>
          </w:p>
        </w:tc>
        <w:tc>
          <w:tcPr>
            <w:tcW w:type="dxa" w:w="48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Illustrative signature KPIs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Analytics (Nick)</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Cross-cutting; strong on 2 &amp; 3</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Segmentation coverage; retention &amp; crossover models; CPP / efficiency analytics; dashboard adoption</w:t>
            </w:r>
          </w:p>
        </w:tc>
      </w:tr>
      <w:tr>
        <w:tc>
          <w:tcPr>
            <w:tcW w:type="dxa" w:w="2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Marketing (Beth)</w:t>
            </w:r>
          </w:p>
        </w:tc>
        <w:tc>
          <w:tcPr>
            <w:tcW w:type="dxa" w:w="2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1 (Growth &amp; Retention) &amp; 2 (Engagement)</w:t>
            </w:r>
          </w:p>
        </w:tc>
        <w:tc>
          <w:tcPr>
            <w:tcW w:type="dxa" w:w="48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HC/HE pipeline; always-on segment engagement; marketing-influenced engagement</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Comms – Consultants (Eric)</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2 (Engagement) &amp; 3 (Scale &amp; Resiliency)</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Active sponsor comms plans; comms-driven planning/appts; digital adoption &amp; paper reduction</w:t>
            </w:r>
          </w:p>
        </w:tc>
      </w:tr>
      <w:tr>
        <w:tc>
          <w:tcPr>
            <w:tcW w:type="dxa" w:w="2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Comms – Sales (Jon)</w:t>
            </w:r>
          </w:p>
        </w:tc>
        <w:tc>
          <w:tcPr>
            <w:tcW w:type="dxa" w:w="2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1 (Growth &amp; Retention) &amp; 2 (Engagement)</w:t>
            </w:r>
          </w:p>
        </w:tc>
        <w:tc>
          <w:tcPr>
            <w:tcW w:type="dxa" w:w="48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Finalist/sales-stage comms supporting win rate; sales-enablement content effectiveness; prospect engagement</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Comms – Implementation (Jason)</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1 (Growth &amp; Retention) &amp; 3 (Scale &amp; Resiliency)</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Implementation/onboarding comms completion; conversion enrollment at go-live; smooth-transition / retention support</w:t>
            </w:r>
          </w:p>
        </w:tc>
      </w:tr>
      <w:tr>
        <w:tc>
          <w:tcPr>
            <w:tcW w:type="dxa" w:w="2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Events (Kara)</w:t>
            </w:r>
          </w:p>
        </w:tc>
        <w:tc>
          <w:tcPr>
            <w:tcW w:type="dxa" w:w="2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2 (Engagement) &amp; 3 (Scale &amp; Resiliency)</w:t>
            </w:r>
          </w:p>
        </w:tc>
        <w:tc>
          <w:tcPr>
            <w:tcW w:type="dxa" w:w="48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Education attendance; post-event appointments; B2B event-influenced pipeline</w:t>
            </w:r>
          </w:p>
        </w:tc>
      </w:tr>
    </w:tbl>
    <w:p>
      <w:pPr>
        <w:pStyle w:val="Heading1"/>
      </w:pPr>
      <w:r>
        <w:t xml:space="preserve">9. Curated KPI menus &amp; avoiding duplication</w:t>
      </w:r>
    </w:p>
    <w:p>
      <w:pPr>
        <w:spacing w:after="120"/>
      </w:pPr>
      <w:r>
        <w:rPr>
          <w:b/>
          <w:bCs/>
        </w:rPr>
        <w:t xml:space="preserve">Where these came from. </w:t>
      </w:r>
      <w:r>
        <w:t xml:space="preserve">Each team produced a KPI/OKR menu (generated by GPT-5.5 from their current scorecard decks). They are a strong starting point but were written team-by-team, so the same metric often appears in three or four menus under slightly different names. This section explains how we curated them into one coherent AMCE set — and these are drafts to take to the leadership team, not settled decisions.</w:t>
      </w:r>
    </w:p>
    <w:p>
      <w:pPr>
        <w:spacing w:after="120"/>
      </w:pPr>
      <w:r>
        <w:rPr>
          <w:b/>
          <w:bCs/>
        </w:rPr>
        <w:t xml:space="preserve">The one rule that prevents double-counting: one KPI, one accountable owner. </w:t>
      </w:r>
      <w:r>
        <w:t xml:space="preserve">Several high-value metrics are genuinely cross-team — engagement-tier movement, segment lift, new crossover individuals, take-action/appointments, research pull-through, FHI and PlanAlign activation, event-influenced pipeline. If each team reports its own version, leadership sees the same outcome counted multiple times and the totals stop meaning anything. So each shared metric is reported once by a single accountable owner; every other team shows its contribution beneath that one number. The full register is the 'Shared AMCE KPIs' tab in the workbook; the de-duplicated, per-team proposals are on the 'Curated KPI Menu' tab.</w:t>
      </w:r>
    </w:p>
    <w:p>
      <w:pPr>
        <w:pStyle w:val="Heading2"/>
      </w:pPr>
      <w:r>
        <w:t xml:space="preserve">Shared AMCE KPIs — reported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100"/>
        <w:gridCol w:w="2400"/>
        <w:gridCol w:w="2000"/>
      </w:tblGrid>
      <w:tr>
        <w:trPr>
          <w:tblHeader/>
        </w:trPr>
        <w:tc>
          <w:tcPr>
            <w:tcW w:type="dxa" w:w="28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Shared KPI</w:t>
            </w:r>
          </w:p>
        </w:tc>
        <w:tc>
          <w:tcPr>
            <w:tcW w:type="dxa" w:w="21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Accountable owner</w:t>
            </w:r>
          </w:p>
        </w:tc>
        <w:tc>
          <w:tcPr>
            <w:tcW w:type="dxa" w:w="24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Contributing teams</w:t>
            </w:r>
          </w:p>
        </w:tc>
        <w:tc>
          <w:tcPr>
            <w:tcW w:type="dxa" w:w="20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Maps to scorecard</w:t>
            </w:r>
          </w:p>
        </w:tc>
      </w:tr>
      <w:tr>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 Participants Engaged</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Analytics (measures)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B2C Mktg, CCs, Events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Participants Engaged</w:t>
            </w:r>
          </w:p>
        </w:tc>
      </w:tr>
      <w:tr>
        <w:tc>
          <w:tcPr>
            <w:tcW w:type="dxa" w:w="28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Engaging the Unengaged / Tier Movement</w:t>
            </w:r>
          </w:p>
        </w:tc>
        <w:tc>
          <w:tcPr>
            <w:tcW w:type="dxa" w:w="2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Analytics (method)</w:t>
            </w:r>
          </w:p>
        </w:tc>
        <w:tc>
          <w:tcPr>
            <w:tcW w:type="dxa" w:w="2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B2C Mktg (leads), CCs, Events</w:t>
            </w:r>
          </w:p>
        </w:tc>
        <w:tc>
          <w:tcPr>
            <w:tcW w:type="dxa" w:w="20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Engaging the Unengaged</w:t>
            </w:r>
          </w:p>
        </w:tc>
      </w:tr>
      <w:tr>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Targeted Segment Lift (women, nurses, faculty/physicians)</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Analytics (cohorts)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B2C Mktg, Events, CCs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Participants Engaged</w:t>
            </w:r>
          </w:p>
        </w:tc>
      </w:tr>
      <w:tr>
        <w:tc>
          <w:tcPr>
            <w:tcW w:type="dxa" w:w="28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New Crossover Individuals (NCI)</w:t>
            </w:r>
          </w:p>
        </w:tc>
        <w:tc>
          <w:tcPr>
            <w:tcW w:type="dxa" w:w="2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B2C Marketing</w:t>
            </w:r>
          </w:p>
        </w:tc>
        <w:tc>
          <w:tcPr>
            <w:tcW w:type="dxa" w:w="2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Analytics, Retail</w:t>
            </w:r>
          </w:p>
        </w:tc>
        <w:tc>
          <w:tcPr>
            <w:tcW w:type="dxa" w:w="20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New Crossover Individuals</w:t>
            </w:r>
          </w:p>
        </w:tc>
      </w:tr>
      <w:tr>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Rollover Retention Rate (RRR)</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B2C Mktg / Analytics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Retail / Rollover</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Rollover Retention Rate</w:t>
            </w:r>
          </w:p>
        </w:tc>
      </w:tr>
      <w:tr>
        <w:tc>
          <w:tcPr>
            <w:tcW w:type="dxa" w:w="28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Take-Action / Live-Channel Conversion</w:t>
            </w:r>
          </w:p>
        </w:tc>
        <w:tc>
          <w:tcPr>
            <w:tcW w:type="dxa" w:w="2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Events + B2C (joint)</w:t>
            </w:r>
          </w:p>
        </w:tc>
        <w:tc>
          <w:tcPr>
            <w:tcW w:type="dxa" w:w="2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TEMPA/WEPA, Analytics, CCs</w:t>
            </w:r>
          </w:p>
        </w:tc>
        <w:tc>
          <w:tcPr>
            <w:tcW w:type="dxa" w:w="20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Drive to Digital</w:t>
            </w:r>
          </w:p>
        </w:tc>
      </w:tr>
      <w:tr>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Research-to-Action Pull-Through</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Analytics/Research + B2B Mktg</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CCs, Events, Comms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HE/HC Strategic Efforts</w:t>
            </w:r>
          </w:p>
        </w:tc>
      </w:tr>
      <w:tr>
        <w:tc>
          <w:tcPr>
            <w:tcW w:type="dxa" w:w="28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FHI Intervention / Activation</w:t>
            </w:r>
          </w:p>
        </w:tc>
        <w:tc>
          <w:tcPr>
            <w:tcW w:type="dxa" w:w="2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Analytics (framework)</w:t>
            </w:r>
          </w:p>
        </w:tc>
        <w:tc>
          <w:tcPr>
            <w:tcW w:type="dxa" w:w="2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CCs, B2B &amp; B2C Mktg, Events</w:t>
            </w:r>
          </w:p>
        </w:tc>
        <w:tc>
          <w:tcPr>
            <w:tcW w:type="dxa" w:w="20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Participants Engaged</w:t>
            </w:r>
          </w:p>
        </w:tc>
      </w:tr>
      <w:tr>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PlanAlign Action Rate</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Analytics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CCs, B2B Mktg</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Client Retention</w:t>
            </w:r>
          </w:p>
        </w:tc>
      </w:tr>
      <w:tr>
        <w:tc>
          <w:tcPr>
            <w:tcW w:type="dxa" w:w="28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B2B Event-Influenced Pipeline &amp; Follow-up</w:t>
            </w:r>
          </w:p>
        </w:tc>
        <w:tc>
          <w:tcPr>
            <w:tcW w:type="dxa" w:w="21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Events + B2B Mktg</w:t>
            </w:r>
          </w:p>
        </w:tc>
        <w:tc>
          <w:tcPr>
            <w:tcW w:type="dxa" w:w="24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Sales, RM, Analytics</w:t>
            </w:r>
          </w:p>
        </w:tc>
        <w:tc>
          <w:tcPr>
            <w:tcW w:type="dxa" w:w="20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HC/HE Market Share</w:t>
            </w:r>
          </w:p>
        </w:tc>
      </w:tr>
      <w:tr>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Campaign / Event Measurement Coverage</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Analytics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B2C, Comms, Events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Enablement</w:t>
            </w:r>
          </w:p>
        </w:tc>
      </w:tr>
    </w:tbl>
    <w:p>
      <w:pPr>
        <w:spacing w:after="80"/>
      </w:pPr>
      <w:r>
        <w:t xml:space="preserve"/>
      </w:r>
    </w:p>
    <w:p>
      <w:pPr>
        <w:pStyle w:val="Heading2"/>
      </w:pPr>
      <w:r>
        <w:t xml:space="preserve">How each team's menu was curated</w:t>
      </w:r>
    </w:p>
    <w:p>
      <w:pPr>
        <w:spacing w:after="120"/>
      </w:pPr>
      <w:r>
        <w:rPr>
          <w:b/>
          <w:bCs/>
        </w:rPr>
        <w:t xml:space="preserve">Curation principles applied: </w:t>
      </w:r>
      <w:r>
        <w:t xml:space="preserve">(1) keep each team a tight set of metrics it genuinely owns; (2) move anything cross-team to the shared register above; (3) prefer measurable, near-term metrics over aspirational ones, flagging the latter as 'Strategic' rather than dropping them; (4) anchor every KPI to one of the three areas of focus and, where possible, to an existing scorecard line so leadership sees continuity.</w:t>
      </w:r>
    </w:p>
    <w:p>
      <w:pPr>
        <w:pStyle w:val="ListParagraph"/>
        <w:numPr>
          <w:ilvl w:val="0"/>
          <w:numId w:val="2"/>
        </w:numPr>
        <w:spacing w:after="60"/>
      </w:pPr>
      <w:r>
        <w:rPr>
          <w:b/>
          <w:bCs/>
        </w:rPr>
        <w:t xml:space="preserve">Analytics (Nick): </w:t>
      </w:r>
      <w:r>
        <w:t xml:space="preserve">owns the data, models, governance and measurement — coverage of strategic opportunities, at-risk/rebid coverage, risk-model adoption, automation hours saved, governance completeness, field adoption. It is the accountable owner for most shared measurement.</w:t>
      </w:r>
    </w:p>
    <w:p>
      <w:pPr>
        <w:pStyle w:val="ListParagraph"/>
        <w:numPr>
          <w:ilvl w:val="0"/>
          <w:numId w:val="2"/>
        </w:numPr>
        <w:spacing w:after="60"/>
      </w:pPr>
      <w:r>
        <w:rPr>
          <w:b/>
          <w:bCs/>
        </w:rPr>
        <w:t xml:space="preserve">B2C Marketing (Beth): </w:t>
      </w:r>
      <w:r>
        <w:t xml:space="preserve">participant performance marketing — reach, email performance, paid-media awareness and efficiency (PCP/CPNI), priority-segment activation. Owns NCI and RRR on the shared register.</w:t>
      </w:r>
    </w:p>
    <w:p>
      <w:pPr>
        <w:pStyle w:val="ListParagraph"/>
        <w:numPr>
          <w:ilvl w:val="0"/>
          <w:numId w:val="2"/>
        </w:numPr>
        <w:spacing w:after="60"/>
      </w:pPr>
      <w:r>
        <w:rPr>
          <w:b/>
          <w:bCs/>
        </w:rPr>
        <w:t xml:space="preserve">B2B Marketing (Beth): </w:t>
      </w:r>
      <w:r>
        <w:t xml:space="preserve">sponsor/consultant/market development — TEM story activation, ABM/target-account engagement, marketing-supported pipeline, finals-ready support, thought-leadership launches, case studies.</w:t>
      </w:r>
    </w:p>
    <w:p>
      <w:pPr>
        <w:pStyle w:val="ListParagraph"/>
        <w:numPr>
          <w:ilvl w:val="0"/>
          <w:numId w:val="2"/>
        </w:numPr>
        <w:spacing w:after="60"/>
      </w:pPr>
      <w:r>
        <w:rPr>
          <w:b/>
          <w:bCs/>
        </w:rPr>
        <w:t xml:space="preserve">Comms – Consultants (Eric): </w:t>
      </w:r>
      <w:r>
        <w:t xml:space="preserve">client satisfaction (CC and senior-contact), CAS adoption, per-client engagement strategy &amp; FW storytelling, Drive-to-Digital by book, quality/risk and service-team feedback.</w:t>
      </w:r>
    </w:p>
    <w:p>
      <w:pPr>
        <w:pStyle w:val="ListParagraph"/>
        <w:numPr>
          <w:ilvl w:val="0"/>
          <w:numId w:val="2"/>
        </w:numPr>
        <w:spacing w:after="60"/>
      </w:pPr>
      <w:r>
        <w:rPr>
          <w:b/>
          <w:bCs/>
        </w:rPr>
        <w:t xml:space="preserve">Comms – Sales / SCC (Jon, + Leticia): </w:t>
      </w:r>
      <w:r>
        <w:t xml:space="preserve">a small specialist team supporting formal finals and rebids — kept deliberately to a few KPIs. Primary metric is the collective finals/rebid win rate, currently ~65% against a 2026 goal of 42% (the team is well above target, so the target itself is worth revisiting with Sales leadership), paired with supported-opportunity volume so win rate is never read without context. Market-share/retention is shown as a linked contribution, not a number they solely own. AE/sales-partner satisfaction and participant-experience-story effectiveness round it out as supplemental/qualitative measures.</w:t>
      </w:r>
    </w:p>
    <w:p>
      <w:pPr>
        <w:pStyle w:val="ListParagraph"/>
        <w:numPr>
          <w:ilvl w:val="0"/>
          <w:numId w:val="2"/>
        </w:numPr>
        <w:spacing w:after="60"/>
      </w:pPr>
      <w:r>
        <w:rPr>
          <w:b/>
          <w:bCs/>
        </w:rPr>
        <w:t xml:space="preserve">Comms – Implementation (Jason): </w:t>
      </w:r>
      <w:r>
        <w:t xml:space="preserve">a menu derived from his weekly updates (not yet direct input), narrowed to the six he'd put on an executive view — strategic on-time launch rate (target ≥95%), implementation client/partner satisfaction (≥9.5/10), milestone adherence (≥90%), QC pass rate (≥96.5%), template/standardization utilization (≥75%) and team capacity/utilization (85–95%). It leans heavily into Scale &amp; Resiliency (quality, standardization, capacity) with on-time launch and satisfaction carrying the Growth &amp; Retention story. Targets are illustrative — confirm with Jason.</w:t>
      </w:r>
    </w:p>
    <w:p>
      <w:pPr>
        <w:pStyle w:val="ListParagraph"/>
        <w:numPr>
          <w:ilvl w:val="0"/>
          <w:numId w:val="2"/>
        </w:numPr>
        <w:spacing w:after="60"/>
      </w:pPr>
      <w:r>
        <w:rPr>
          <w:b/>
          <w:bCs/>
        </w:rPr>
        <w:t xml:space="preserve">Events (Kara): </w:t>
      </w:r>
      <w:r>
        <w:t xml:space="preserve">split into Workplace Education (attendees, events, satisfaction, take-action, appointments, on-demand, client coverage) and B2B/Plan-Sponsor Events (target-account &amp; decision-maker attendance, event NPS, qualified leads, readout completion, continue/stop/change, budget efficiency).</w:t>
      </w:r>
    </w:p>
    <w:p>
      <w:pPr>
        <w:spacing w:after="80"/>
      </w:pPr>
      <w:r>
        <w:t xml:space="preserve"/>
      </w:r>
    </w:p>
    <w:p>
      <w:pPr>
        <w:spacing w:after="120"/>
      </w:pPr>
      <w:r>
        <w:rPr>
          <w:b/>
          <w:bCs/>
          <w:color w:val="B00000"/>
        </w:rPr>
        <w:t xml:space="preserve">Editorial choices worth surfacing to leadership: </w:t>
      </w:r>
      <w:r>
        <w:t xml:space="preserve">a few menu items were demoted to 'Strategic/aspirational' because attribution is hard today (e.g., insight-to-action rate, research-engagement from target accounts, self-service deflection); operational-hygiene metrics from the CC scorecard (time-tracker, PTABs/billing) were kept off the leadership view as team-management measures, not AMCE story metrics. These are judgment calls — easy to add back if a leader wants them.</w:t>
      </w:r>
    </w:p>
    <w:p>
      <w:pPr>
        <w:pStyle w:val="Heading1"/>
      </w:pPr>
      <w:r>
        <w:t xml:space="preserve">10. 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Week</w:t>
            </w:r>
          </w:p>
        </w:tc>
        <w:tc>
          <w:tcPr>
            <w:tcW w:type="dxa" w:w="81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spacing w:after="0"/>
              <w:jc w:val="left"/>
            </w:pPr>
            <w:r>
              <w:rPr>
                <w:b/>
                <w:bCs/>
                <w:color w:val="FFFFFF"/>
                <w:sz w:val="19"/>
                <w:szCs w:val="19"/>
              </w:rPr>
              <w:t xml:space="preserve">Milestone</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1</w:t>
            </w:r>
          </w:p>
        </w:tc>
        <w:tc>
          <w:tcPr>
            <w:tcW w:type="dxa" w:w="8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Pillars locked with Sheri; intake workbook distributed; vocabulary aligned</w:t>
            </w:r>
          </w:p>
        </w:tc>
      </w:tr>
      <w:tr>
        <w:tc>
          <w:tcPr>
            <w:tcW w:type="dxa" w:w="12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1–3</w:t>
            </w:r>
          </w:p>
        </w:tc>
        <w:tc>
          <w:tcPr>
            <w:tcW w:type="dxa" w:w="81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Teams complete intake tabs; working sessions held</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3–4</w:t>
            </w:r>
          </w:p>
        </w:tc>
        <w:tc>
          <w:tcPr>
            <w:tcW w:type="dxa" w:w="8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KPI master list consolidated; linkage map complete; headline KPIs chosen</w:t>
            </w:r>
          </w:p>
        </w:tc>
      </w:tr>
      <w:tr>
        <w:tc>
          <w:tcPr>
            <w:tcW w:type="dxa" w:w="12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4–5</w:t>
            </w:r>
          </w:p>
        </w:tc>
        <w:tc>
          <w:tcPr>
            <w:tcW w:type="dxa" w:w="81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Data source inventory done; dashboard-platform feasibility &amp; access confirmed</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5–8</w:t>
            </w:r>
          </w:p>
        </w:tc>
        <w:tc>
          <w:tcPr>
            <w:tcW w:type="dxa" w:w="8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jc w:val="left"/>
            </w:pPr>
            <w:r>
              <w:rPr>
                <w:b w:val="false"/>
                <w:bCs w:val="false"/>
                <w:color w:val="222222"/>
                <w:sz w:val="19"/>
                <w:szCs w:val="19"/>
              </w:rPr>
              <w:t xml:space="preserve">Dashboard built and validated; QBR template built</w:t>
            </w:r>
          </w:p>
        </w:tc>
      </w:tr>
      <w:tr>
        <w:tc>
          <w:tcPr>
            <w:tcW w:type="dxa" w:w="120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8+</w:t>
            </w:r>
          </w:p>
        </w:tc>
        <w:tc>
          <w:tcPr>
            <w:tcW w:type="dxa" w:w="8160"/>
            <w:tcBorders>
              <w:top w:val="single" w:color="CCCCCC" w:sz="1"/>
              <w:left w:val="single" w:color="CCCCCC" w:sz="1"/>
              <w:bottom w:val="single" w:color="CCCCCC" w:sz="1"/>
              <w:right w:val="single" w:color="CCCCCC" w:sz="1"/>
            </w:tcBorders>
            <w:shd w:fill="F4F5F7" w:val="clear"/>
            <w:tcMar>
              <w:top w:type="dxa" w:w="60"/>
              <w:left w:type="dxa" w:w="110"/>
              <w:bottom w:type="dxa" w:w="60"/>
              <w:right w:type="dxa" w:w="110"/>
            </w:tcMar>
          </w:tcPr>
          <w:p>
            <w:pPr>
              <w:spacing w:after="0"/>
              <w:jc w:val="left"/>
            </w:pPr>
            <w:r>
              <w:rPr>
                <w:b w:val="false"/>
                <w:bCs w:val="false"/>
                <w:color w:val="222222"/>
                <w:sz w:val="19"/>
                <w:szCs w:val="19"/>
              </w:rPr>
              <w:t xml:space="preserve">First QBR assembled; monthly/quarterly cadence begins</w:t>
            </w:r>
          </w:p>
        </w:tc>
      </w:tr>
    </w:tbl>
    <w:p>
      <w:pPr>
        <w:pStyle w:val="Heading1"/>
      </w:pPr>
      <w:r>
        <w:t xml:space="preserve">11. Open questions &amp; risks to manage</w:t>
      </w:r>
    </w:p>
    <w:p>
      <w:pPr>
        <w:pStyle w:val="ListParagraph"/>
        <w:numPr>
          <w:ilvl w:val="0"/>
          <w:numId w:val="2"/>
        </w:numPr>
        <w:spacing w:after="60"/>
      </w:pPr>
      <w:r>
        <w:t xml:space="preserve">Metric consistency: teams may define similar metrics differently (e.g., 'engagement'). Lock shared definitions early via Analytics.</w:t>
      </w:r>
    </w:p>
    <w:p>
      <w:pPr>
        <w:pStyle w:val="ListParagraph"/>
        <w:numPr>
          <w:ilvl w:val="0"/>
          <w:numId w:val="2"/>
        </w:numPr>
        <w:spacing w:after="60"/>
      </w:pPr>
      <w:r>
        <w:t xml:space="preserve">Data gaps: some desired KPIs may have no source yet — decide proxy, manual, or defer rather than stall the build.</w:t>
      </w:r>
    </w:p>
    <w:p>
      <w:pPr>
        <w:pStyle w:val="ListParagraph"/>
        <w:numPr>
          <w:ilvl w:val="0"/>
          <w:numId w:val="2"/>
        </w:numPr>
        <w:spacing w:after="60"/>
      </w:pPr>
      <w:r>
        <w:t xml:space="preserve">Attribution: marketing/events/comms influence on participant action needs an agreed attribution method to avoid double-counting.</w:t>
      </w:r>
    </w:p>
    <w:p>
      <w:pPr>
        <w:pStyle w:val="ListParagraph"/>
        <w:numPr>
          <w:ilvl w:val="0"/>
          <w:numId w:val="2"/>
        </w:numPr>
        <w:spacing w:after="60"/>
      </w:pPr>
      <w:r>
        <w:t xml:space="preserve">PII &amp; governance: participant-level data in any dashboard platform needs security sign-off before build — and a custom web app raises the bar further (hosting, access control, audit).</w:t>
      </w:r>
    </w:p>
    <w:p>
      <w:pPr>
        <w:pStyle w:val="ListParagraph"/>
        <w:numPr>
          <w:ilvl w:val="0"/>
          <w:numId w:val="2"/>
        </w:numPr>
        <w:spacing w:after="60"/>
      </w:pPr>
      <w:r>
        <w:t xml:space="preserve">Target setting: without baselines, targets are guesses — capture baselines in intake even where targets are still TBD.</w:t>
      </w:r>
    </w:p>
    <w:p>
      <w:pPr>
        <w:pStyle w:val="ListParagraph"/>
        <w:numPr>
          <w:ilvl w:val="0"/>
          <w:numId w:val="2"/>
        </w:numPr>
        <w:spacing w:after="60"/>
      </w:pPr>
      <w:r>
        <w:t xml:space="preserve">Sustainability: assign owners so the dashboard and QBR are maintained, not rebuilt each quarter.</w:t>
      </w:r>
    </w:p>
    <w:p>
      <w:pPr>
        <w:pStyle w:val="ListParagraph"/>
        <w:numPr>
          <w:ilvl w:val="0"/>
          <w:numId w:val="2"/>
        </w:numPr>
        <w:spacing w:after="60"/>
      </w:pPr>
      <w:r>
        <w:t xml:space="preserve">Shared-metric discipline: the curated KPIs (Section 9) are drafts and some leaders will disagree — expect a working session to ratify ownership. The de-duplication only holds if shared metrics have one system of record; without that, double-counting creeps back in.</w:t>
      </w:r>
    </w:p>
    <w:p>
      <w:pPr>
        <w:pStyle w:val="Heading2"/>
      </w:pPr>
      <w:r>
        <w:t xml:space="preserve">Decisions to get from Sheri up front</w:t>
      </w:r>
    </w:p>
    <w:p>
      <w:pPr>
        <w:pStyle w:val="ListParagraph"/>
        <w:numPr>
          <w:ilvl w:val="0"/>
          <w:numId w:val="2"/>
        </w:numPr>
        <w:spacing w:after="60"/>
      </w:pPr>
      <w:r>
        <w:t xml:space="preserve">Confirmation of the three pillars, sub-objectives and impact measures as the official spine.</w:t>
      </w:r>
    </w:p>
    <w:p>
      <w:pPr>
        <w:pStyle w:val="ListParagraph"/>
        <w:numPr>
          <w:ilvl w:val="0"/>
          <w:numId w:val="2"/>
        </w:numPr>
        <w:spacing w:after="60"/>
      </w:pPr>
      <w:r>
        <w:t xml:space="preserve">The audience and altitude for the QBR (her leadership vs. broader) — drives level of detail.</w:t>
      </w:r>
    </w:p>
    <w:p>
      <w:pPr>
        <w:pStyle w:val="ListParagraph"/>
        <w:numPr>
          <w:ilvl w:val="0"/>
          <w:numId w:val="2"/>
        </w:numPr>
        <w:spacing w:after="60"/>
      </w:pPr>
      <w:r>
        <w:t xml:space="preserve">Whether targets are top-down (she sets) or bottom-up (teams propose, she approves).</w:t>
      </w:r>
    </w:p>
    <w:p>
      <w:pPr>
        <w:pBdr>
          <w:top w:val="single" w:color="9A7B1A" w:sz="6" w:space="6"/>
        </w:pBdr>
        <w:spacing w:before="240"/>
      </w:pPr>
      <w:r>
        <w:t xml:space="preserve"/>
      </w:r>
    </w:p>
    <w:p>
      <w:pPr>
        <w:spacing w:after="120"/>
      </w:pPr>
      <w:r>
        <w:rPr>
          <w:b/>
          <w:bCs/>
        </w:rPr>
        <w:t xml:space="preserve">Next step: </w:t>
      </w:r>
      <w:r>
        <w:t xml:space="preserve">lock the areas of focus with Sheri, then send the intake workbook to Beth, Eric, Jon, Jason and Kara with a 45-minute walkthrough each. Everything else in this plan keys off those two moves.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Confidential, internal planning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jc w:val="right"/>
    </w:pPr>
    <w:r>
      <w:rPr>
        <w:color w:val="888888"/>
        <w:sz w:val="16"/>
        <w:szCs w:val="16"/>
      </w:rPr>
      <w:t xml:space="preserve">TEM — QBR &amp; Dashboard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4" w:space="4"/>
      </w:pBdr>
      <w:spacing w:after="140" w:before="300"/>
      <w:outlineLvl w:val="0"/>
    </w:pPr>
    <w:rPr>
      <w:rFonts w:ascii="Arial" w:cs="Arial" w:eastAsia="Arial" w:hAnsi="Arial"/>
      <w:b/>
      <w:bCs/>
      <w:color w:val="1F2A4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AAC"/>
      <w:sz w:val="25"/>
      <w:szCs w:val="25"/>
    </w:rPr>
  </w:style>
  <w:style w:type="paragraph" w:styleId="Heading3">
    <w:name w:val="Heading 3"/>
    <w:basedOn w:val="Normal"/>
    <w:next w:val="Normal"/>
    <w:qFormat/>
    <w:pPr>
      <w:spacing w:after="80" w:before="140"/>
      <w:outlineLvl w:val="2"/>
    </w:pPr>
    <w:rPr>
      <w:rFonts w:ascii="Arial" w:cs="Arial" w:eastAsia="Arial" w:hAnsi="Arial"/>
      <w:b/>
      <w:bCs/>
      <w:color w:val="1E7A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 QBR &amp; Dashboard Master Plan</dc:title>
  <dc:creator>TEM Planning</dc:creator>
  <cp:lastModifiedBy>Un-named</cp:lastModifiedBy>
  <cp:revision>1</cp:revision>
  <dcterms:created xsi:type="dcterms:W3CDTF">2026-06-29T14:24:33.239Z</dcterms:created>
  <dcterms:modified xsi:type="dcterms:W3CDTF">2026-06-29T14:24:33.239Z</dcterms:modified>
</cp:coreProperties>
</file>

<file path=docProps/custom.xml><?xml version="1.0" encoding="utf-8"?>
<Properties xmlns="http://schemas.openxmlformats.org/officeDocument/2006/custom-properties" xmlns:vt="http://schemas.openxmlformats.org/officeDocument/2006/docPropsVTypes"/>
</file>