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/>
          <w:b/>
          <w:color w:val="1F4D78"/>
          <w:sz w:val="44"/>
        </w:rPr>
        <w:t>TECHNICAL FINDINGS AND ONE-WEEK DELIVERY DECISION</w:t>
      </w:r>
    </w:p>
    <w:p>
      <w:pPr>
        <w:spacing w:after="280"/>
      </w:pPr>
      <w:r>
        <w:rPr>
          <w:rFonts w:ascii="Calibri" w:hAnsi="Calibri"/>
          <w:color w:val="666666"/>
          <w:sz w:val="26"/>
        </w:rPr>
        <w:t>Smart Sleep Alarm: model readiness, delivery plan, and microphone feasibility</w:t>
      </w:r>
    </w:p>
    <w:p>
      <w:pPr>
        <w:spacing w:after="20"/>
      </w:pPr>
      <w:r>
        <w:rPr>
          <w:rFonts w:ascii="Calibri" w:hAnsi="Calibri"/>
          <w:b/>
          <w:color w:val="1F4D78"/>
          <w:sz w:val="22"/>
        </w:rPr>
        <w:t xml:space="preserve">Prepared: </w:t>
      </w:r>
      <w:r>
        <w:rPr>
          <w:rFonts w:ascii="Calibri" w:hAnsi="Calibri"/>
          <w:sz w:val="22"/>
        </w:rPr>
        <w:t>2026-09-06</w:t>
      </w:r>
    </w:p>
    <w:p>
      <w:pPr>
        <w:spacing w:after="20"/>
      </w:pPr>
      <w:r>
        <w:rPr>
          <w:rFonts w:ascii="Calibri" w:hAnsi="Calibri"/>
          <w:b/>
          <w:color w:val="1F4D78"/>
          <w:sz w:val="22"/>
        </w:rPr>
        <w:t xml:space="preserve">Scope: </w:t>
      </w:r>
      <w:r>
        <w:rPr>
          <w:rFonts w:ascii="Calibri" w:hAnsi="Calibri"/>
          <w:sz w:val="22"/>
        </w:rPr>
        <w:t>Course prototype; Galaxy Watch4/Wear OS phone companion</w:t>
      </w:r>
    </w:p>
    <w:p>
      <w:pPr>
        <w:spacing w:after="20"/>
      </w:pPr>
      <w:r>
        <w:rPr>
          <w:rFonts w:ascii="Calibri" w:hAnsi="Calibri"/>
          <w:b/>
          <w:color w:val="1F4D78"/>
          <w:sz w:val="22"/>
        </w:rPr>
        <w:t xml:space="preserve">Decision horizon: </w:t>
      </w:r>
      <w:r>
        <w:rPr>
          <w:rFonts w:ascii="Calibri" w:hAnsi="Calibri"/>
          <w:sz w:val="22"/>
        </w:rPr>
        <w:t>One week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Recommended decision: </w:t>
            </w:r>
            <w:r>
              <w:rPr>
                <w:rFonts w:ascii="Calibri" w:hAnsi="Calibri"/>
                <w:sz w:val="22"/>
              </w:rPr>
              <w:t>Complete one corrected, reproducible causal CNN-GRU experiment and a thin, safe on-device demonstration. Do not add microphone-based sleep staging this week. Preserve the exact-time phone fallback alarm as the only guaranteed wake mechanism.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1. Executive assessment</w:t>
      </w:r>
    </w:p>
    <w:p>
      <w:r>
        <w:rPr>
          <w:rFonts w:ascii="Calibri" w:hAnsi="Calibri"/>
          <w:sz w:val="22"/>
        </w:rPr>
        <w:t>The project already has strong foundations: watch capture, ordered transfer, local persistence, causal feature extraction, alarm logic, BIDSleep preparation artifacts, and deep-learning candidate code. The current risk is not a shortage of model ideas. It is an invalid training-to-deployment contract and incomplete reproducibility.</w:t>
      </w:r>
    </w:p>
    <w:p>
      <w:r>
        <w:rPr>
          <w:rFonts w:ascii="Calibri" w:hAnsi="Calibri"/>
          <w:sz w:val="22"/>
        </w:rPr>
        <w:t>A deep-learning model remains a valid course deliverable even if its measured result is worse than logistic regression. The academic requirement is credible training, subject-held-out evaluation, reproducible export, truthful limitations, and an end-to-end inference demonstration. It should not be presented as a clinically reliable sleep-stage detector.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2. Confirmed blockers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2400"/>
        <w:gridCol w:w="3000"/>
        <w:gridCol w:w="3240"/>
      </w:tblGrid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Priority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Finding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Impact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Required action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P0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Zero-crossing-rate feature is constant because Python multiplies index-aligned Pandas slices instead of adjacent values.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All current derived artifacts and metrics are stale; Kotlin and Python disagree.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Fix the extractor, add a regression test, regenerate epochs, and retrain.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P0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Training uses train-set StandardScaler on raw features while Android applies causal per-user median/IQR normalization.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The phone sends a different tensor from the one evaluated in Python.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Freeze a single shared input contract and prove Python/Kotlin parity on fixtures.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P0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BIDSleep supplies no IBI. IBI model features are zero in training, while Android uses real IBI and also requires IBI coverage.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 trained model will see unseen nonzero values and may not run on otherwise valid data.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For this deadline, zero IBI slots consistently or remove them; gate on motion plus HR.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P0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 ONNX model, metadata, or Android inference wrapper is currently present.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The app has the runtime dependency but cannot run a model.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Export a verified ONNX asset with scaler/feature metadata and add a thin wrapper.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The default Python environment lacks torch and onnx; Gradle fails because Java/JAVA_HOME is unavailable.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Tests and builds cannot currently establish release readiness.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Restore the pinned Python environment and JDK 17 before any implementation work.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The model card says no model/data run exists, but local ignored artifacts contain experiments.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The submission record is internally inconsistent and not reproducible for an examiner.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Regenerate final outputs and update the card from those outputs only.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3. What the current results actually show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000"/>
        <w:gridCol w:w="52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Experiment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Held-out result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Interpretation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Engineered logistic baseline</w:t>
            </w:r>
          </w:p>
        </w:tc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F1 0.552; ROC-AUC 0.573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Weak but above a simple random ranking baseline.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CNN-GRU, engineered 10 x 12</w:t>
            </w:r>
          </w:p>
        </w:tc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F1 0.475; ROC-AUC 0.527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Current deep candidate discriminates poorly.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CNN-LSTM, engineered 10 x 12</w:t>
            </w:r>
          </w:p>
        </w:tc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F1 0.515; ROC-AUC 0.525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Also weak; do not spend time on a broad architecture search.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Causal time logistic</w:t>
            </w:r>
          </w:p>
        </w:tc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F1 0.641; ROC-AUC 0.607; precision 0.490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The best observed result is modest and produces many false light predictions.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Raw CNN-GRU diagnostic</w:t>
            </w:r>
          </w:p>
        </w:tc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F1 0.623; ROC-AUC 0.515; recall 0.999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Nearly equivalent to predicting light for almost every epoch; not evidence of learning.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Conservative alarm policy</w:t>
            </w:r>
          </w:p>
        </w:tc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Validation precision 0.738; test precision 0.486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 high validation threshold did not generalize; it must not be presented as confidence.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Interpretation: </w:t>
            </w:r>
            <w:r>
              <w:rPr>
                <w:rFonts w:ascii="Calibri" w:hAnsi="Calibri"/>
                <w:sz w:val="22"/>
              </w:rPr>
              <w:t>F1 alone is misleading with this class balance. Final reporting must include ROC-AUC, PR-AUC, precision, recall, F1, balanced accuracy, confusion matrices, dummy baselines, model size, latency, and subject-level results.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4. Recommended technical path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4.1 Freeze a deployable feature contract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Keep a compact, causal CNN-GRU with ten 30-second feature epochs. No future samples, bidirectional recurrence, or test-set selection.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Use only features that both BIDSleep and the Samsung flow can represent consistently: motion statistics, heart-rate statistics, and coverage indicators.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Treat off-body state as a hard safety gate rather than a learned predictor. Retain or zero IBI consistently; do not train on missing IBI then expose real IBI values at runtime.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Bundle fixed train-set scaler means/scales and feature order in model metadata. The Android tensor must be byte-for-byte reproducible from a Python fixture.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4.2 Bounded training experiment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Rebuild the existing subject-disjoint split after fixing features. Do not search for another dataset this week.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Compare always-light, logistic regression, and one CNN-GRU at two small capacities (16 and 32 hidden units) across three fixed seeds. Cap at six DL runs.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Use seeded shuffled mini-batches, validation early stopping, and validation-only checkpoint/threshold selection. Evaluate the held-out test set after selection is frozen.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If the corrected CNN-GRU remains close to chance, report it as the required deep-learning experiment. Do not manufacture a success claim.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4.3 Safe app behaviour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Run the selected ONNX model on the phone only after ten valid causal epochs are buffered.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Early wake requires an inside-window time check, valid sensor coverage, model availability, and conservative consecutive-prediction logic.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Every invalid, missing, failed, disconnected, or low-confidence condition returns WAIT; at target time, the exact-time phone alarm must fire independently.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5. One-week delivery plan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3280"/>
        <w:gridCol w:w="5360"/>
      </w:tblGrid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Day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Outcome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Non-negotiable evidence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328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Restore environment and freeze feature contract.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Torch/ONNX tests collect; JDK build command starts; Python/Kotlin parity fixture exists.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328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Regenerate corrected data and train bounded candidates.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Fixed subject split, seed, logs, metrics, and dummy baseline.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328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Select by validation, test once, export ONNX.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ONNX/PyTorch probability error below 1e-4; metadata is complete.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328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Implement thin phone inference and deterministic decision path.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Model loads, invalid tensors abstain, fallback remains independent.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328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Run safety/failure checks.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Missing model, inference crash, no coverage, off-body, reconnect, and duplicate trigger all retain fallback.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328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Rehearse physical demo and capture evidence.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Watch capture/phone replay, forced inference path, forced fallback path.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328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Package and present.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Tests/builds, APK/model/metadata/manifests, model card, demo script, limitations.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6. Microphone-based sleep sound: feasibility decision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7A5A00"/>
                <w:sz w:val="22"/>
              </w:rPr>
              <w:t xml:space="preserve">Decision for this submission: </w:t>
            </w:r>
            <w:r>
              <w:rPr>
                <w:rFonts w:ascii="Calibri" w:hAnsi="Calibri"/>
                <w:sz w:val="22"/>
              </w:rPr>
              <w:t>Do not add continuous microphone sleep staging to the one-week critical path. It is technically possible, but it creates a second data modality, a new privacy-sensitive foreground-service path, and an unvalidated data/training mismatch. It is more likely to reduce delivery confidence than increase it.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6.1 What microphone audio can and cannot add</w:t>
      </w:r>
    </w:p>
    <w:p>
      <w:r>
        <w:rPr>
          <w:rFonts w:ascii="Calibri" w:hAnsi="Calibri"/>
          <w:sz w:val="22"/>
        </w:rPr>
        <w:t>Nocturnal sound can contain breathing rhythm, snoring, coughs, environmental noise, and movement-related sounds. Research shows that end-to-end sound-based stage estimation from phone-class microphones is feasible in controlled research settings. However, these signals are indirect, highly sensitive to room acoustics, phone placement, co-sleepers, fans, television, and background noise. They do not create clinical certainty about light sleep.</w:t>
      </w:r>
    </w:p>
    <w:p>
      <w:r>
        <w:rPr>
          <w:rFonts w:ascii="Calibri" w:hAnsi="Calibri"/>
          <w:sz w:val="22"/>
        </w:rPr>
        <w:t>Audio can plausibly help a wellness-oriented system detect signal quality, disturbance/noise events, or possible snore/breathing patterns. It should not be described as proving light sleep, diagnosing sleep apnea, detecting a co-sleeper, or increasing clinical confidence without a matched audio-plus-PSG training and validation dataset.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6.2 Technical and Android constraints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Continuous capture requires explicit RECORD_AUDIO consent and a visible microphone foreground service. Android requires the microphone foreground-service type and related permission; it cannot simply be started later from the background for an overnight session.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Another app, Assistant, an accessibility service, or a phone call can take audio input. The app may receive silence, so the pipeline needs an audio-availability gate and safe abstention.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Battery use, thermal load, device placement, and a persistent privacy indicator/notification are practical overnight concerns.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Raw audio is sensitive personal data. Local-only processing, a clear consent screen, explicit retention/deletion policy, no cloud upload, and no hidden background recording are minimum requirements.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6.3 Validity and confidence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50"/>
        <w:gridCol w:w="6610"/>
      </w:tblGrid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Question</w:t>
            </w:r>
          </w:p>
        </w:tc>
        <w:tc>
          <w:tcPr>
            <w:tcW w:type="dxa" w:w="6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Answer</w:t>
            </w:r>
          </w:p>
        </w:tc>
      </w:tr>
      <w:tr>
        <w:tc>
          <w:tcPr>
            <w:tcW w:type="dxa" w:w="27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Is it technically doable?</w:t>
            </w:r>
          </w:p>
        </w:tc>
        <w:tc>
          <w:tcPr>
            <w:tcW w:type="dxa" w:w="661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Yes, as an Android foreground-service feature using AudioRecord and on-device feature extraction/classification.</w:t>
            </w:r>
          </w:p>
        </w:tc>
      </w:tr>
      <w:tr>
        <w:tc>
          <w:tcPr>
            <w:tcW w:type="dxa" w:w="27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Will it make the current result trustworthy in one week?</w:t>
            </w:r>
          </w:p>
        </w:tc>
        <w:tc>
          <w:tcPr>
            <w:tcW w:type="dxa" w:w="661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No. There is no matched audio training data or Android placement validation in this project. Adding it now would create an unvalidated modality.</w:t>
            </w:r>
          </w:p>
        </w:tc>
      </w:tr>
      <w:tr>
        <w:tc>
          <w:tcPr>
            <w:tcW w:type="dxa" w:w="27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Can it increase confidence?</w:t>
            </w:r>
          </w:p>
        </w:tc>
        <w:tc>
          <w:tcPr>
            <w:tcW w:type="dxa" w:w="661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Only after a separately evaluated fusion model shows improvement on held-out, matched audio-plus-watch data. Confidence must be calibrated; more sensors do not automatically mean better predictions.</w:t>
            </w:r>
          </w:p>
        </w:tc>
      </w:tr>
      <w:tr>
        <w:tc>
          <w:tcPr>
            <w:tcW w:type="dxa" w:w="27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Is it valid to claim light-sleep detection?</w:t>
            </w:r>
          </w:p>
        </w:tc>
        <w:tc>
          <w:tcPr>
            <w:tcW w:type="dxa" w:w="661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Not from the current evidence. Phrase it as exploratory wellness estimation and retain the exact-time fallback.</w:t>
            </w:r>
          </w:p>
        </w:tc>
      </w:tr>
      <w:tr>
        <w:tc>
          <w:tcPr>
            <w:tcW w:type="dxa" w:w="27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Best immediate use if allowed after submission?</w:t>
            </w:r>
          </w:p>
        </w:tc>
        <w:tc>
          <w:tcPr>
            <w:tcW w:type="dxa" w:w="661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Optional, consented, on-device sound-quality or disturbance detection; do not feed it into the wake decision until validated.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6.4 If microphone work becomes a future extension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Obtain explicit informed consent and make recording opt-in per session. Process locally; do not retain raw audio by default.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Use short non-reversible summaries (for example, sound energy, spectral bands, periodicity, speech/noise detector output) rather than full-night recordings wherever possible.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Acquire a licence-compatible dataset with synchronized overnight audio and PSG labels, matching the intended phone placement as closely as possible.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Evaluate audio-only, watch-only, and late-fusion models on the same subject-held-out split. Report whether fusion improves PR-AUC, calibration, and wake-window outcomes, not just F1.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Keep audio optional and make any missing/silent/contaminated audio a safe abstention, never a substitute for the fallback alarm.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7. Alternatives if the CNN-GRU does not improve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40"/>
        <w:gridCol w:w="3480"/>
        <w:gridCol w:w="3440"/>
      </w:tblGrid>
      <w:tr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Option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When to use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Claim boundary</w:t>
            </w:r>
          </w:p>
        </w:tc>
      </w:tr>
      <w:tr>
        <w:tc>
          <w:tcPr>
            <w:tcW w:type="dxa" w:w="244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A. Deep model as experimental estimator</w:t>
            </w:r>
          </w:p>
        </w:tc>
        <w:tc>
          <w:tcPr>
            <w:tcW w:type="dxa" w:w="348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Best deadline fallback: evaluate/export the CNN-GRU and demonstrate it with replay/live inputs.</w:t>
            </w:r>
          </w:p>
        </w:tc>
        <w:tc>
          <w:tcPr>
            <w:tcW w:type="dxa" w:w="344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State that it is research output; exact-time alarm remains the reliable function.</w:t>
            </w:r>
          </w:p>
        </w:tc>
      </w:tr>
      <w:tr>
        <w:tc>
          <w:tcPr>
            <w:tcW w:type="dxa" w:w="244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B. Logistic model as comparison/demo policy</w:t>
            </w:r>
          </w:p>
        </w:tc>
        <w:tc>
          <w:tcPr>
            <w:tcW w:type="dxa" w:w="348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If the course permits a better non-DL deployment benchmark alongside the required DL model.</w:t>
            </w:r>
          </w:p>
        </w:tc>
        <w:tc>
          <w:tcPr>
            <w:tcW w:type="dxa" w:w="344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 not call it reliable stage detection; disclose its precision limitation.</w:t>
            </w:r>
          </w:p>
        </w:tc>
      </w:tr>
      <w:tr>
        <w:tc>
          <w:tcPr>
            <w:tcW w:type="dxa" w:w="244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C. Sleep/wake or rest/activity pivot</w:t>
            </w:r>
          </w:p>
        </w:tc>
        <w:tc>
          <w:tcPr>
            <w:tcW w:type="dxa" w:w="348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Only if the course approves a changed target and the data support it.</w:t>
            </w:r>
          </w:p>
        </w:tc>
        <w:tc>
          <w:tcPr>
            <w:tcW w:type="dxa" w:w="344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Rename the product objective; it cannot be presented as light-sleep detection.</w:t>
            </w:r>
          </w:p>
        </w:tc>
      </w:tr>
      <w:tr>
        <w:tc>
          <w:tcPr>
            <w:tcW w:type="dxa" w:w="244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D. Raw multi-epoch/audio fusion research</w:t>
            </w:r>
          </w:p>
        </w:tc>
        <w:tc>
          <w:tcPr>
            <w:tcW w:type="dxa" w:w="348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After the deadline, with matched datasets and time for validation.</w:t>
            </w:r>
          </w:p>
        </w:tc>
        <w:tc>
          <w:tcPr>
            <w:tcW w:type="dxa" w:w="344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Research extension, not a submission patch.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8. Sources checked for the microphone decision</w:t>
      </w:r>
    </w:p>
    <w:p>
      <w:r>
        <w:rPr>
          <w:rFonts w:ascii="Calibri" w:hAnsi="Calibri"/>
          <w:sz w:val="22"/>
        </w:rPr>
        <w:t>Android Developers, Sharing audio input (Android audio capture priority and silence behavior): https://developer.android.com/media/platform/sharing-audio-input</w:t>
      </w:r>
    </w:p>
    <w:p>
      <w:r>
        <w:rPr>
          <w:rFonts w:ascii="Calibri" w:hAnsi="Calibri"/>
          <w:sz w:val="22"/>
        </w:rPr>
        <w:t>Android Developers, Foreground services in Android 11 (camera/microphone foreground-service requirements): https://developer.android.com/about/versions/11/privacy/foreground-services</w:t>
      </w:r>
    </w:p>
    <w:p>
      <w:r>
        <w:rPr>
          <w:rFonts w:ascii="Calibri" w:hAnsi="Calibri"/>
          <w:sz w:val="22"/>
        </w:rPr>
        <w:t>Android Developers, Foreground service types required (microphone declaration and while-in-use restrictions): https://developer.android.com/about/versions/14/changes/fgs-types-required</w:t>
      </w:r>
    </w:p>
    <w:p>
      <w:r>
        <w:rPr>
          <w:rFonts w:ascii="Calibri" w:hAnsi="Calibri"/>
          <w:sz w:val="22"/>
        </w:rPr>
        <w:t>Kang et al., End-to-End Sleep Staging Using Nocturnal Sounds from Microphone Chips for Mobile Devices, Nature and Science of Sleep, 2022: https://pmc.ncbi.nlm.nih.gov/articles/PMC9241996/</w:t>
      </w:r>
    </w:p>
    <w:p>
      <w:r>
        <w:rPr>
          <w:rFonts w:ascii="Calibri" w:hAnsi="Calibri"/>
          <w:sz w:val="22"/>
        </w:rPr>
        <w:t>Teng et al., A Systematic Review of Sensing Technologies for Wearable Sleep Staging, Sensors, 2021: https://pmc.ncbi.nlm.nih.gov/articles/PMC7956647/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6"/>
      </w:rPr>
      <w:t>Internal project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66666"/>
        <w:sz w:val="17"/>
      </w:rPr>
      <w:t>SMART SLEEP ALARM | TECHNICAL DECISION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Sleep Alarm Technical Findings and Microphone Decision</dc:title>
  <dc:subject>One-week delivery decision brief</dc:subject>
  <dc:creator>Smart Sleep Alarm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