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66C6A08">
      <w:r>
        <w:drawing>
          <wp:inline distT="0" distB="0" distL="114300" distR="114300">
            <wp:extent cx="5266690" cy="3264535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A343B">
      <w:pPr>
        <w:pStyle w:val="2"/>
        <w:keepNext w:val="0"/>
        <w:keepLines w:val="0"/>
        <w:widowControl/>
        <w:suppressLineNumbers w:val="0"/>
        <w:spacing w:before="120" w:beforeAutospacing="0" w:after="0" w:afterAutospacing="0"/>
        <w:rPr>
          <w:b/>
          <w:bCs/>
        </w:rPr>
      </w:pPr>
      <w:r>
        <w:rPr>
          <w:b/>
          <w:bCs/>
        </w:rPr>
        <w:t>Spring IoC 容器的 Bean 装配方式</w:t>
      </w:r>
    </w:p>
    <w:p w14:paraId="669B281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您选择了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注解方式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实现Bean装配：</w:t>
      </w:r>
    </w:p>
    <w:p w14:paraId="3C5FCC8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使用</w:t>
      </w:r>
      <w:r>
        <w:rPr>
          <w:rFonts w:ascii="Consolas" w:hAnsi="Consolas" w:eastAsia="Consolas" w:cs="Consolas"/>
          <w:bdr w:val="none" w:color="auto" w:sz="0" w:space="0"/>
        </w:rPr>
        <w:t>@Repository</w:t>
      </w:r>
      <w:r>
        <w:rPr>
          <w:bdr w:val="none" w:color="auto" w:sz="0" w:space="0"/>
        </w:rPr>
        <w:t>注解标记</w:t>
      </w:r>
      <w:r>
        <w:rPr>
          <w:rFonts w:hint="default" w:ascii="Consolas" w:hAnsi="Consolas" w:eastAsia="Consolas" w:cs="Consolas"/>
          <w:bdr w:val="none" w:color="auto" w:sz="0" w:space="0"/>
        </w:rPr>
        <w:t>UserDao</w:t>
      </w:r>
      <w:r>
        <w:rPr>
          <w:bdr w:val="none" w:color="auto" w:sz="0" w:space="0"/>
        </w:rPr>
        <w:t>类</w:t>
      </w:r>
    </w:p>
    <w:p w14:paraId="1F9FFEF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使用</w:t>
      </w:r>
      <w:r>
        <w:rPr>
          <w:rFonts w:hint="default" w:ascii="Consolas" w:hAnsi="Consolas" w:eastAsia="Consolas" w:cs="Consolas"/>
          <w:bdr w:val="none" w:color="auto" w:sz="0" w:space="0"/>
        </w:rPr>
        <w:t>@Service</w:t>
      </w:r>
      <w:r>
        <w:rPr>
          <w:bdr w:val="none" w:color="auto" w:sz="0" w:space="0"/>
        </w:rPr>
        <w:t>注解标记</w:t>
      </w:r>
      <w:r>
        <w:rPr>
          <w:rFonts w:hint="default" w:ascii="Consolas" w:hAnsi="Consolas" w:eastAsia="Consolas" w:cs="Consolas"/>
          <w:bdr w:val="none" w:color="auto" w:sz="0" w:space="0"/>
        </w:rPr>
        <w:t>UserService</w:t>
      </w:r>
      <w:r>
        <w:rPr>
          <w:bdr w:val="none" w:color="auto" w:sz="0" w:space="0"/>
        </w:rPr>
        <w:t>类</w:t>
      </w:r>
    </w:p>
    <w:p w14:paraId="38B9E88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使用</w:t>
      </w:r>
      <w:r>
        <w:rPr>
          <w:rFonts w:hint="default" w:ascii="Consolas" w:hAnsi="Consolas" w:eastAsia="Consolas" w:cs="Consolas"/>
          <w:bdr w:val="none" w:color="auto" w:sz="0" w:space="0"/>
        </w:rPr>
        <w:t>@Component</w:t>
      </w:r>
      <w:r>
        <w:rPr>
          <w:bdr w:val="none" w:color="auto" w:sz="0" w:space="0"/>
        </w:rPr>
        <w:t>注解标记</w:t>
      </w:r>
      <w:r>
        <w:rPr>
          <w:rFonts w:hint="default" w:ascii="Consolas" w:hAnsi="Consolas" w:eastAsia="Consolas" w:cs="Consolas"/>
          <w:bdr w:val="none" w:color="auto" w:sz="0" w:space="0"/>
        </w:rPr>
        <w:t>LoggingAspect</w:t>
      </w:r>
      <w:r>
        <w:rPr>
          <w:bdr w:val="none" w:color="auto" w:sz="0" w:space="0"/>
        </w:rPr>
        <w:t>类</w:t>
      </w:r>
    </w:p>
    <w:p w14:paraId="4A91B4F5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使用</w:t>
      </w:r>
      <w:r>
        <w:rPr>
          <w:rFonts w:hint="default" w:ascii="Consolas" w:hAnsi="Consolas" w:eastAsia="Consolas" w:cs="Consolas"/>
          <w:bdr w:val="none" w:color="auto" w:sz="0" w:space="0"/>
        </w:rPr>
        <w:t>@Autowired</w:t>
      </w:r>
      <w:r>
        <w:rPr>
          <w:bdr w:val="none" w:color="auto" w:sz="0" w:space="0"/>
        </w:rPr>
        <w:t>注解实现依赖注入（在</w:t>
      </w:r>
      <w:r>
        <w:rPr>
          <w:rFonts w:hint="default" w:ascii="Consolas" w:hAnsi="Consolas" w:eastAsia="Consolas" w:cs="Consolas"/>
          <w:bdr w:val="none" w:color="auto" w:sz="0" w:space="0"/>
        </w:rPr>
        <w:t>UserService</w:t>
      </w:r>
      <w:r>
        <w:rPr>
          <w:bdr w:val="none" w:color="auto" w:sz="0" w:space="0"/>
        </w:rPr>
        <w:t>中注入</w:t>
      </w:r>
      <w:r>
        <w:rPr>
          <w:rFonts w:hint="default" w:ascii="Consolas" w:hAnsi="Consolas" w:eastAsia="Consolas" w:cs="Consolas"/>
          <w:bdr w:val="none" w:color="auto" w:sz="0" w:space="0"/>
        </w:rPr>
        <w:t>UserDao</w:t>
      </w:r>
      <w:r>
        <w:rPr>
          <w:bdr w:val="none" w:color="auto" w:sz="0" w:space="0"/>
        </w:rPr>
        <w:t>）</w:t>
      </w:r>
    </w:p>
    <w:p w14:paraId="40701C31">
      <w:pPr>
        <w:pStyle w:val="2"/>
        <w:keepNext w:val="0"/>
        <w:keepLines w:val="0"/>
        <w:widowControl/>
        <w:suppressLineNumbers w:val="0"/>
        <w:spacing w:before="120" w:beforeAutospacing="0" w:after="0" w:afterAutospacing="0"/>
        <w:rPr>
          <w:b/>
          <w:bCs/>
        </w:rPr>
      </w:pPr>
      <w:r>
        <w:rPr>
          <w:b/>
          <w:bCs/>
        </w:rPr>
        <w:t>Spring AOP 的实现方式</w:t>
      </w:r>
    </w:p>
    <w:p w14:paraId="3EF6BAD2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选择了</w:t>
      </w:r>
      <w:r>
        <w:rPr>
          <w:rFonts w:ascii="宋体" w:hAnsi="宋体" w:eastAsia="宋体" w:cs="宋体"/>
          <w:b/>
          <w:bCs/>
          <w:kern w:val="0"/>
          <w:sz w:val="24"/>
          <w:szCs w:val="24"/>
          <w:lang w:val="en-US" w:eastAsia="zh-CN" w:bidi="ar"/>
        </w:rPr>
        <w:t>AspectJ注解方式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实现AOP：</w:t>
      </w:r>
    </w:p>
    <w:p w14:paraId="0C0D8717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使用</w:t>
      </w:r>
      <w:r>
        <w:rPr>
          <w:rFonts w:hint="default" w:ascii="Consolas" w:hAnsi="Consolas" w:eastAsia="Consolas" w:cs="Consolas"/>
          <w:bdr w:val="none" w:color="auto" w:sz="0" w:space="0"/>
        </w:rPr>
        <w:t>@Aspect</w:t>
      </w:r>
      <w:r>
        <w:rPr>
          <w:bdr w:val="none" w:color="auto" w:sz="0" w:space="0"/>
        </w:rPr>
        <w:t>注解定义切面类</w:t>
      </w:r>
      <w:r>
        <w:rPr>
          <w:rFonts w:hint="default" w:ascii="Consolas" w:hAnsi="Consolas" w:eastAsia="Consolas" w:cs="Consolas"/>
          <w:bdr w:val="none" w:color="auto" w:sz="0" w:space="0"/>
        </w:rPr>
        <w:t>LoggingAspect</w:t>
      </w:r>
    </w:p>
    <w:p w14:paraId="6FAD36C2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使用</w:t>
      </w:r>
      <w:r>
        <w:rPr>
          <w:rFonts w:hint="default" w:ascii="Consolas" w:hAnsi="Consolas" w:eastAsia="Consolas" w:cs="Consolas"/>
          <w:bdr w:val="none" w:color="auto" w:sz="0" w:space="0"/>
        </w:rPr>
        <w:t>@Before</w:t>
      </w:r>
      <w:r>
        <w:rPr>
          <w:bdr w:val="none" w:color="auto" w:sz="0" w:space="0"/>
        </w:rPr>
        <w:t>注解定义前置通知，记录用户登录尝试</w:t>
      </w:r>
    </w:p>
    <w:p w14:paraId="43CFF2CF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使用</w:t>
      </w:r>
      <w:r>
        <w:rPr>
          <w:rFonts w:hint="default" w:ascii="Consolas" w:hAnsi="Consolas" w:eastAsia="Consolas" w:cs="Consolas"/>
          <w:bdr w:val="none" w:color="auto" w:sz="0" w:space="0"/>
        </w:rPr>
        <w:t>@AfterReturning</w:t>
      </w:r>
      <w:r>
        <w:rPr>
          <w:bdr w:val="none" w:color="auto" w:sz="0" w:space="0"/>
        </w:rPr>
        <w:t>注解定义后置通知，记录登录结果</w:t>
      </w:r>
    </w:p>
    <w:p w14:paraId="35D7C9A4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在</w:t>
      </w:r>
      <w:r>
        <w:rPr>
          <w:rFonts w:hint="default" w:ascii="Consolas" w:hAnsi="Consolas" w:eastAsia="Consolas" w:cs="Consolas"/>
          <w:bdr w:val="none" w:color="auto" w:sz="0" w:space="0"/>
        </w:rPr>
        <w:t>AppConfig</w:t>
      </w:r>
      <w:r>
        <w:rPr>
          <w:bdr w:val="none" w:color="auto" w:sz="0" w:space="0"/>
        </w:rPr>
        <w:t>中使用</w:t>
      </w:r>
      <w:r>
        <w:rPr>
          <w:rFonts w:hint="default" w:ascii="Consolas" w:hAnsi="Consolas" w:eastAsia="Consolas" w:cs="Consolas"/>
          <w:bdr w:val="none" w:color="auto" w:sz="0" w:space="0"/>
        </w:rPr>
        <w:t>@EnableAspectJAutoProxy</w:t>
      </w:r>
      <w:r>
        <w:rPr>
          <w:bdr w:val="none" w:color="auto" w:sz="0" w:space="0"/>
        </w:rPr>
        <w:t>启用AspectJ代理</w:t>
      </w:r>
    </w:p>
    <w:p w14:paraId="1B4DCBEE">
      <w:pPr>
        <w:pStyle w:val="2"/>
        <w:keepNext w:val="0"/>
        <w:keepLines w:val="0"/>
        <w:widowControl/>
        <w:suppressLineNumbers w:val="0"/>
        <w:spacing w:before="120" w:beforeAutospacing="0" w:after="0" w:afterAutospacing="0"/>
        <w:rPr>
          <w:b/>
          <w:bCs/>
        </w:rPr>
      </w:pPr>
      <w:r>
        <w:rPr>
          <w:b/>
          <w:bCs/>
        </w:rPr>
        <w:t>代码组织</w:t>
      </w:r>
    </w:p>
    <w:p w14:paraId="0D6405D5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代码清晰分层：</w:t>
      </w:r>
    </w:p>
    <w:p w14:paraId="6069092C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/>
          <w:bCs/>
          <w:bdr w:val="none" w:color="auto" w:sz="0" w:space="0"/>
        </w:rPr>
        <w:t>模型层</w:t>
      </w:r>
      <w:r>
        <w:rPr>
          <w:bdr w:val="none" w:color="auto" w:sz="0" w:space="0"/>
        </w:rPr>
        <w:t>：</w:t>
      </w:r>
      <w:r>
        <w:rPr>
          <w:rFonts w:hint="default" w:ascii="Consolas" w:hAnsi="Consolas" w:eastAsia="Consolas" w:cs="Consolas"/>
          <w:bdr w:val="none" w:color="auto" w:sz="0" w:space="0"/>
        </w:rPr>
        <w:t>User</w:t>
      </w:r>
      <w:r>
        <w:rPr>
          <w:bdr w:val="none" w:color="auto" w:sz="0" w:space="0"/>
        </w:rPr>
        <w:t>类定义用户实体</w:t>
      </w:r>
    </w:p>
    <w:p w14:paraId="178F396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/>
          <w:bCs/>
          <w:bdr w:val="none" w:color="auto" w:sz="0" w:space="0"/>
        </w:rPr>
        <w:t>数据访问层</w:t>
      </w:r>
      <w:r>
        <w:rPr>
          <w:bdr w:val="none" w:color="auto" w:sz="0" w:space="0"/>
        </w:rPr>
        <w:t>：</w:t>
      </w:r>
      <w:r>
        <w:rPr>
          <w:rFonts w:hint="default" w:ascii="Consolas" w:hAnsi="Consolas" w:eastAsia="Consolas" w:cs="Consolas"/>
          <w:bdr w:val="none" w:color="auto" w:sz="0" w:space="0"/>
        </w:rPr>
        <w:t>UserDao</w:t>
      </w:r>
      <w:r>
        <w:rPr>
          <w:bdr w:val="none" w:color="auto" w:sz="0" w:space="0"/>
        </w:rPr>
        <w:t>类模拟数据库操作</w:t>
      </w:r>
    </w:p>
    <w:p w14:paraId="375888C3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/>
          <w:bCs/>
          <w:bdr w:val="none" w:color="auto" w:sz="0" w:space="0"/>
        </w:rPr>
        <w:t>业务逻辑层</w:t>
      </w:r>
      <w:r>
        <w:rPr>
          <w:bdr w:val="none" w:color="auto" w:sz="0" w:space="0"/>
        </w:rPr>
        <w:t>：</w:t>
      </w:r>
      <w:r>
        <w:rPr>
          <w:rFonts w:hint="default" w:ascii="Consolas" w:hAnsi="Consolas" w:eastAsia="Consolas" w:cs="Consolas"/>
          <w:bdr w:val="none" w:color="auto" w:sz="0" w:space="0"/>
        </w:rPr>
        <w:t>UserService</w:t>
      </w:r>
      <w:r>
        <w:rPr>
          <w:bdr w:val="none" w:color="auto" w:sz="0" w:space="0"/>
        </w:rPr>
        <w:t>类提供登录业务逻辑</w:t>
      </w:r>
    </w:p>
    <w:p w14:paraId="1BD72B0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/>
          <w:bCs/>
          <w:bdr w:val="none" w:color="auto" w:sz="0" w:space="0"/>
        </w:rPr>
        <w:t>切面逻辑层</w:t>
      </w:r>
      <w:r>
        <w:rPr>
          <w:bdr w:val="none" w:color="auto" w:sz="0" w:space="0"/>
        </w:rPr>
        <w:t>：</w:t>
      </w:r>
      <w:r>
        <w:rPr>
          <w:rFonts w:hint="default" w:ascii="Consolas" w:hAnsi="Consolas" w:eastAsia="Consolas" w:cs="Consolas"/>
          <w:bdr w:val="none" w:color="auto" w:sz="0" w:space="0"/>
        </w:rPr>
        <w:t>LoggingAspect</w:t>
      </w:r>
      <w:r>
        <w:rPr>
          <w:bdr w:val="none" w:color="auto" w:sz="0" w:space="0"/>
        </w:rPr>
        <w:t>类实现日志记录切面</w:t>
      </w:r>
    </w:p>
    <w:p w14:paraId="69988DD6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/>
          <w:bCs/>
          <w:bdr w:val="none" w:color="auto" w:sz="0" w:space="0"/>
        </w:rPr>
        <w:t>配置层</w:t>
      </w:r>
      <w:r>
        <w:rPr>
          <w:bdr w:val="none" w:color="auto" w:sz="0" w:space="0"/>
        </w:rPr>
        <w:t>：</w:t>
      </w:r>
      <w:r>
        <w:rPr>
          <w:rFonts w:hint="default" w:ascii="Consolas" w:hAnsi="Consolas" w:eastAsia="Consolas" w:cs="Consolas"/>
          <w:bdr w:val="none" w:color="auto" w:sz="0" w:space="0"/>
        </w:rPr>
        <w:t>AppConfig</w:t>
      </w:r>
      <w:r>
        <w:rPr>
          <w:bdr w:val="none" w:color="auto" w:sz="0" w:space="0"/>
        </w:rPr>
        <w:t>类提供Spring配置</w:t>
      </w:r>
    </w:p>
    <w:p w14:paraId="62141C63">
      <w:pPr>
        <w:pStyle w:val="2"/>
        <w:keepNext w:val="0"/>
        <w:keepLines w:val="0"/>
        <w:widowControl/>
        <w:suppressLineNumbers w:val="0"/>
        <w:spacing w:before="120" w:beforeAutospacing="0" w:after="0" w:afterAutospacing="0"/>
        <w:rPr>
          <w:b/>
          <w:bCs/>
        </w:rPr>
      </w:pPr>
      <w:r>
        <w:rPr>
          <w:b/>
          <w:bCs/>
        </w:rPr>
        <w:t>测试代码</w:t>
      </w:r>
    </w:p>
    <w:p w14:paraId="2B1435CA"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在</w:t>
      </w:r>
      <w:r>
        <w:rPr>
          <w:rFonts w:hint="default" w:ascii="Consolas" w:hAnsi="Consolas" w:eastAsia="Consolas" w:cs="Consolas"/>
          <w:kern w:val="0"/>
          <w:sz w:val="24"/>
          <w:szCs w:val="24"/>
          <w:bdr w:val="none" w:color="auto" w:sz="0" w:space="0"/>
          <w:lang w:val="en-US" w:eastAsia="zh-CN" w:bidi="ar"/>
        </w:rPr>
        <w:t>Main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类中：1. 初始化Spring容器</w:t>
      </w:r>
    </w:p>
    <w:p w14:paraId="038294EB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获取</w:t>
      </w:r>
      <w:r>
        <w:rPr>
          <w:rFonts w:hint="default" w:ascii="Consolas" w:hAnsi="Consolas" w:eastAsia="Consolas" w:cs="Consolas"/>
          <w:bdr w:val="none" w:color="auto" w:sz="0" w:space="0"/>
        </w:rPr>
        <w:t>UserService</w:t>
      </w:r>
      <w:r>
        <w:rPr>
          <w:bdr w:val="none" w:color="auto" w:sz="0" w:space="0"/>
        </w:rPr>
        <w:t> Bean</w:t>
      </w:r>
    </w:p>
    <w:p w14:paraId="57736B48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测试三种登录场景：</w:t>
      </w:r>
    </w:p>
    <w:p w14:paraId="4635E17E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成功登录（正确用户名和密码）</w:t>
      </w:r>
    </w:p>
    <w:p w14:paraId="3E13BC5D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失败登录（正确用户名但错误密码）</w:t>
      </w:r>
    </w:p>
    <w:p w14:paraId="3B35A6A0"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</w:pPr>
      <w:r>
        <w:rPr>
          <w:rFonts w:hint="eastAsia" w:ascii="宋体" w:hAnsi="宋体" w:eastAsia="宋体" w:cs="宋体"/>
          <w:sz w:val="24"/>
        </w:rPr>
        <w:t xml:space="preserve">  </w:t>
      </w:r>
      <w:r>
        <w:rPr>
          <w:bdr w:val="none" w:color="auto" w:sz="0" w:space="0"/>
        </w:rPr>
        <w:t>不存在的用户登录</w:t>
      </w:r>
    </w:p>
    <w:p w14:paraId="05D41A47">
      <w:r>
        <w:drawing>
          <wp:inline distT="0" distB="0" distL="114300" distR="114300">
            <wp:extent cx="5268595" cy="3160395"/>
            <wp:effectExtent l="0" t="0" r="825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6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DCCE8">
      <w:r>
        <w:drawing>
          <wp:inline distT="0" distB="0" distL="114300" distR="114300">
            <wp:extent cx="5268595" cy="2920365"/>
            <wp:effectExtent l="0" t="0" r="825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20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54625" cy="2709545"/>
            <wp:effectExtent l="0" t="0" r="317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785" cy="3112135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1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820670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70027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13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2025-04-01T11:02:20Z</dcterms:created>
  <dc:creator>cjp</dc:creator>
  <cp:lastModifiedBy>惊蛰</cp:lastModifiedBy>
  <dcterms:modified xsi:type="dcterms:W3CDTF">2025-04-01T11:16:10Z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eyJoZGlkIjoiMjdjZmNkMGUwMmE3Mzg5OWFmYTE1YzNlYWIzZGM5OWMiLCJ1c2VySWQiOiIxMTM1NzM3ODE1In0=</vt:lpwstr>
  </property>
  <property fmtid="{D5CDD505-2E9C-101B-9397-08002B2CF9AE}" pid="4" name="ICV">
    <vt:lpwstr>2B2033E69FBC4D1B934C3AE0503012D0_12</vt:lpwstr>
  </property>
</Properties>
</file>