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9C0430">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479D80F0"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E63951">
              <w:rPr>
                <w:noProof/>
                <w:webHidden/>
              </w:rPr>
              <w:t>1</w:t>
            </w:r>
            <w:r w:rsidR="000B6373">
              <w:rPr>
                <w:noProof/>
                <w:webHidden/>
              </w:rPr>
              <w:fldChar w:fldCharType="end"/>
            </w:r>
          </w:hyperlink>
        </w:p>
        <w:p w14:paraId="49354EFC" w14:textId="5CB0EFA8"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E63951">
              <w:rPr>
                <w:noProof/>
                <w:webHidden/>
              </w:rPr>
              <w:t>2</w:t>
            </w:r>
            <w:r w:rsidR="000B6373">
              <w:rPr>
                <w:noProof/>
                <w:webHidden/>
              </w:rPr>
              <w:fldChar w:fldCharType="end"/>
            </w:r>
          </w:hyperlink>
        </w:p>
        <w:p w14:paraId="1D23ED52" w14:textId="579CB686"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0654191E" w14:textId="224C7F8A"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63543B75" w14:textId="15884ECF"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3179F41C" w14:textId="3577B78D"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E96B2A3" w14:textId="6755DA66"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664FD03C" w14:textId="4C352235"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1EF47068" w14:textId="7644135F"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288FAC2" w14:textId="459221B7"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E63951">
              <w:rPr>
                <w:noProof/>
                <w:webHidden/>
              </w:rPr>
              <w:t>5</w:t>
            </w:r>
            <w:r w:rsidR="000B6373">
              <w:rPr>
                <w:noProof/>
                <w:webHidden/>
              </w:rPr>
              <w:fldChar w:fldCharType="end"/>
            </w:r>
          </w:hyperlink>
        </w:p>
        <w:p w14:paraId="7C08A80F" w14:textId="14EC8A51"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E63951">
              <w:rPr>
                <w:noProof/>
                <w:webHidden/>
              </w:rPr>
              <w:t>6</w:t>
            </w:r>
            <w:r w:rsidR="000B6373">
              <w:rPr>
                <w:noProof/>
                <w:webHidden/>
              </w:rPr>
              <w:fldChar w:fldCharType="end"/>
            </w:r>
          </w:hyperlink>
        </w:p>
        <w:p w14:paraId="73244181" w14:textId="29D858FA"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50F1EE05" w14:textId="2F44F707"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6C450EE7" w14:textId="4B8E6F28"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3059B2FF" w14:textId="0C3585DF"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7C34BCDF" w14:textId="29738A19"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E63951">
              <w:rPr>
                <w:noProof/>
                <w:webHidden/>
              </w:rPr>
              <w:t>10</w:t>
            </w:r>
            <w:r w:rsidR="000B6373">
              <w:rPr>
                <w:noProof/>
                <w:webHidden/>
              </w:rPr>
              <w:fldChar w:fldCharType="end"/>
            </w:r>
          </w:hyperlink>
        </w:p>
        <w:p w14:paraId="0E3EA7DB" w14:textId="33CE5383"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E63951">
              <w:rPr>
                <w:noProof/>
                <w:webHidden/>
              </w:rPr>
              <w:t>22</w:t>
            </w:r>
            <w:r w:rsidR="000B6373">
              <w:rPr>
                <w:noProof/>
                <w:webHidden/>
              </w:rPr>
              <w:fldChar w:fldCharType="end"/>
            </w:r>
          </w:hyperlink>
        </w:p>
        <w:p w14:paraId="14BA4551" w14:textId="359A65D3" w:rsidR="000B6373" w:rsidRDefault="009C0430">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4901F636" w14:textId="7EEABA95"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B4F61E3" w14:textId="6F0A8558" w:rsidR="000B6373" w:rsidRDefault="009C0430">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 xml:space="preserve">As with any tool, this one has many different uses depending on the goals of the </w:t>
      </w:r>
      <w:proofErr w:type="gramStart"/>
      <w:r>
        <w:t>user, and</w:t>
      </w:r>
      <w:proofErr w:type="gramEnd"/>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 xml:space="preserve">How to use the </w:t>
      </w:r>
      <w:proofErr w:type="gramStart"/>
      <w:r>
        <w:rPr>
          <w:rFonts w:ascii="Verdana" w:hAnsi="Verdana"/>
        </w:rPr>
        <w:t>built in</w:t>
      </w:r>
      <w:proofErr w:type="gramEnd"/>
      <w:r>
        <w:rPr>
          <w:rFonts w:ascii="Verdana" w:hAnsi="Verdana"/>
        </w:rPr>
        <w:t xml:space="preserve">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lastRenderedPageBreak/>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w:t>
      </w:r>
      <w:proofErr w:type="gramStart"/>
      <w:r>
        <w:rPr>
          <w:rFonts w:ascii="Verdana" w:hAnsi="Verdana"/>
        </w:rPr>
        <w:t>, in itself, enable</w:t>
      </w:r>
      <w:proofErr w:type="gramEnd"/>
      <w:r>
        <w:rPr>
          <w:rFonts w:ascii="Verdana" w:hAnsi="Verdana"/>
        </w:rPr>
        <w:t xml:space="preserv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w:t>
      </w:r>
      <w:proofErr w:type="gramStart"/>
      <w:r>
        <w:rPr>
          <w:rFonts w:ascii="Verdana" w:hAnsi="Verdana"/>
        </w:rPr>
        <w:t>1..</w:t>
      </w:r>
      <w:proofErr w:type="gramEnd"/>
      <w:r>
        <w:rPr>
          <w:rFonts w:ascii="Verdana" w:hAnsi="Verdana"/>
        </w:rPr>
        <w:t xml:space="preserve">QUEUE10). The number of triplets can </w:t>
      </w:r>
      <w:proofErr w:type="gramStart"/>
      <w:r>
        <w:rPr>
          <w:rFonts w:ascii="Verdana" w:hAnsi="Verdana"/>
        </w:rPr>
        <w:t>varied</w:t>
      </w:r>
      <w:proofErr w:type="gramEnd"/>
      <w:r>
        <w:rPr>
          <w:rFonts w:ascii="Verdana" w:hAnsi="Verdana"/>
        </w:rPr>
        <w:t xml:space="preserve">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4 publishers and 40 durable subscribers spread evenly across 4 topics (TOPIC</w:t>
      </w:r>
      <w:proofErr w:type="gramStart"/>
      <w:r>
        <w:rPr>
          <w:rFonts w:ascii="Verdana" w:hAnsi="Verdana"/>
        </w:rPr>
        <w:t>1..</w:t>
      </w:r>
      <w:proofErr w:type="gramEnd"/>
      <w:r>
        <w:rPr>
          <w:rFonts w:ascii="Verdana" w:hAnsi="Verdana"/>
        </w:rPr>
        <w:t xml:space="preserve">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 xml:space="preserve">module to report on how long it takes for </w:t>
      </w:r>
      <w:proofErr w:type="gramStart"/>
      <w:r>
        <w:rPr>
          <w:rFonts w:ascii="Verdana" w:hAnsi="Verdana" w:cs="Verdana"/>
        </w:rPr>
        <w:t>all of</w:t>
      </w:r>
      <w:proofErr w:type="gramEnd"/>
      <w:r>
        <w:rPr>
          <w:rFonts w:ascii="Verdana" w:hAnsi="Verdana" w:cs="Verdana"/>
        </w:rPr>
        <w:t xml:space="preserve">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rate=2461.00,threads=3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rate=2607.00,threads=3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rate=2590.00,threads=3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rate=2594.00,threads=3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rate=2587.00,threads=3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Throwing exception; mqcc:2 ;Name: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rate=740.00,threads=3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rate=2065.00,threads=3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rate=2133.00,threads=3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rate=2170.00,threads=3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r>
              <w:rPr>
                <w:rFonts w:ascii="Verdana" w:hAnsi="Verdana"/>
              </w:rPr>
              <w:t xml:space="preserve">hf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r>
              <w:rPr>
                <w:rFonts w:ascii="Verdana" w:hAnsi="Verdana"/>
              </w:rPr>
              <w:t xml:space="preserve">hm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r>
              <w:rPr>
                <w:rFonts w:ascii="Verdana" w:hAnsi="Verdana"/>
              </w:rPr>
              <w:t>tr</w:t>
            </w:r>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w:t>
            </w:r>
            <w:proofErr w:type="gramStart"/>
            <w:r>
              <w:rPr>
                <w:rFonts w:ascii="Verdana" w:hAnsi="Verdana"/>
              </w:rPr>
              <w:t>have to</w:t>
            </w:r>
            <w:proofErr w:type="gramEnd"/>
            <w:r>
              <w:rPr>
                <w:rFonts w:ascii="Verdana" w:hAnsi="Verdana"/>
              </w:rPr>
              <w:t xml:space="preserve"> merge the output of more than one instance of the tool. </w:t>
            </w:r>
          </w:p>
        </w:tc>
      </w:tr>
      <w:tr w:rsidR="009C0430" w14:paraId="6C35BCD3" w14:textId="77777777">
        <w:trPr>
          <w:tblCellSpacing w:w="15" w:type="dxa"/>
        </w:trPr>
        <w:tc>
          <w:tcPr>
            <w:tcW w:w="0" w:type="auto"/>
            <w:shd w:val="clear" w:color="auto" w:fill="auto"/>
            <w:vAlign w:val="center"/>
          </w:tcPr>
          <w:p w14:paraId="3F92FCDB" w14:textId="2DEB8459" w:rsidR="009C0430" w:rsidRDefault="009C0430">
            <w:pPr>
              <w:rPr>
                <w:rFonts w:ascii="Verdana" w:hAnsi="Verdana"/>
              </w:rPr>
            </w:pPr>
            <w:r>
              <w:rPr>
                <w:rFonts w:ascii="Verdana" w:hAnsi="Verdana"/>
              </w:rPr>
              <w:t>ls</w:t>
            </w:r>
          </w:p>
        </w:tc>
        <w:tc>
          <w:tcPr>
            <w:tcW w:w="0" w:type="auto"/>
            <w:shd w:val="clear" w:color="auto" w:fill="auto"/>
            <w:vAlign w:val="center"/>
          </w:tcPr>
          <w:p w14:paraId="04FB4484" w14:textId="385E3065" w:rsidR="009C0430" w:rsidRDefault="009C0430">
            <w:pPr>
              <w:rPr>
                <w:rFonts w:ascii="Verdana" w:hAnsi="Verdana"/>
              </w:rPr>
            </w:pPr>
            <w:r>
              <w:rPr>
                <w:rFonts w:ascii="Verdana" w:hAnsi="Verdana"/>
              </w:rPr>
              <w:t>false</w:t>
            </w:r>
          </w:p>
        </w:tc>
        <w:tc>
          <w:tcPr>
            <w:tcW w:w="0" w:type="auto"/>
            <w:shd w:val="clear" w:color="auto" w:fill="auto"/>
            <w:vAlign w:val="center"/>
          </w:tcPr>
          <w:p w14:paraId="36801F18" w14:textId="5AB09374" w:rsidR="009C0430" w:rsidRDefault="009C0430">
            <w:pPr>
              <w:rPr>
                <w:rFonts w:ascii="Verdana" w:hAnsi="Verdana"/>
              </w:rPr>
            </w:pPr>
            <w:r>
              <w:rPr>
                <w:rFonts w:ascii="Verdana" w:hAnsi="Verdana"/>
              </w:rPr>
              <w:t xml:space="preserve">Collect latency stats (reported as </w:t>
            </w:r>
            <w:proofErr w:type="spellStart"/>
            <w:r>
              <w:rPr>
                <w:rFonts w:ascii="Verdana" w:hAnsi="Verdana"/>
              </w:rPr>
              <w:t>avg</w:t>
            </w:r>
            <w:proofErr w:type="spellEnd"/>
            <w:r>
              <w:rPr>
                <w:rFonts w:ascii="Verdana" w:hAnsi="Verdana"/>
              </w:rPr>
              <w:t>/min/max micro-seconds) taken to complete one iteration</w:t>
            </w:r>
            <w:r w:rsidR="00274BC2">
              <w:rPr>
                <w:rFonts w:ascii="Verdana" w:hAnsi="Verdana"/>
              </w:rPr>
              <w:t xml:space="preserve"> (i.e. execute the </w:t>
            </w:r>
            <w:r w:rsidR="00274BC2">
              <w:rPr>
                <w:rFonts w:ascii="Verdana" w:hAnsi="Verdana"/>
              </w:rPr>
              <w:t>"</w:t>
            </w:r>
            <w:proofErr w:type="spellStart"/>
            <w:r w:rsidR="00274BC2" w:rsidRPr="00274BC2">
              <w:rPr>
                <w:rFonts w:ascii="Verdana" w:hAnsi="Verdana"/>
              </w:rPr>
              <w:t>oneIteration</w:t>
            </w:r>
            <w:proofErr w:type="spellEnd"/>
            <w:r w:rsidR="00274BC2">
              <w:rPr>
                <w:rFonts w:ascii="Verdana" w:hAnsi="Verdana"/>
              </w:rPr>
              <w:t>"</w:t>
            </w:r>
            <w:r w:rsidR="00274BC2">
              <w:rPr>
                <w:rFonts w:ascii="Verdana" w:hAnsi="Verdana"/>
              </w:rPr>
              <w:t xml:space="preserve"> function)</w:t>
            </w:r>
            <w:r>
              <w:rPr>
                <w:rFonts w:ascii="Verdana" w:hAnsi="Verdana"/>
              </w:rPr>
              <w:t xml:space="preserve"> of the test in thread 0 (does not include wait time introduced that may be added between iterations by use of the rate </w:t>
            </w:r>
            <w:proofErr w:type="spellStart"/>
            <w:r>
              <w:rPr>
                <w:rFonts w:ascii="Verdana" w:hAnsi="Verdana"/>
              </w:rPr>
              <w:t>parm</w:t>
            </w:r>
            <w:proofErr w:type="spellEnd"/>
            <w:r>
              <w:rPr>
                <w:rFonts w:ascii="Verdana" w:hAnsi="Verdana"/>
              </w:rPr>
              <w:t xml:space="preserve"> (rt) on the </w:t>
            </w:r>
            <w:proofErr w:type="spellStart"/>
            <w:r>
              <w:rPr>
                <w:rFonts w:ascii="Verdana" w:hAnsi="Verdana"/>
              </w:rPr>
              <w:t>WorkerThread</w:t>
            </w:r>
            <w:proofErr w:type="spellEnd"/>
            <w:r w:rsidR="00274BC2">
              <w:rPr>
                <w:rFonts w:ascii="Verdana" w:hAnsi="Verdana"/>
              </w:rPr>
              <w:t>)</w:t>
            </w:r>
            <w:r>
              <w:rPr>
                <w:rFonts w:ascii="Verdana" w:hAnsi="Verdana"/>
              </w:rPr>
              <w:t xml:space="preserve">. </w:t>
            </w:r>
            <w:r w:rsidR="00274BC2">
              <w:rPr>
                <w:rFonts w:ascii="Verdana" w:hAnsi="Verdana"/>
              </w:rPr>
              <w:t>Only thread 0 is measured, as a sample. For a Sender test module this would be the latency of n (typically 1) PUT(s), for a Requester module, this would be the latency of a Put and the subsequent Get, combined.</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r>
              <w:rPr>
                <w:rFonts w:ascii="Verdana" w:hAnsi="Verdana"/>
              </w:rPr>
              <w:t xml:space="preserve">ss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6C6A377D" w:rsidR="000C3E89" w:rsidRDefault="00EF090B">
      <w:pPr>
        <w:pStyle w:val="NormalWeb"/>
      </w:pPr>
      <w:r>
        <w:lastRenderedPageBreak/>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r>
              <w:rPr>
                <w:rFonts w:ascii="Verdana" w:hAnsi="Verdana"/>
              </w:rPr>
              <w:t xml:space="preserve">rt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lastRenderedPageBreak/>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w:t>
            </w:r>
            <w:proofErr w:type="gramStart"/>
            <w:r>
              <w:t>1..</w:t>
            </w:r>
            <w:proofErr w:type="gramEnd"/>
            <w:r>
              <w:t>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w:t>
            </w:r>
            <w:proofErr w:type="gramStart"/>
            <w:r>
              <w:t>6..</w:t>
            </w:r>
            <w:proofErr w:type="gramEnd"/>
            <w:r>
              <w:t>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w:t>
            </w:r>
            <w:proofErr w:type="gramStart"/>
            <w:r>
              <w:t>4..</w:t>
            </w:r>
            <w:proofErr w:type="gramEnd"/>
            <w:r>
              <w:t>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w:t>
            </w:r>
            <w:proofErr w:type="gramStart"/>
            <w:r>
              <w:t>4..</w:t>
            </w:r>
            <w:proofErr w:type="gramEnd"/>
            <w:r>
              <w:t>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lastRenderedPageBreak/>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r>
              <w:rPr>
                <w:rFonts w:ascii="Verdana" w:hAnsi="Verdana"/>
              </w:rPr>
              <w:t>cs</w:t>
            </w:r>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xml:space="preserve">, with re-connect timer logic. This can be used to test MIQM or RDQM to see the time it takes to </w:t>
      </w:r>
      <w:proofErr w:type="spellStart"/>
      <w:r>
        <w:t>to</w:t>
      </w:r>
      <w:proofErr w:type="spellEnd"/>
      <w:r>
        <w:t xml:space="preserve"> re-connect to a queue manager. The </w:t>
      </w:r>
      <w:r w:rsidR="006B3F82">
        <w:t>available</w:t>
      </w:r>
      <w:r>
        <w:t xml:space="preserve"> queue manager</w:t>
      </w:r>
      <w:r w:rsidR="006B3F82">
        <w:t>s</w:t>
      </w:r>
      <w:r>
        <w:t xml:space="preserve"> can be specified via a CCDT</w:t>
      </w:r>
      <w:r w:rsidR="006B3F82">
        <w:t xml:space="preserve"> (in </w:t>
      </w:r>
      <w:proofErr w:type="spellStart"/>
      <w:r w:rsidR="006B3F82">
        <w:t>MQOpts</w:t>
      </w:r>
      <w:proofErr w:type="spellEnd"/>
      <w:r w:rsidR="006B3F82">
        <w:t>)</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501483" w14:paraId="1B2A10F6" w14:textId="77777777" w:rsidTr="00605D60">
        <w:trPr>
          <w:tblCellSpacing w:w="15" w:type="dxa"/>
        </w:trPr>
        <w:tc>
          <w:tcPr>
            <w:tcW w:w="0" w:type="auto"/>
            <w:shd w:val="clear" w:color="auto" w:fill="auto"/>
            <w:vAlign w:val="center"/>
          </w:tcPr>
          <w:p w14:paraId="417E634A" w14:textId="77777777" w:rsidR="00501483" w:rsidRDefault="00501483"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605D60">
        <w:trPr>
          <w:tblCellSpacing w:w="15" w:type="dxa"/>
        </w:trPr>
        <w:tc>
          <w:tcPr>
            <w:tcW w:w="0" w:type="auto"/>
            <w:shd w:val="clear" w:color="auto" w:fill="auto"/>
            <w:vAlign w:val="center"/>
          </w:tcPr>
          <w:p w14:paraId="37D96018" w14:textId="74F74065" w:rsidR="00501483" w:rsidRDefault="00501483" w:rsidP="00501483">
            <w:pPr>
              <w:rPr>
                <w:rFonts w:ascii="Verdana" w:hAnsi="Verdana"/>
              </w:rPr>
            </w:pPr>
            <w:r>
              <w:rPr>
                <w:rFonts w:ascii="Verdana" w:hAnsi="Verdana"/>
              </w:rPr>
              <w:t xml:space="preserve">co </w:t>
            </w:r>
          </w:p>
        </w:tc>
        <w:tc>
          <w:tcPr>
            <w:tcW w:w="0" w:type="auto"/>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0" w:type="auto"/>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605D60">
        <w:trPr>
          <w:tblCellSpacing w:w="15" w:type="dxa"/>
        </w:trPr>
        <w:tc>
          <w:tcPr>
            <w:tcW w:w="0" w:type="auto"/>
            <w:shd w:val="clear" w:color="auto" w:fill="auto"/>
            <w:vAlign w:val="center"/>
          </w:tcPr>
          <w:p w14:paraId="0B8A9FEA" w14:textId="3B45727F" w:rsidR="00501483" w:rsidRDefault="00501483" w:rsidP="00501483">
            <w:pPr>
              <w:rPr>
                <w:rFonts w:ascii="Verdana" w:hAnsi="Verdana"/>
              </w:rPr>
            </w:pPr>
            <w:r>
              <w:rPr>
                <w:rFonts w:ascii="Verdana" w:hAnsi="Verdana"/>
              </w:rPr>
              <w:t>cs</w:t>
            </w:r>
          </w:p>
        </w:tc>
        <w:tc>
          <w:tcPr>
            <w:tcW w:w="0" w:type="auto"/>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605D60">
        <w:trPr>
          <w:tblCellSpacing w:w="15" w:type="dxa"/>
        </w:trPr>
        <w:tc>
          <w:tcPr>
            <w:tcW w:w="0" w:type="auto"/>
            <w:shd w:val="clear" w:color="auto" w:fill="auto"/>
            <w:vAlign w:val="center"/>
          </w:tcPr>
          <w:p w14:paraId="0174E165" w14:textId="38825D7B" w:rsidR="00501483" w:rsidRDefault="00501483" w:rsidP="00501483">
            <w:pPr>
              <w:rPr>
                <w:rFonts w:ascii="Verdana" w:hAnsi="Verdana"/>
              </w:rPr>
            </w:pPr>
            <w:proofErr w:type="spellStart"/>
            <w:r>
              <w:rPr>
                <w:rFonts w:ascii="Verdana" w:hAnsi="Verdana"/>
              </w:rPr>
              <w:t>gs</w:t>
            </w:r>
            <w:proofErr w:type="spellEnd"/>
          </w:p>
        </w:tc>
        <w:tc>
          <w:tcPr>
            <w:tcW w:w="0" w:type="auto"/>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0" w:type="auto"/>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605D60">
        <w:trPr>
          <w:tblCellSpacing w:w="15" w:type="dxa"/>
        </w:trPr>
        <w:tc>
          <w:tcPr>
            <w:tcW w:w="0" w:type="auto"/>
            <w:shd w:val="clear" w:color="auto" w:fill="auto"/>
            <w:vAlign w:val="center"/>
          </w:tcPr>
          <w:p w14:paraId="3E648FF4" w14:textId="2344DEE9" w:rsidR="00501483" w:rsidRDefault="00501483" w:rsidP="00501483">
            <w:pPr>
              <w:rPr>
                <w:rFonts w:ascii="Verdana" w:hAnsi="Verdana"/>
              </w:rPr>
            </w:pPr>
            <w:r>
              <w:rPr>
                <w:rFonts w:ascii="Verdana" w:hAnsi="Verdana"/>
              </w:rPr>
              <w:t>h2</w:t>
            </w:r>
          </w:p>
        </w:tc>
        <w:tc>
          <w:tcPr>
            <w:tcW w:w="0" w:type="auto"/>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605D60">
        <w:trPr>
          <w:tblCellSpacing w:w="15" w:type="dxa"/>
        </w:trPr>
        <w:tc>
          <w:tcPr>
            <w:tcW w:w="0" w:type="auto"/>
            <w:shd w:val="clear" w:color="auto" w:fill="auto"/>
            <w:vAlign w:val="center"/>
          </w:tcPr>
          <w:p w14:paraId="0050E7AB" w14:textId="325214A3" w:rsidR="00501483" w:rsidRDefault="00501483" w:rsidP="00501483">
            <w:pPr>
              <w:rPr>
                <w:rFonts w:ascii="Verdana" w:hAnsi="Verdana"/>
              </w:rPr>
            </w:pPr>
            <w:r>
              <w:rPr>
                <w:rFonts w:ascii="Verdana" w:hAnsi="Verdana"/>
              </w:rPr>
              <w:t>p2</w:t>
            </w:r>
          </w:p>
        </w:tc>
        <w:tc>
          <w:tcPr>
            <w:tcW w:w="0" w:type="auto"/>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0" w:type="auto"/>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605D60">
        <w:trPr>
          <w:tblCellSpacing w:w="15" w:type="dxa"/>
        </w:trPr>
        <w:tc>
          <w:tcPr>
            <w:tcW w:w="0" w:type="auto"/>
            <w:shd w:val="clear" w:color="auto" w:fill="auto"/>
            <w:vAlign w:val="center"/>
          </w:tcPr>
          <w:p w14:paraId="162EC14A" w14:textId="77315DDD" w:rsidR="00501483" w:rsidRDefault="00501483" w:rsidP="00501483">
            <w:pPr>
              <w:rPr>
                <w:rFonts w:ascii="Verdana" w:hAnsi="Verdana"/>
              </w:rPr>
            </w:pPr>
            <w:proofErr w:type="spellStart"/>
            <w:r>
              <w:rPr>
                <w:rFonts w:ascii="Verdana" w:hAnsi="Verdana"/>
              </w:rPr>
              <w:t>txp</w:t>
            </w:r>
            <w:proofErr w:type="spellEnd"/>
          </w:p>
        </w:tc>
        <w:tc>
          <w:tcPr>
            <w:tcW w:w="0" w:type="auto"/>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605D60">
        <w:trPr>
          <w:tblCellSpacing w:w="15" w:type="dxa"/>
        </w:trPr>
        <w:tc>
          <w:tcPr>
            <w:tcW w:w="0" w:type="auto"/>
            <w:shd w:val="clear" w:color="auto" w:fill="auto"/>
            <w:vAlign w:val="center"/>
          </w:tcPr>
          <w:p w14:paraId="464E936B" w14:textId="400555A8" w:rsidR="00501483" w:rsidRDefault="00501483" w:rsidP="00501483">
            <w:pPr>
              <w:rPr>
                <w:rFonts w:ascii="Verdana" w:hAnsi="Verdana"/>
              </w:rPr>
            </w:pPr>
            <w:proofErr w:type="spellStart"/>
            <w:r>
              <w:rPr>
                <w:rFonts w:ascii="Verdana" w:hAnsi="Verdana"/>
              </w:rPr>
              <w:lastRenderedPageBreak/>
              <w:t>txg</w:t>
            </w:r>
            <w:proofErr w:type="spellEnd"/>
          </w:p>
        </w:tc>
        <w:tc>
          <w:tcPr>
            <w:tcW w:w="0" w:type="auto"/>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6B3F82" w14:paraId="7739BAD2" w14:textId="77777777" w:rsidTr="00605D60">
        <w:trPr>
          <w:tblCellSpacing w:w="15" w:type="dxa"/>
        </w:trPr>
        <w:tc>
          <w:tcPr>
            <w:tcW w:w="0" w:type="auto"/>
            <w:shd w:val="clear" w:color="auto" w:fill="auto"/>
            <w:vAlign w:val="center"/>
          </w:tcPr>
          <w:p w14:paraId="719C89BF" w14:textId="77777777" w:rsidR="006B3F82" w:rsidRDefault="006B3F82"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605D60">
        <w:trPr>
          <w:tblCellSpacing w:w="15" w:type="dxa"/>
        </w:trPr>
        <w:tc>
          <w:tcPr>
            <w:tcW w:w="0" w:type="auto"/>
            <w:shd w:val="clear" w:color="auto" w:fill="auto"/>
            <w:vAlign w:val="center"/>
          </w:tcPr>
          <w:p w14:paraId="7CC0F0B6"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605D60">
        <w:trPr>
          <w:tblCellSpacing w:w="15" w:type="dxa"/>
        </w:trPr>
        <w:tc>
          <w:tcPr>
            <w:tcW w:w="0" w:type="auto"/>
            <w:shd w:val="clear" w:color="auto" w:fill="auto"/>
            <w:vAlign w:val="center"/>
          </w:tcPr>
          <w:p w14:paraId="7FEE73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605D60">
        <w:trPr>
          <w:tblCellSpacing w:w="15" w:type="dxa"/>
        </w:trPr>
        <w:tc>
          <w:tcPr>
            <w:tcW w:w="0" w:type="auto"/>
            <w:shd w:val="clear" w:color="auto" w:fill="auto"/>
            <w:vAlign w:val="center"/>
          </w:tcPr>
          <w:p w14:paraId="38E05D37"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605D60">
        <w:trPr>
          <w:tblCellSpacing w:w="15" w:type="dxa"/>
        </w:trPr>
        <w:tc>
          <w:tcPr>
            <w:tcW w:w="0" w:type="auto"/>
            <w:shd w:val="clear" w:color="auto" w:fill="auto"/>
            <w:vAlign w:val="center"/>
          </w:tcPr>
          <w:p w14:paraId="06F5A3A7"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605D60">
        <w:trPr>
          <w:tblCellSpacing w:w="15" w:type="dxa"/>
        </w:trPr>
        <w:tc>
          <w:tcPr>
            <w:tcW w:w="0" w:type="auto"/>
            <w:shd w:val="clear" w:color="auto" w:fill="auto"/>
            <w:vAlign w:val="center"/>
          </w:tcPr>
          <w:p w14:paraId="3C2C879C" w14:textId="77777777" w:rsidR="006B3F82" w:rsidRDefault="006B3F82" w:rsidP="00605D60">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0" w:type="auto"/>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605D60">
        <w:trPr>
          <w:tblCellSpacing w:w="15" w:type="dxa"/>
        </w:trPr>
        <w:tc>
          <w:tcPr>
            <w:tcW w:w="0" w:type="auto"/>
            <w:shd w:val="clear" w:color="auto" w:fill="auto"/>
            <w:vAlign w:val="center"/>
          </w:tcPr>
          <w:p w14:paraId="1B054106" w14:textId="77777777" w:rsidR="006B3F82" w:rsidRDefault="006B3F82" w:rsidP="00605D60">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0" w:type="auto"/>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605D60">
        <w:trPr>
          <w:tblCellSpacing w:w="15" w:type="dxa"/>
        </w:trPr>
        <w:tc>
          <w:tcPr>
            <w:tcW w:w="0" w:type="auto"/>
            <w:shd w:val="clear" w:color="auto" w:fill="auto"/>
            <w:vAlign w:val="center"/>
          </w:tcPr>
          <w:p w14:paraId="4E9A1C4F" w14:textId="77777777" w:rsidR="006B3F82" w:rsidRDefault="006B3F82" w:rsidP="00605D60">
            <w:pPr>
              <w:rPr>
                <w:rFonts w:ascii="Verdana" w:hAnsi="Verdana"/>
              </w:rPr>
            </w:pPr>
            <w:proofErr w:type="spellStart"/>
            <w:r>
              <w:rPr>
                <w:rFonts w:ascii="Verdana" w:hAnsi="Verdana"/>
              </w:rPr>
              <w:t>txp</w:t>
            </w:r>
            <w:proofErr w:type="spellEnd"/>
          </w:p>
        </w:tc>
        <w:tc>
          <w:tcPr>
            <w:tcW w:w="0" w:type="auto"/>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605D60">
        <w:trPr>
          <w:tblCellSpacing w:w="15" w:type="dxa"/>
        </w:trPr>
        <w:tc>
          <w:tcPr>
            <w:tcW w:w="0" w:type="auto"/>
            <w:shd w:val="clear" w:color="auto" w:fill="auto"/>
            <w:vAlign w:val="center"/>
          </w:tcPr>
          <w:p w14:paraId="791C3444" w14:textId="77777777" w:rsidR="006B3F82" w:rsidRDefault="006B3F82" w:rsidP="00605D60">
            <w:pPr>
              <w:rPr>
                <w:rFonts w:ascii="Verdana" w:hAnsi="Verdana"/>
              </w:rPr>
            </w:pPr>
            <w:proofErr w:type="spellStart"/>
            <w:r>
              <w:rPr>
                <w:rFonts w:ascii="Verdana" w:hAnsi="Verdana"/>
              </w:rPr>
              <w:t>txg</w:t>
            </w:r>
            <w:proofErr w:type="spellEnd"/>
          </w:p>
        </w:tc>
        <w:tc>
          <w:tcPr>
            <w:tcW w:w="0" w:type="auto"/>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t>RequesterReconnectTimer</w:t>
      </w:r>
      <w:proofErr w:type="spellEnd"/>
    </w:p>
    <w:p w14:paraId="045C5090" w14:textId="4FE2B15A" w:rsidR="006B3F82" w:rsidRDefault="006B3F82" w:rsidP="006B3F82">
      <w:pPr>
        <w:pStyle w:val="NormalWeb"/>
      </w:pPr>
      <w:r>
        <w:t xml:space="preserve">Special version of Requester, with reconnect timer logic. 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t>
      </w:r>
      <w:r w:rsidR="00F105FB">
        <w:lastRenderedPageBreak/>
        <w:t xml:space="preserve">with primary and secondary queue managers used to send messages to (optionally more if using a </w:t>
      </w:r>
      <w:proofErr w:type="spellStart"/>
      <w:r w:rsidR="00F105FB">
        <w:t>ccdt</w:t>
      </w:r>
      <w:proofErr w:type="spellEnd"/>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6B3F82" w14:paraId="4B0C1042" w14:textId="77777777" w:rsidTr="00605D60">
        <w:trPr>
          <w:tblCellSpacing w:w="15" w:type="dxa"/>
        </w:trPr>
        <w:tc>
          <w:tcPr>
            <w:tcW w:w="0" w:type="auto"/>
            <w:shd w:val="clear" w:color="auto" w:fill="auto"/>
            <w:vAlign w:val="center"/>
          </w:tcPr>
          <w:p w14:paraId="648B4534" w14:textId="77777777" w:rsidR="006B3F82" w:rsidRDefault="006B3F82"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605D60">
        <w:trPr>
          <w:tblCellSpacing w:w="15" w:type="dxa"/>
        </w:trPr>
        <w:tc>
          <w:tcPr>
            <w:tcW w:w="0" w:type="auto"/>
            <w:shd w:val="clear" w:color="auto" w:fill="auto"/>
            <w:vAlign w:val="center"/>
          </w:tcPr>
          <w:p w14:paraId="28D89D1A"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605D60">
        <w:trPr>
          <w:tblCellSpacing w:w="15" w:type="dxa"/>
        </w:trPr>
        <w:tc>
          <w:tcPr>
            <w:tcW w:w="0" w:type="auto"/>
            <w:shd w:val="clear" w:color="auto" w:fill="auto"/>
            <w:vAlign w:val="center"/>
          </w:tcPr>
          <w:p w14:paraId="5C880C68" w14:textId="77777777" w:rsidR="006B3F82" w:rsidRDefault="006B3F82" w:rsidP="00605D60">
            <w:pPr>
              <w:rPr>
                <w:rFonts w:ascii="Verdana" w:hAnsi="Verdana"/>
              </w:rPr>
            </w:pPr>
            <w:r>
              <w:rPr>
                <w:rFonts w:ascii="Verdana" w:hAnsi="Verdana"/>
              </w:rPr>
              <w:t>cs</w:t>
            </w:r>
          </w:p>
        </w:tc>
        <w:tc>
          <w:tcPr>
            <w:tcW w:w="0" w:type="auto"/>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605D60">
        <w:trPr>
          <w:tblCellSpacing w:w="15" w:type="dxa"/>
        </w:trPr>
        <w:tc>
          <w:tcPr>
            <w:tcW w:w="0" w:type="auto"/>
            <w:shd w:val="clear" w:color="auto" w:fill="auto"/>
            <w:vAlign w:val="center"/>
          </w:tcPr>
          <w:p w14:paraId="44F19CB6"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605D60">
        <w:trPr>
          <w:tblCellSpacing w:w="15" w:type="dxa"/>
        </w:trPr>
        <w:tc>
          <w:tcPr>
            <w:tcW w:w="0" w:type="auto"/>
            <w:shd w:val="clear" w:color="auto" w:fill="auto"/>
            <w:vAlign w:val="center"/>
          </w:tcPr>
          <w:p w14:paraId="4C164491"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605D60">
        <w:trPr>
          <w:tblCellSpacing w:w="15" w:type="dxa"/>
        </w:trPr>
        <w:tc>
          <w:tcPr>
            <w:tcW w:w="0" w:type="auto"/>
            <w:shd w:val="clear" w:color="auto" w:fill="auto"/>
            <w:vAlign w:val="center"/>
          </w:tcPr>
          <w:p w14:paraId="6C7C14A2" w14:textId="539D6ACC" w:rsidR="006B3F82" w:rsidRDefault="006B3F82" w:rsidP="006B3F82">
            <w:pPr>
              <w:rPr>
                <w:rFonts w:ascii="Verdana" w:hAnsi="Verdana"/>
              </w:rPr>
            </w:pPr>
            <w:r>
              <w:rPr>
                <w:rFonts w:ascii="Verdana" w:hAnsi="Verdana"/>
              </w:rPr>
              <w:t>h2</w:t>
            </w:r>
          </w:p>
        </w:tc>
        <w:tc>
          <w:tcPr>
            <w:tcW w:w="0" w:type="auto"/>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605D60">
        <w:trPr>
          <w:tblCellSpacing w:w="15" w:type="dxa"/>
        </w:trPr>
        <w:tc>
          <w:tcPr>
            <w:tcW w:w="0" w:type="auto"/>
            <w:shd w:val="clear" w:color="auto" w:fill="auto"/>
            <w:vAlign w:val="center"/>
          </w:tcPr>
          <w:p w14:paraId="705CBBB0" w14:textId="77777777" w:rsidR="006B3F82" w:rsidRDefault="006B3F82" w:rsidP="006B3F8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0" w:type="auto"/>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605D60">
        <w:trPr>
          <w:tblCellSpacing w:w="15" w:type="dxa"/>
        </w:trPr>
        <w:tc>
          <w:tcPr>
            <w:tcW w:w="0" w:type="auto"/>
            <w:shd w:val="clear" w:color="auto" w:fill="auto"/>
            <w:vAlign w:val="center"/>
          </w:tcPr>
          <w:p w14:paraId="2B4FD303" w14:textId="77777777" w:rsidR="006B3F82" w:rsidRDefault="006B3F82" w:rsidP="006B3F8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0" w:type="auto"/>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605D60">
        <w:trPr>
          <w:tblCellSpacing w:w="15" w:type="dxa"/>
        </w:trPr>
        <w:tc>
          <w:tcPr>
            <w:tcW w:w="0" w:type="auto"/>
            <w:shd w:val="clear" w:color="auto" w:fill="auto"/>
            <w:vAlign w:val="center"/>
          </w:tcPr>
          <w:p w14:paraId="0FFF77DE" w14:textId="3C7AEB62" w:rsidR="006B3F82" w:rsidRDefault="006B3F82" w:rsidP="006B3F82">
            <w:pPr>
              <w:rPr>
                <w:rFonts w:ascii="Verdana" w:hAnsi="Verdana"/>
              </w:rPr>
            </w:pPr>
            <w:r>
              <w:rPr>
                <w:rFonts w:ascii="Verdana" w:hAnsi="Verdana"/>
              </w:rPr>
              <w:t>p2</w:t>
            </w:r>
          </w:p>
        </w:tc>
        <w:tc>
          <w:tcPr>
            <w:tcW w:w="0" w:type="auto"/>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0" w:type="auto"/>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605D60">
        <w:trPr>
          <w:tblCellSpacing w:w="15" w:type="dxa"/>
        </w:trPr>
        <w:tc>
          <w:tcPr>
            <w:tcW w:w="0" w:type="auto"/>
            <w:shd w:val="clear" w:color="auto" w:fill="auto"/>
            <w:vAlign w:val="center"/>
          </w:tcPr>
          <w:p w14:paraId="747E0C5F" w14:textId="77777777" w:rsidR="006B3F82" w:rsidRDefault="006B3F82" w:rsidP="006B3F82">
            <w:pPr>
              <w:rPr>
                <w:rFonts w:ascii="Verdana" w:hAnsi="Verdana"/>
              </w:rPr>
            </w:pPr>
            <w:proofErr w:type="spellStart"/>
            <w:r>
              <w:rPr>
                <w:rFonts w:ascii="Verdana" w:hAnsi="Verdana"/>
              </w:rPr>
              <w:t>txp</w:t>
            </w:r>
            <w:proofErr w:type="spellEnd"/>
          </w:p>
        </w:tc>
        <w:tc>
          <w:tcPr>
            <w:tcW w:w="0" w:type="auto"/>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605D60">
        <w:trPr>
          <w:tblCellSpacing w:w="15" w:type="dxa"/>
        </w:trPr>
        <w:tc>
          <w:tcPr>
            <w:tcW w:w="0" w:type="auto"/>
            <w:shd w:val="clear" w:color="auto" w:fill="auto"/>
            <w:vAlign w:val="center"/>
          </w:tcPr>
          <w:p w14:paraId="33BEDD32" w14:textId="77777777" w:rsidR="006B3F82" w:rsidRDefault="006B3F82" w:rsidP="006B3F82">
            <w:pPr>
              <w:rPr>
                <w:rFonts w:ascii="Verdana" w:hAnsi="Verdana"/>
              </w:rPr>
            </w:pPr>
            <w:proofErr w:type="spellStart"/>
            <w:r>
              <w:rPr>
                <w:rFonts w:ascii="Verdana" w:hAnsi="Verdana"/>
              </w:rPr>
              <w:t>txg</w:t>
            </w:r>
            <w:proofErr w:type="spellEnd"/>
          </w:p>
        </w:tc>
        <w:tc>
          <w:tcPr>
            <w:tcW w:w="0" w:type="auto"/>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lastRenderedPageBreak/>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r>
              <w:rPr>
                <w:rFonts w:ascii="Verdana" w:hAnsi="Verdana"/>
              </w:rPr>
              <w:t>cs</w:t>
            </w:r>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0"/>
        <w:gridCol w:w="2918"/>
        <w:gridCol w:w="4788"/>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934EE6">
        <w:trPr>
          <w:tblCellSpacing w:w="15" w:type="dxa"/>
        </w:trPr>
        <w:tc>
          <w:tcPr>
            <w:tcW w:w="0" w:type="auto"/>
            <w:shd w:val="clear" w:color="auto" w:fill="auto"/>
            <w:vAlign w:val="center"/>
          </w:tcPr>
          <w:p w14:paraId="68D9FCAF" w14:textId="785836E6" w:rsidR="00FF5890" w:rsidRDefault="00FF5890">
            <w:pPr>
              <w:rPr>
                <w:rFonts w:ascii="Verdana" w:hAnsi="Verdana"/>
              </w:rPr>
            </w:pPr>
            <w:r>
              <w:rPr>
                <w:rFonts w:ascii="Verdana" w:hAnsi="Verdana"/>
              </w:rPr>
              <w:t>an</w:t>
            </w:r>
          </w:p>
        </w:tc>
        <w:tc>
          <w:tcPr>
            <w:tcW w:w="2888" w:type="dxa"/>
          </w:tcPr>
          <w:p w14:paraId="0DBFA39D" w14:textId="34CB6E7F" w:rsidR="00FF5890" w:rsidRDefault="00FF5890">
            <w:pPr>
              <w:rPr>
                <w:rFonts w:ascii="Verdana" w:hAnsi="Verdana"/>
              </w:rPr>
            </w:pPr>
            <w:r>
              <w:rPr>
                <w:rFonts w:ascii="Verdana" w:hAnsi="Verdana"/>
              </w:rPr>
              <w:t>null</w:t>
            </w:r>
          </w:p>
        </w:tc>
        <w:tc>
          <w:tcPr>
            <w:tcW w:w="4764" w:type="dxa"/>
            <w:shd w:val="clear" w:color="auto" w:fill="auto"/>
            <w:vAlign w:val="center"/>
          </w:tcPr>
          <w:p w14:paraId="0BF46FF1" w14:textId="29B0A36B" w:rsidR="00FF5890" w:rsidRDefault="00FF5890">
            <w:pPr>
              <w:rPr>
                <w:rFonts w:ascii="Verdana" w:hAnsi="Verdana"/>
              </w:rPr>
            </w:pPr>
            <w:r>
              <w:rPr>
                <w:rFonts w:ascii="Verdana" w:hAnsi="Verdana"/>
              </w:rPr>
              <w:t xml:space="preserve">Set </w:t>
            </w:r>
            <w:proofErr w:type="spellStart"/>
            <w:r>
              <w:rPr>
                <w:rFonts w:ascii="Verdana" w:hAnsi="Verdana"/>
              </w:rPr>
              <w:t>ApplName</w:t>
            </w:r>
            <w:proofErr w:type="spellEnd"/>
            <w:r>
              <w:rPr>
                <w:rFonts w:ascii="Verdana" w:hAnsi="Verdana"/>
              </w:rPr>
              <w:t xml:space="preserve"> in the MQCNO (displayed as the APPLTAG value in MQSC (DIS CONN(*) ALL). A null value will result in an APPLTAG of ‘</w:t>
            </w:r>
            <w:proofErr w:type="spellStart"/>
            <w:r>
              <w:rPr>
                <w:rFonts w:ascii="Verdana" w:hAnsi="Verdana"/>
              </w:rPr>
              <w:t>cph</w:t>
            </w:r>
            <w:proofErr w:type="spellEnd"/>
            <w:r>
              <w:rPr>
                <w:rFonts w:ascii="Verdana" w:hAnsi="Verdana"/>
              </w:rPr>
              <w:t xml:space="preserve">’ being set by MQ. You can use this to start different uniform cluster </w:t>
            </w:r>
            <w:proofErr w:type="spellStart"/>
            <w:r>
              <w:rPr>
                <w:rFonts w:ascii="Verdana" w:hAnsi="Verdana"/>
              </w:rPr>
              <w:t>appl</w:t>
            </w:r>
            <w:proofErr w:type="spellEnd"/>
            <w:r>
              <w:rPr>
                <w:rFonts w:ascii="Verdana" w:hAnsi="Verdana"/>
              </w:rPr>
              <w:t xml:space="preserve"> groups by starting multiple </w:t>
            </w:r>
            <w:proofErr w:type="spellStart"/>
            <w:r>
              <w:rPr>
                <w:rFonts w:ascii="Verdana" w:hAnsi="Verdana"/>
              </w:rPr>
              <w:t>mq-cph</w:t>
            </w:r>
            <w:proofErr w:type="spellEnd"/>
            <w:r>
              <w:rPr>
                <w:rFonts w:ascii="Verdana" w:hAnsi="Verdana"/>
              </w:rPr>
              <w:t xml:space="preserve"> processes each with their own unique APPLTAG</w:t>
            </w:r>
            <w:r w:rsidR="00382249">
              <w:rPr>
                <w:rFonts w:ascii="Verdana" w:hAnsi="Verdana"/>
              </w:rPr>
              <w:t xml:space="preserve"> used by its threads.</w:t>
            </w:r>
          </w:p>
        </w:tc>
      </w:tr>
      <w:tr w:rsidR="001163E2" w14:paraId="16F661E8" w14:textId="77777777" w:rsidTr="00934EE6">
        <w:trPr>
          <w:tblCellSpacing w:w="15" w:type="dxa"/>
        </w:trPr>
        <w:tc>
          <w:tcPr>
            <w:tcW w:w="0" w:type="auto"/>
            <w:shd w:val="clear" w:color="auto" w:fill="auto"/>
            <w:vAlign w:val="center"/>
          </w:tcPr>
          <w:p w14:paraId="5C17EC95" w14:textId="5C9F63D1" w:rsidR="001163E2" w:rsidRDefault="001163E2">
            <w:pPr>
              <w:rPr>
                <w:rFonts w:ascii="Verdana" w:hAnsi="Verdana"/>
              </w:rPr>
            </w:pPr>
            <w:proofErr w:type="spellStart"/>
            <w:r>
              <w:rPr>
                <w:rFonts w:ascii="Verdana" w:hAnsi="Verdana"/>
              </w:rPr>
              <w:lastRenderedPageBreak/>
              <w:t>ar</w:t>
            </w:r>
            <w:proofErr w:type="spellEnd"/>
          </w:p>
        </w:tc>
        <w:tc>
          <w:tcPr>
            <w:tcW w:w="2888" w:type="dxa"/>
          </w:tcPr>
          <w:p w14:paraId="1CDBE912" w14:textId="3A8610DF" w:rsidR="001163E2" w:rsidRDefault="00605D60">
            <w:pPr>
              <w:rPr>
                <w:rFonts w:ascii="Verdana" w:hAnsi="Verdana"/>
              </w:rPr>
            </w:pPr>
            <w:r>
              <w:rPr>
                <w:rFonts w:ascii="Verdana" w:hAnsi="Verdana"/>
              </w:rPr>
              <w:t>null</w:t>
            </w:r>
          </w:p>
        </w:tc>
        <w:tc>
          <w:tcPr>
            <w:tcW w:w="4764" w:type="dxa"/>
            <w:shd w:val="clear" w:color="auto" w:fill="auto"/>
            <w:vAlign w:val="center"/>
          </w:tcPr>
          <w:p w14:paraId="370ADC53" w14:textId="2C14F077" w:rsidR="00605D60" w:rsidRDefault="001163E2">
            <w:pPr>
              <w:rPr>
                <w:rFonts w:ascii="Verdana" w:hAnsi="Verdana"/>
              </w:rPr>
            </w:pPr>
            <w:r>
              <w:rPr>
                <w:rFonts w:ascii="Verdana" w:hAnsi="Verdana"/>
              </w:rPr>
              <w:t xml:space="preserve">Enable client </w:t>
            </w:r>
            <w:proofErr w:type="gramStart"/>
            <w:r>
              <w:rPr>
                <w:rFonts w:ascii="Verdana" w:hAnsi="Verdana"/>
              </w:rPr>
              <w:t>auto-reconnect</w:t>
            </w:r>
            <w:proofErr w:type="gramEnd"/>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 xml:space="preserve">Any option other than null (the default) or MQCNO_RECONNECT_DISABLED will require a </w:t>
            </w:r>
            <w:proofErr w:type="spellStart"/>
            <w:r w:rsidRPr="00605D60">
              <w:rPr>
                <w:rFonts w:ascii="Verdana" w:hAnsi="Verdana"/>
              </w:rPr>
              <w:t>ccdt</w:t>
            </w:r>
            <w:proofErr w:type="spellEnd"/>
            <w:r w:rsidRPr="00605D60">
              <w:rPr>
                <w:rFonts w:ascii="Verdana" w:hAnsi="Verdana"/>
              </w:rPr>
              <w:t xml:space="preserve"> to be used.</w:t>
            </w:r>
          </w:p>
          <w:p w14:paraId="7060D7FD" w14:textId="77777777" w:rsidR="001163E2" w:rsidRDefault="00704F71">
            <w:pPr>
              <w:rPr>
                <w:rFonts w:ascii="Verdana" w:hAnsi="Verdana"/>
              </w:rPr>
            </w:pPr>
            <w:r>
              <w:rPr>
                <w:rFonts w:ascii="Verdana" w:hAnsi="Verdana"/>
              </w:rPr>
              <w:t xml:space="preserve">Any MQ errors triggered by switching over a queue manager are currently not handled in </w:t>
            </w:r>
            <w:proofErr w:type="spellStart"/>
            <w:r>
              <w:rPr>
                <w:rFonts w:ascii="Verdana" w:hAnsi="Verdana"/>
              </w:rPr>
              <w:t>mq-cph</w:t>
            </w:r>
            <w:proofErr w:type="spellEnd"/>
            <w:r>
              <w:rPr>
                <w:rFonts w:ascii="Verdana" w:hAnsi="Verdana"/>
              </w:rPr>
              <w:t>, so may cause threads to stop</w:t>
            </w:r>
            <w:r w:rsidR="00BD1E7D">
              <w:rPr>
                <w:rFonts w:ascii="Verdana" w:hAnsi="Verdana"/>
              </w:rPr>
              <w:t xml:space="preserve">.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934EE6">
        <w:trPr>
          <w:tblCellSpacing w:w="15" w:type="dxa"/>
        </w:trPr>
        <w:tc>
          <w:tcPr>
            <w:tcW w:w="0" w:type="auto"/>
            <w:shd w:val="clear" w:color="auto" w:fill="auto"/>
            <w:vAlign w:val="center"/>
          </w:tcPr>
          <w:p w14:paraId="0BA36E5A" w14:textId="437DF0EF" w:rsidR="00BA2FBE" w:rsidRDefault="00BA2FBE">
            <w:pPr>
              <w:rPr>
                <w:rFonts w:ascii="Verdana" w:hAnsi="Verdana"/>
              </w:rPr>
            </w:pPr>
            <w:proofErr w:type="spellStart"/>
            <w:r>
              <w:rPr>
                <w:rFonts w:ascii="Verdana" w:hAnsi="Verdana"/>
              </w:rPr>
              <w:t>ccdt</w:t>
            </w:r>
            <w:proofErr w:type="spellEnd"/>
          </w:p>
        </w:tc>
        <w:tc>
          <w:tcPr>
            <w:tcW w:w="2888" w:type="dxa"/>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64"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lastRenderedPageBreak/>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 xml:space="preserve">a lot of thread switching. For this </w:t>
            </w:r>
            <w:proofErr w:type="gramStart"/>
            <w:r w:rsidRPr="00934EE6">
              <w:rPr>
                <w:rFonts w:ascii="Verdana" w:hAnsi="Verdana"/>
              </w:rPr>
              <w:t>reason</w:t>
            </w:r>
            <w:proofErr w:type="gramEnd"/>
            <w:r w:rsidRPr="00934EE6">
              <w:rPr>
                <w:rFonts w:ascii="Verdana" w:hAnsi="Verdana"/>
              </w:rPr>
              <w:t xml:space="preserve">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934EE6">
        <w:trPr>
          <w:tblCellSpacing w:w="15" w:type="dxa"/>
        </w:trPr>
        <w:tc>
          <w:tcPr>
            <w:tcW w:w="0" w:type="auto"/>
            <w:shd w:val="clear" w:color="auto" w:fill="auto"/>
            <w:vAlign w:val="center"/>
          </w:tcPr>
          <w:p w14:paraId="3D03B3D7" w14:textId="6E3FA5F4" w:rsidR="000B6373" w:rsidRDefault="000B6373">
            <w:pPr>
              <w:rPr>
                <w:rFonts w:ascii="Verdana" w:hAnsi="Verdana"/>
              </w:rPr>
            </w:pPr>
            <w:proofErr w:type="spellStart"/>
            <w:r>
              <w:rPr>
                <w:rFonts w:ascii="Verdana" w:hAnsi="Verdana"/>
              </w:rPr>
              <w:t>mr</w:t>
            </w:r>
            <w:proofErr w:type="spellEnd"/>
          </w:p>
        </w:tc>
        <w:tc>
          <w:tcPr>
            <w:tcW w:w="2888" w:type="dxa"/>
          </w:tcPr>
          <w:p w14:paraId="52171832" w14:textId="33D2BB38" w:rsidR="000B6373" w:rsidRDefault="000B6373">
            <w:pPr>
              <w:rPr>
                <w:rFonts w:ascii="Verdana" w:hAnsi="Verdana"/>
              </w:rPr>
            </w:pPr>
            <w:r>
              <w:rPr>
                <w:rFonts w:ascii="Verdana" w:hAnsi="Verdana"/>
              </w:rPr>
              <w:t>false</w:t>
            </w:r>
          </w:p>
        </w:tc>
        <w:tc>
          <w:tcPr>
            <w:tcW w:w="4764" w:type="dxa"/>
            <w:shd w:val="clear" w:color="auto" w:fill="auto"/>
            <w:vAlign w:val="center"/>
          </w:tcPr>
          <w:p w14:paraId="5B080EE1" w14:textId="6A473F1C" w:rsidR="000B6373" w:rsidRPr="00A0541B" w:rsidRDefault="000B6373">
            <w:pPr>
              <w:rPr>
                <w:rFonts w:ascii="Verdana" w:hAnsi="Verdana"/>
              </w:rPr>
            </w:pPr>
            <w:r>
              <w:rPr>
                <w:rFonts w:ascii="Verdana" w:hAnsi="Verdana"/>
              </w:rPr>
              <w:t>Randomise data in message (repeats every 57 bytes by default).</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r>
              <w:rPr>
                <w:rFonts w:ascii="Verdana" w:hAnsi="Verdana"/>
              </w:rPr>
              <w:t xml:space="preserve">rf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w:t>
            </w:r>
            <w:r>
              <w:rPr>
                <w:rFonts w:ascii="Verdana" w:hAnsi="Verdana"/>
              </w:rPr>
              <w:lastRenderedPageBreak/>
              <w:t xml:space="preserve">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lastRenderedPageBreak/>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lastRenderedPageBreak/>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br/>
      </w:r>
      <w:proofErr w:type="spellStart"/>
      <w:r>
        <w:rPr>
          <w:rFonts w:ascii="Verdana" w:hAnsi="Verdana"/>
        </w:rPr>
        <w:t>ReconnectTimer</w:t>
      </w:r>
      <w:proofErr w:type="spellEnd"/>
    </w:p>
    <w:p w14:paraId="37F36596" w14:textId="322FF3E7" w:rsidR="00BA50E3" w:rsidRDefault="00BA50E3" w:rsidP="00BA50E3">
      <w:pPr>
        <w:pStyle w:val="NormalWeb"/>
      </w:pPr>
      <w:r>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BA50E3" w14:paraId="2DEE108F" w14:textId="77777777" w:rsidTr="00BA50E3">
        <w:trPr>
          <w:tblCellSpacing w:w="15" w:type="dxa"/>
        </w:trPr>
        <w:tc>
          <w:tcPr>
            <w:tcW w:w="0" w:type="auto"/>
            <w:shd w:val="clear" w:color="auto" w:fill="auto"/>
            <w:vAlign w:val="center"/>
          </w:tcPr>
          <w:p w14:paraId="4EC89411" w14:textId="77777777" w:rsidR="00BA50E3" w:rsidRDefault="00BA50E3" w:rsidP="00BA50E3">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BA50E3">
        <w:trPr>
          <w:tblCellSpacing w:w="15" w:type="dxa"/>
        </w:trPr>
        <w:tc>
          <w:tcPr>
            <w:tcW w:w="0" w:type="auto"/>
            <w:shd w:val="clear" w:color="auto" w:fill="auto"/>
            <w:vAlign w:val="center"/>
          </w:tcPr>
          <w:p w14:paraId="20FE0BBA" w14:textId="77777777" w:rsidR="00BA50E3" w:rsidRDefault="00BA50E3" w:rsidP="00BA50E3">
            <w:pPr>
              <w:rPr>
                <w:rFonts w:ascii="Verdana" w:hAnsi="Verdana"/>
              </w:rPr>
            </w:pPr>
            <w:r>
              <w:rPr>
                <w:rFonts w:ascii="Verdana" w:hAnsi="Verdana"/>
              </w:rPr>
              <w:t xml:space="preserve">co </w:t>
            </w:r>
          </w:p>
        </w:tc>
        <w:tc>
          <w:tcPr>
            <w:tcW w:w="0" w:type="auto"/>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0" w:type="auto"/>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BA50E3">
        <w:trPr>
          <w:tblCellSpacing w:w="15" w:type="dxa"/>
        </w:trPr>
        <w:tc>
          <w:tcPr>
            <w:tcW w:w="0" w:type="auto"/>
            <w:shd w:val="clear" w:color="auto" w:fill="auto"/>
            <w:vAlign w:val="center"/>
          </w:tcPr>
          <w:p w14:paraId="6F0C3F39" w14:textId="77777777" w:rsidR="00BA50E3" w:rsidRDefault="00BA50E3" w:rsidP="00BA50E3">
            <w:pPr>
              <w:rPr>
                <w:rFonts w:ascii="Verdana" w:hAnsi="Verdana"/>
              </w:rPr>
            </w:pPr>
            <w:r>
              <w:rPr>
                <w:rFonts w:ascii="Verdana" w:hAnsi="Verdana"/>
              </w:rPr>
              <w:t>cs</w:t>
            </w:r>
          </w:p>
        </w:tc>
        <w:tc>
          <w:tcPr>
            <w:tcW w:w="0" w:type="auto"/>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BA50E3">
        <w:trPr>
          <w:tblCellSpacing w:w="15" w:type="dxa"/>
        </w:trPr>
        <w:tc>
          <w:tcPr>
            <w:tcW w:w="0" w:type="auto"/>
            <w:shd w:val="clear" w:color="auto" w:fill="auto"/>
            <w:vAlign w:val="center"/>
          </w:tcPr>
          <w:p w14:paraId="7116B299" w14:textId="77777777" w:rsidR="00BA50E3" w:rsidRDefault="00BA50E3" w:rsidP="00BA50E3">
            <w:pPr>
              <w:rPr>
                <w:rFonts w:ascii="Verdana" w:hAnsi="Verdana"/>
              </w:rPr>
            </w:pPr>
            <w:proofErr w:type="spellStart"/>
            <w:r>
              <w:rPr>
                <w:rFonts w:ascii="Verdana" w:hAnsi="Verdana"/>
              </w:rPr>
              <w:t>gs</w:t>
            </w:r>
            <w:proofErr w:type="spellEnd"/>
          </w:p>
        </w:tc>
        <w:tc>
          <w:tcPr>
            <w:tcW w:w="0" w:type="auto"/>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0" w:type="auto"/>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BA50E3">
        <w:trPr>
          <w:tblCellSpacing w:w="15" w:type="dxa"/>
        </w:trPr>
        <w:tc>
          <w:tcPr>
            <w:tcW w:w="0" w:type="auto"/>
            <w:shd w:val="clear" w:color="auto" w:fill="auto"/>
            <w:vAlign w:val="center"/>
          </w:tcPr>
          <w:p w14:paraId="13C97F13" w14:textId="77777777" w:rsidR="00BA50E3" w:rsidRDefault="00BA50E3" w:rsidP="00BA50E3">
            <w:pPr>
              <w:rPr>
                <w:rFonts w:ascii="Verdana" w:hAnsi="Verdana"/>
              </w:rPr>
            </w:pPr>
            <w:proofErr w:type="spellStart"/>
            <w:r>
              <w:rPr>
                <w:rFonts w:ascii="Verdana" w:hAnsi="Verdana"/>
              </w:rPr>
              <w:t>txp</w:t>
            </w:r>
            <w:proofErr w:type="spellEnd"/>
          </w:p>
        </w:tc>
        <w:tc>
          <w:tcPr>
            <w:tcW w:w="0" w:type="auto"/>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0" w:type="auto"/>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BA50E3">
        <w:trPr>
          <w:tblCellSpacing w:w="15" w:type="dxa"/>
        </w:trPr>
        <w:tc>
          <w:tcPr>
            <w:tcW w:w="0" w:type="auto"/>
            <w:shd w:val="clear" w:color="auto" w:fill="auto"/>
            <w:vAlign w:val="center"/>
          </w:tcPr>
          <w:p w14:paraId="1B5D645A" w14:textId="77777777" w:rsidR="00BA50E3" w:rsidRDefault="00BA50E3" w:rsidP="00BA50E3">
            <w:pPr>
              <w:rPr>
                <w:rFonts w:ascii="Verdana" w:hAnsi="Verdana"/>
              </w:rPr>
            </w:pPr>
            <w:proofErr w:type="spellStart"/>
            <w:r>
              <w:rPr>
                <w:rFonts w:ascii="Verdana" w:hAnsi="Verdana"/>
              </w:rPr>
              <w:t>txg</w:t>
            </w:r>
            <w:proofErr w:type="spellEnd"/>
          </w:p>
        </w:tc>
        <w:tc>
          <w:tcPr>
            <w:tcW w:w="0" w:type="auto"/>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37952927"/>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37952928"/>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37952929"/>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37952930"/>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3D9CE" w14:textId="77777777" w:rsidR="009C0430" w:rsidRDefault="009C0430">
      <w:r>
        <w:separator/>
      </w:r>
    </w:p>
  </w:endnote>
  <w:endnote w:type="continuationSeparator" w:id="0">
    <w:p w14:paraId="79DBEE26" w14:textId="77777777" w:rsidR="009C0430" w:rsidRDefault="009C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9403D" w14:textId="77777777" w:rsidR="009C0430" w:rsidRDefault="009C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01432" w14:textId="77777777" w:rsidR="009C0430" w:rsidRDefault="009C0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AB31" w14:textId="77777777" w:rsidR="009C0430" w:rsidRDefault="009C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94AD1" w14:textId="77777777" w:rsidR="009C0430" w:rsidRDefault="009C0430">
      <w:r>
        <w:separator/>
      </w:r>
    </w:p>
  </w:footnote>
  <w:footnote w:type="continuationSeparator" w:id="0">
    <w:p w14:paraId="14EBB742" w14:textId="77777777" w:rsidR="009C0430" w:rsidRDefault="009C0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8D65" w14:textId="77777777" w:rsidR="009C0430" w:rsidRDefault="009C0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E7FA" w14:textId="6755A947" w:rsidR="009C0430" w:rsidRPr="00CB28F1" w:rsidRDefault="009C043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B9272" w14:textId="77777777" w:rsidR="009C0430" w:rsidRDefault="009C0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74BC2"/>
    <w:rsid w:val="002977CE"/>
    <w:rsid w:val="002B0FCF"/>
    <w:rsid w:val="002D04A9"/>
    <w:rsid w:val="003065FC"/>
    <w:rsid w:val="003430FD"/>
    <w:rsid w:val="00352ED5"/>
    <w:rsid w:val="00355FDC"/>
    <w:rsid w:val="0036625B"/>
    <w:rsid w:val="00382249"/>
    <w:rsid w:val="003B6022"/>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34B61"/>
    <w:rsid w:val="00934EE6"/>
    <w:rsid w:val="0094777B"/>
    <w:rsid w:val="00956C52"/>
    <w:rsid w:val="00960A5E"/>
    <w:rsid w:val="00963A12"/>
    <w:rsid w:val="0098116F"/>
    <w:rsid w:val="0098128F"/>
    <w:rsid w:val="00987253"/>
    <w:rsid w:val="009C0430"/>
    <w:rsid w:val="009C499C"/>
    <w:rsid w:val="009F222A"/>
    <w:rsid w:val="00A0541B"/>
    <w:rsid w:val="00A2649D"/>
    <w:rsid w:val="00A300F9"/>
    <w:rsid w:val="00A46FED"/>
    <w:rsid w:val="00A55CFD"/>
    <w:rsid w:val="00A902B7"/>
    <w:rsid w:val="00A92B9E"/>
    <w:rsid w:val="00A9766A"/>
    <w:rsid w:val="00AB1D09"/>
    <w:rsid w:val="00B50F1A"/>
    <w:rsid w:val="00B54229"/>
    <w:rsid w:val="00BA2FBE"/>
    <w:rsid w:val="00BA50E3"/>
    <w:rsid w:val="00BD1E7D"/>
    <w:rsid w:val="00BE1ED2"/>
    <w:rsid w:val="00CA053E"/>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304313352">
      <w:bodyDiv w:val="1"/>
      <w:marLeft w:val="0"/>
      <w:marRight w:val="0"/>
      <w:marTop w:val="0"/>
      <w:marBottom w:val="0"/>
      <w:divBdr>
        <w:top w:val="none" w:sz="0" w:space="0" w:color="auto"/>
        <w:left w:val="none" w:sz="0" w:space="0" w:color="auto"/>
        <w:bottom w:val="none" w:sz="0" w:space="0" w:color="auto"/>
        <w:right w:val="none" w:sz="0" w:space="0" w:color="auto"/>
      </w:divBdr>
      <w:divsChild>
        <w:div w:id="850070878">
          <w:marLeft w:val="0"/>
          <w:marRight w:val="0"/>
          <w:marTop w:val="0"/>
          <w:marBottom w:val="0"/>
          <w:divBdr>
            <w:top w:val="none" w:sz="0" w:space="0" w:color="auto"/>
            <w:left w:val="none" w:sz="0" w:space="0" w:color="auto"/>
            <w:bottom w:val="none" w:sz="0" w:space="0" w:color="auto"/>
            <w:right w:val="none" w:sz="0" w:space="0" w:color="auto"/>
          </w:divBdr>
          <w:divsChild>
            <w:div w:id="898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4817</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32853</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2021-04-21T13:50:00Z</dcterms:modified>
</cp:coreProperties>
</file>