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KnowFlow AI 系统架构与接口说明</w:t>
      </w:r>
    </w:p>
    <w:p>
      <w:pPr>
        <w:pStyle w:val="Heading1"/>
      </w:pPr>
      <w:r>
        <w:t>1. 项目定位</w:t>
      </w:r>
    </w:p>
    <w:p>
      <w:r>
        <w:t>KnowFlow AI 面向个人学习资料、项目文档和技术笔记管理场景，提供文档入库、语义检索、多轮问答和工具调用记录能力。系统不是单纯聊天页面，而是围绕知识库构建的智能工作台。</w:t>
      </w:r>
    </w:p>
    <w:p>
      <w:pPr>
        <w:pStyle w:val="Heading1"/>
      </w:pPr>
      <w:r>
        <w:t>2. 核心链路</w:t>
      </w:r>
    </w:p>
    <w:p>
      <w:pPr>
        <w:pStyle w:val="ListBullet"/>
      </w:pPr>
      <w:r>
        <w:t>用户上传 txt、md、pdf、docx、xlsx、pptx、html、json、csv 等文档。</w:t>
      </w:r>
    </w:p>
    <w:p>
      <w:pPr>
        <w:pStyle w:val="ListBullet"/>
      </w:pPr>
      <w:r>
        <w:t>后端计算文件 MD5，避免同一知识库重复入库。</w:t>
      </w:r>
    </w:p>
    <w:p>
      <w:pPr>
        <w:pStyle w:val="ListBullet"/>
      </w:pPr>
      <w:r>
        <w:t>文档解析后按 chunk size 与 overlap 切分，生成切片元数据。</w:t>
      </w:r>
    </w:p>
    <w:p>
      <w:pPr>
        <w:pStyle w:val="ListBullet"/>
      </w:pPr>
      <w:r>
        <w:t>Embedding 模型将切片向量化，向量写入 Chroma 或本地向量后端。</w:t>
      </w:r>
    </w:p>
    <w:p>
      <w:pPr>
        <w:pStyle w:val="ListBullet"/>
      </w:pPr>
      <w:r>
        <w:t>用户提问时按知识库范围检索 Top-K 片段，并把片段、会话历史和 Prompt 拼接后调用 Chat Model。</w:t>
      </w:r>
    </w:p>
    <w:p>
      <w:pPr>
        <w:pStyle w:val="ListBullet"/>
      </w:pPr>
      <w:r>
        <w:t>回答保存到会话消息表，引用片段保存到 message_reference 表，便于追溯来源。</w:t>
      </w:r>
    </w:p>
    <w:p>
      <w:pPr>
        <w:pStyle w:val="Heading1"/>
      </w:pPr>
      <w:r>
        <w:t>3. 数据存储边界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存储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典型数据</w:t>
            </w:r>
          </w:p>
        </w:tc>
      </w:tr>
      <w:tr>
        <w:tc>
          <w:tcPr>
            <w:tcW w:type="dxa" w:w="2880"/>
          </w:tcPr>
          <w:p>
            <w:r>
              <w:t>MySQL / SQLite</w:t>
            </w:r>
          </w:p>
        </w:tc>
        <w:tc>
          <w:tcPr>
            <w:tcW w:type="dxa" w:w="2880"/>
          </w:tcPr>
          <w:p>
            <w:r>
              <w:t>业务数据与状态</w:t>
            </w:r>
          </w:p>
        </w:tc>
        <w:tc>
          <w:tcPr>
            <w:tcW w:type="dxa" w:w="2880"/>
          </w:tcPr>
          <w:p>
            <w:r>
              <w:t>用户、模型配置、知识库、文档、会话、消息、任务日志</w:t>
            </w:r>
          </w:p>
        </w:tc>
      </w:tr>
      <w:tr>
        <w:tc>
          <w:tcPr>
            <w:tcW w:type="dxa" w:w="2880"/>
          </w:tcPr>
          <w:p>
            <w:r>
              <w:t>Chroma / Local Vector</w:t>
            </w:r>
          </w:p>
        </w:tc>
        <w:tc>
          <w:tcPr>
            <w:tcW w:type="dxa" w:w="2880"/>
          </w:tcPr>
          <w:p>
            <w:r>
              <w:t>语义检索数据</w:t>
            </w:r>
          </w:p>
        </w:tc>
        <w:tc>
          <w:tcPr>
            <w:tcW w:type="dxa" w:w="2880"/>
          </w:tcPr>
          <w:p>
            <w:r>
              <w:t>切片向量、chunk_id、document_id、knowledge_base_id</w:t>
            </w:r>
          </w:p>
        </w:tc>
      </w:tr>
      <w:tr>
        <w:tc>
          <w:tcPr>
            <w:tcW w:type="dxa" w:w="2880"/>
          </w:tcPr>
          <w:p>
            <w:r>
              <w:t>本地文件系统</w:t>
            </w:r>
          </w:p>
        </w:tc>
        <w:tc>
          <w:tcPr>
            <w:tcW w:type="dxa" w:w="2880"/>
          </w:tcPr>
          <w:p>
            <w:r>
              <w:t>原始上传文件</w:t>
            </w:r>
          </w:p>
        </w:tc>
        <w:tc>
          <w:tcPr>
            <w:tcW w:type="dxa" w:w="2880"/>
          </w:tcPr>
          <w:p>
            <w:r>
              <w:t>上传文档、解析临时文件、测试资料</w:t>
            </w:r>
          </w:p>
        </w:tc>
      </w:tr>
    </w:tbl>
    <w:p>
      <w:pPr>
        <w:pStyle w:val="Heading1"/>
      </w:pPr>
      <w:r>
        <w:t>4. 接口模块</w:t>
      </w:r>
    </w:p>
    <w:p>
      <w:pPr>
        <w:pStyle w:val="ListBullet"/>
      </w:pPr>
      <w:r>
        <w:t>认证授权：本地账号登录、注册、退出登录、GitHub OAuth。</w:t>
      </w:r>
    </w:p>
    <w:p>
      <w:pPr>
        <w:pStyle w:val="ListBullet"/>
      </w:pPr>
      <w:r>
        <w:t>模型配置：供应商、Base URL、API Key、模型名称、模型用途、默认模型。</w:t>
      </w:r>
    </w:p>
    <w:p>
      <w:pPr>
        <w:pStyle w:val="ListBullet"/>
      </w:pPr>
      <w:r>
        <w:t>知识库：新建、编辑、删除、绑定 Embedding 模型。</w:t>
      </w:r>
    </w:p>
    <w:p>
      <w:pPr>
        <w:pStyle w:val="ListBullet"/>
      </w:pPr>
      <w:r>
        <w:t>文档入库：上传、解析状态、切片查看、重建索引、删除。</w:t>
      </w:r>
    </w:p>
    <w:p>
      <w:pPr>
        <w:pStyle w:val="ListBullet"/>
      </w:pPr>
      <w:r>
        <w:t>对话问答：普通问答、流式问答、引用片段查询。</w:t>
      </w:r>
    </w:p>
    <w:p>
      <w:pPr>
        <w:pStyle w:val="ListBullet"/>
      </w:pPr>
      <w:r>
        <w:t>会话管理：历史会话、消息记录、重命名、删除。</w:t>
      </w:r>
    </w:p>
    <w:p>
      <w:pPr>
        <w:pStyle w:val="Heading1"/>
      </w:pPr>
      <w:r>
        <w:t>5. 风险和后续优化</w:t>
      </w:r>
    </w:p>
    <w:p>
      <w:pPr>
        <w:pStyle w:val="ListBullet"/>
      </w:pPr>
      <w:r>
        <w:t>不同 Embedding 模型生成的向量空间不一致，知识库创建时必须绑定 Embedding 模型。</w:t>
      </w:r>
    </w:p>
    <w:p>
      <w:pPr>
        <w:pStyle w:val="ListBullet"/>
      </w:pPr>
      <w:r>
        <w:t>模型调用失败时应明确展示失败原因，开发模式可以使用本地 fallback，生产模式不建议伪造回答。</w:t>
      </w:r>
    </w:p>
    <w:p>
      <w:pPr>
        <w:pStyle w:val="ListBullet"/>
      </w:pPr>
      <w:r>
        <w:t>文档任务建议继续扩展为队列：支持重试、取消、并发限制和任务日志。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