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 Target="word/document.xml"
    Type="http://schemas.openxmlformats.org/officeDocument/2006/relationships/officeDocument"/>
  <Relationship Id="rId2" Target="docProps/core.xml"
    Type="http://schemas.openxmlformats.org/package/2006/relationships/metadata/core-properties"/>
</Relationships>
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Remote Working Standard</w:t>
      </w:r>
    </w:p>
    <w:p>
      <w:r>
        <w:t xml:space="preserve">This Standard is effective from 1 February 2026 and applies to every Employee whose contract of employment permits remote working.</w:t>
      </w:r>
    </w:p>
    <w:p>
      <w:pPr>
        <w:pStyle w:val="Heading1"/>
      </w:pPr>
      <w:r>
        <w:t xml:space="preserve">1. Eligibility</w:t>
      </w:r>
    </w:p>
    <w:p>
      <w:r>
        <w:t xml:space="preserve">1.1 An Employee is eligible to work remotely where their role has been designated as remote-eligible by the Employee’s department head.</w:t>
      </w:r>
    </w:p>
    <w:p>
      <w:r>
        <w:t xml:space="preserve">1.2 An Employee in the first 3 months of employment may work remotely for no more than 2 days in any Payroll Week.</w:t>
      </w:r>
    </w:p>
    <w:p>
      <w:pPr>
        <w:pStyle w:val="Heading1"/>
      </w:pPr>
      <w:r>
        <w:t xml:space="preserve">2. Equipment allowance</w:t>
      </w:r>
    </w:p>
    <w:p>
      <w:r>
        <w:t xml:space="preserve">2.1 An eligible Employee is entitled to a one-off equipment allowance of £350, payable on production of receipts.</w:t>
      </w:r>
    </w:p>
    <w:p>
      <w:r>
        <w:t xml:space="preserve">2.2 By way of exception to 2.1, an Employee whose role requires a second display is entitled to a further £120.</w:t>
      </w:r>
    </w:p>
    <w:p>
      <w:pPr>
        <w:pStyle w:val="Heading2"/>
      </w:pPr>
      <w:r>
        <w:t xml:space="preserve">Conditions</w:t>
      </w:r>
    </w:p>
    <w:p>
      <w:pPr>
        <w:pStyle w:val="ListParagraph"/>
        <w:numPr>
          <w:ilvl w:val="0"/>
          <w:numId w:val="3"/>
        </w:numPr>
      </w:pPr>
      <w:r>
        <w:t xml:space="preserve">The allowance is payable once in any 36-month period.</w:t>
      </w:r>
    </w:p>
    <w:p>
      <w:pPr>
        <w:pStyle w:val="ListParagraph"/>
        <w:numPr>
          <w:ilvl w:val="0"/>
          <w:numId w:val="3"/>
        </w:numPr>
      </w:pPr>
      <w:r>
        <w:t xml:space="preserve">Equipment purchased with the allowance remains the property of the Company.</w:t>
      </w:r>
    </w:p>
    <w:p>
      <w:pPr>
        <w:pStyle w:val="Heading1"/>
      </w:pPr>
      <w:r>
        <w:t xml:space="preserve">3. Working hours</w:t>
      </w:r>
    </w:p>
    <w:p>
      <w:r>
        <w:t xml:space="preserve">3.1 An Employee working remotely must be contactable during the core hours of 10:00 to 16:00 local time.</w:t>
      </w:r>
    </w:p>
    <w:p>
      <w:r>
        <w:t xml:space="preserve">An Employee who cannot be contactable during core hours must agree alternative hours with their line manager in advance.</w:t>
      </w:r>
    </w:p>
    <w:sectPr>
      <w:pgSz w:w="11906" w:h="16838"/>
    </w:sectPr>
  </w:body>
</w:document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Remote Working Standard</dc:title>
  <dc:creator>People Operations</dc:creator>
  <cp:lastModifiedBy>People Operations</cp:lastModifiedBy>
  <dcterms:created xsi:type="dcterms:W3CDTF">2025-11-03T09:14:00Z</dcterms:created>
  <dcterms:modified xsi:type="dcterms:W3CDTF">2026-01-12T16:02:00Z</dcterms:modified>
  <cp:version>2.1</cp:version>
</cp:coreProperties>
</file>