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대한민국 공시지가 20년 흐름 총정리: 상승과 하락의 기록</w:t>
      </w:r>
    </w:p>
    <w:p>
      <w:pPr>
        <w:pStyle w:val="Heading1"/>
      </w:pPr>
      <w:r>
        <w:t>1. 서론: 공시지가, 왜 중요할까?</w:t>
      </w:r>
    </w:p>
    <w:p>
      <w:r>
        <w:t>내 집 마련을 꿈꾸는 분들이나 토지 투자를 고려하는 분들에게 '공시지가'는 가장 기초적이면서도 중요한 지표입니다. 재산세, 종합부동산세의 기준이 될 뿐만 아니라 각종 복지 수급의 잣대가 되기 때문입니다. 오늘은 지난 2005년부터 2024년까지, 대한민국 공시지가가 어떤 드라마틱한 변화를 겪어왔는지 전국/서울/수도권/지방으로 나누어 살펴보겠습니다.</w:t>
      </w:r>
    </w:p>
    <w:p>
      <w:pPr>
        <w:pStyle w:val="Heading1"/>
      </w:pPr>
      <w:r>
        <w:t>2. 변동률로 본 주요 변곡점</w:t>
      </w:r>
    </w:p>
    <w:p>
      <w:r>
        <w:t>지난 20년의 흐름을 보면 크게 세 번의 큰 변화가 있었습니다.</w:t>
      </w:r>
    </w:p>
    <w:p>
      <w:pPr>
        <w:pStyle w:val="ListBullet"/>
      </w:pPr>
      <w:r>
        <w:t>• 2005~2008년 (초기 급등기): 부동산 시장 활황과 함께 연간 10~20%대의 높은 상승률을 기록했습니다.</w:t>
      </w:r>
    </w:p>
    <w:p>
      <w:pPr>
        <w:pStyle w:val="ListBullet"/>
      </w:pPr>
      <w:r>
        <w:t>• 2009년 (금융위기 쇼크): 글로벌 금융위기 여파로 공시지가 도입 이래 첫 전국적 하락을 기록했던 시기입니다.</w:t>
      </w:r>
    </w:p>
    <w:p>
      <w:pPr>
        <w:pStyle w:val="ListBullet"/>
      </w:pPr>
      <w:r>
        <w:t>• 2023년 (역대급 하향 조정): 급격한 금리 인상과 정부의 현실화율 수정 정책이 맞물려 -5.73%라는 기록적인 하락폭을 보였습니다.</w:t>
      </w:r>
    </w:p>
    <w:p>
      <w:pPr>
        <w:pStyle w:val="Heading1"/>
      </w:pPr>
      <w:r>
        <w:t>3. 절대 수치로 본 양극화 현상</w:t>
      </w:r>
    </w:p>
    <w:p>
      <w:r>
        <w:t>상승률보다 더 놀라운 것은 실제 가격(절대 수치)의 격차입니다. 2005년 당시 서울과 지방의 격차는 약 57배 수준이었으나, 2024년 현재는 약 63배까지 벌어졌습니다.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연도</w:t>
            </w:r>
          </w:p>
        </w:tc>
        <w:tc>
          <w:tcPr>
            <w:tcW w:type="dxa" w:w="1728"/>
          </w:tcPr>
          <w:p>
            <w:r>
              <w:t>전국(평균)</w:t>
            </w:r>
          </w:p>
        </w:tc>
        <w:tc>
          <w:tcPr>
            <w:tcW w:type="dxa" w:w="1728"/>
          </w:tcPr>
          <w:p>
            <w:r>
              <w:t>서울(평균)</w:t>
            </w:r>
          </w:p>
        </w:tc>
        <w:tc>
          <w:tcPr>
            <w:tcW w:type="dxa" w:w="1728"/>
          </w:tcPr>
          <w:p>
            <w:r>
              <w:t>수도권(평균)</w:t>
            </w:r>
          </w:p>
        </w:tc>
        <w:tc>
          <w:tcPr>
            <w:tcW w:type="dxa" w:w="1728"/>
          </w:tcPr>
          <w:p>
            <w:r>
              <w:t>지방(평균)</w:t>
            </w:r>
          </w:p>
        </w:tc>
      </w:tr>
      <w:tr>
        <w:tc>
          <w:tcPr>
            <w:tcW w:type="dxa" w:w="1728"/>
          </w:tcPr>
          <w:p>
            <w:r>
              <w:t>2005년</w:t>
            </w:r>
          </w:p>
        </w:tc>
        <w:tc>
          <w:tcPr>
            <w:tcW w:type="dxa" w:w="1728"/>
          </w:tcPr>
          <w:p>
            <w:r>
              <w:t>7.0만</w:t>
            </w:r>
          </w:p>
        </w:tc>
        <w:tc>
          <w:tcPr>
            <w:tcW w:type="dxa" w:w="1728"/>
          </w:tcPr>
          <w:p>
            <w:r>
              <w:t>178만</w:t>
            </w:r>
          </w:p>
        </w:tc>
        <w:tc>
          <w:tcPr>
            <w:tcW w:type="dxa" w:w="1728"/>
          </w:tcPr>
          <w:p>
            <w:r>
              <w:t>29만</w:t>
            </w:r>
          </w:p>
        </w:tc>
        <w:tc>
          <w:tcPr>
            <w:tcW w:type="dxa" w:w="1728"/>
          </w:tcPr>
          <w:p>
            <w:r>
              <w:t>3.1만</w:t>
            </w:r>
          </w:p>
        </w:tc>
      </w:tr>
      <w:tr>
        <w:tc>
          <w:tcPr>
            <w:tcW w:type="dxa" w:w="1728"/>
          </w:tcPr>
          <w:p>
            <w:r>
              <w:t>2015년</w:t>
            </w:r>
          </w:p>
        </w:tc>
        <w:tc>
          <w:tcPr>
            <w:tcW w:type="dxa" w:w="1728"/>
          </w:tcPr>
          <w:p>
            <w:r>
              <w:t>11.3만</w:t>
            </w:r>
          </w:p>
        </w:tc>
        <w:tc>
          <w:tcPr>
            <w:tcW w:type="dxa" w:w="1728"/>
          </w:tcPr>
          <w:p>
            <w:r>
              <w:t>304만</w:t>
            </w:r>
          </w:p>
        </w:tc>
        <w:tc>
          <w:tcPr>
            <w:tcW w:type="dxa" w:w="1728"/>
          </w:tcPr>
          <w:p>
            <w:r>
              <w:t>51만</w:t>
            </w:r>
          </w:p>
        </w:tc>
        <w:tc>
          <w:tcPr>
            <w:tcW w:type="dxa" w:w="1728"/>
          </w:tcPr>
          <w:p>
            <w:r>
              <w:t>5.5만</w:t>
            </w:r>
          </w:p>
        </w:tc>
      </w:tr>
      <w:tr>
        <w:tc>
          <w:tcPr>
            <w:tcW w:type="dxa" w:w="1728"/>
          </w:tcPr>
          <w:p>
            <w:r>
              <w:t>2024년</w:t>
            </w:r>
          </w:p>
        </w:tc>
        <w:tc>
          <w:tcPr>
            <w:tcW w:type="dxa" w:w="1728"/>
          </w:tcPr>
          <w:p>
            <w:r>
              <w:t>23.2만</w:t>
            </w:r>
          </w:p>
        </w:tc>
        <w:tc>
          <w:tcPr>
            <w:tcW w:type="dxa" w:w="1728"/>
          </w:tcPr>
          <w:p>
            <w:r>
              <w:t>670만</w:t>
            </w:r>
          </w:p>
        </w:tc>
        <w:tc>
          <w:tcPr>
            <w:tcW w:type="dxa" w:w="1728"/>
          </w:tcPr>
          <w:p>
            <w:r>
              <w:t>115만</w:t>
            </w:r>
          </w:p>
        </w:tc>
        <w:tc>
          <w:tcPr>
            <w:tcW w:type="dxa" w:w="1728"/>
          </w:tcPr>
          <w:p>
            <w:r>
              <w:t>10.6만</w:t>
            </w:r>
          </w:p>
        </w:tc>
      </w:tr>
    </w:tbl>
    <w:p>
      <w:r>
        <w:br/>
        <w:t>(단위: m2당 만 원 / 평균 추정치 기준)</w:t>
      </w:r>
    </w:p>
    <w:p>
      <w:pPr>
        <w:pStyle w:val="Heading1"/>
      </w:pPr>
      <w:r>
        <w:t>4. 결론 및 향후 전망</w:t>
      </w:r>
    </w:p>
    <w:p>
      <w:r>
        <w:t>2024년 공시지가는 다시 소폭 반등(1.21%)하며 안정을 찾아가고 있습니다. 하지만 서울과 수도권의 지가 상승세가 여전히 강하고, 지방과의 격차는 해소되지 않는 모습입니다. 자산 관리의 관점에서 볼 때, 단순한 상승률보다는 내가 보유한 지역의 실제 가치가 시장 흐름 대비 어떻게 움직이는지를 파악하는 것이 중요합니다.</w:t>
      </w:r>
    </w:p>
    <w:p>
      <w:r>
        <w:br/>
        <w:t>#공시지가 #부동산트렌드 #서울공시지가 #부동산투자 #재산세기준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