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5CCCC7" w14:textId="77777777" w:rsidR="003D5142" w:rsidRPr="003D5142" w:rsidRDefault="003D5142" w:rsidP="00F36410">
      <w:pPr>
        <w:jc w:val="both"/>
        <w:rPr>
          <w:rFonts w:ascii="Arial" w:hAnsi="Arial" w:cs="Arial"/>
        </w:rPr>
      </w:pPr>
      <w:r w:rsidRPr="003D5142">
        <w:rPr>
          <w:rFonts w:ascii="Arial" w:hAnsi="Arial" w:cs="Arial"/>
        </w:rPr>
        <w:t>2.</w:t>
      </w:r>
      <w:r w:rsidRPr="003D5142">
        <w:rPr>
          <w:rFonts w:ascii="Segoe UI Symbol" w:hAnsi="Segoe UI Symbol" w:cs="Segoe UI Symbol"/>
        </w:rPr>
        <w:t>⁠</w:t>
      </w:r>
      <w:r w:rsidRPr="003D5142">
        <w:rPr>
          <w:rFonts w:ascii="Arial" w:hAnsi="Arial" w:cs="Arial"/>
        </w:rPr>
        <w:t xml:space="preserve"> </w:t>
      </w:r>
      <w:r w:rsidRPr="003D5142">
        <w:rPr>
          <w:rFonts w:ascii="Segoe UI Symbol" w:hAnsi="Segoe UI Symbol" w:cs="Segoe UI Symbol"/>
        </w:rPr>
        <w:t>⁠</w:t>
      </w:r>
      <w:r w:rsidRPr="003D5142">
        <w:rPr>
          <w:rFonts w:ascii="Arial" w:hAnsi="Arial" w:cs="Arial"/>
        </w:rPr>
        <w:t>Background Research</w:t>
      </w:r>
    </w:p>
    <w:p w14:paraId="77636C71" w14:textId="55AAA97D" w:rsidR="00E64E71" w:rsidRPr="00E64E71" w:rsidRDefault="00E64E71" w:rsidP="00E64E71">
      <w:pPr>
        <w:jc w:val="both"/>
        <w:rPr>
          <w:rFonts w:ascii="Arial" w:hAnsi="Arial" w:cs="Arial"/>
        </w:rPr>
      </w:pPr>
      <w:bookmarkStart w:id="0" w:name="_Hlk187089368"/>
      <w:r w:rsidRPr="00E64E71">
        <w:rPr>
          <w:rFonts w:ascii="Arial" w:hAnsi="Arial" w:cs="Arial"/>
        </w:rPr>
        <w:t>The relationship between demographic factors and income has been extensively studied using machine learning techniques. Chakrabarty and Biswas utilized the UCI Adult Dataset and applied Gradient Boosting to classify individuals into income brackets (&gt;50K or ≤50K)</w:t>
      </w:r>
      <w:r>
        <w:rPr>
          <w:rFonts w:ascii="Arial" w:hAnsi="Arial" w:cs="Arial"/>
        </w:rPr>
        <w:t xml:space="preserve"> </w:t>
      </w:r>
      <w:sdt>
        <w:sdtPr>
          <w:rPr>
            <w:rFonts w:ascii="Arial" w:hAnsi="Arial" w:cs="Arial"/>
          </w:rPr>
          <w:id w:val="-1613513114"/>
          <w:citation/>
        </w:sdtPr>
        <w:sdtContent>
          <w:r>
            <w:rPr>
              <w:rFonts w:ascii="Arial" w:hAnsi="Arial" w:cs="Arial"/>
            </w:rPr>
            <w:fldChar w:fldCharType="begin"/>
          </w:r>
          <w:r>
            <w:rPr>
              <w:rFonts w:ascii="Arial" w:hAnsi="Arial" w:cs="Arial"/>
              <w:lang w:val="en-IN"/>
            </w:rPr>
            <w:instrText xml:space="preserve"> CITATION Nav18 \l 16393 </w:instrText>
          </w:r>
          <w:r>
            <w:rPr>
              <w:rFonts w:ascii="Arial" w:hAnsi="Arial" w:cs="Arial"/>
            </w:rPr>
            <w:fldChar w:fldCharType="separate"/>
          </w:r>
          <w:r w:rsidRPr="00E64E71">
            <w:rPr>
              <w:rFonts w:ascii="Arial" w:hAnsi="Arial" w:cs="Arial"/>
              <w:noProof/>
              <w:lang w:val="en-IN"/>
            </w:rPr>
            <w:t>(Navoneel Chakrabarty, 2018)</w:t>
          </w:r>
          <w:r>
            <w:rPr>
              <w:rFonts w:ascii="Arial" w:hAnsi="Arial" w:cs="Arial"/>
            </w:rPr>
            <w:fldChar w:fldCharType="end"/>
          </w:r>
        </w:sdtContent>
      </w:sdt>
      <w:r w:rsidRPr="00E64E71">
        <w:rPr>
          <w:rFonts w:ascii="Arial" w:hAnsi="Arial" w:cs="Arial"/>
        </w:rPr>
        <w:t xml:space="preserve">. They achieved a high prediction accuracy of 88.16%, highlighting education and employment features as critical determinants of income. This work emphasizes the value of advanced machine learning algorithms in uncovering patterns in socioeconomic data. Similarly, various machine learning algorithms, including decision trees, to </w:t>
      </w:r>
      <w:r w:rsidRPr="00E64E71">
        <w:rPr>
          <w:rFonts w:ascii="Arial" w:hAnsi="Arial" w:cs="Arial"/>
        </w:rPr>
        <w:t>analyse</w:t>
      </w:r>
      <w:r w:rsidRPr="00E64E71">
        <w:rPr>
          <w:rFonts w:ascii="Arial" w:hAnsi="Arial" w:cs="Arial"/>
        </w:rPr>
        <w:t xml:space="preserve"> the Adult Census Income Dataset</w:t>
      </w:r>
      <w:r>
        <w:rPr>
          <w:rFonts w:ascii="Arial" w:hAnsi="Arial" w:cs="Arial"/>
        </w:rPr>
        <w:t xml:space="preserve"> </w:t>
      </w:r>
      <w:sdt>
        <w:sdtPr>
          <w:rPr>
            <w:rFonts w:ascii="Arial" w:hAnsi="Arial" w:cs="Arial"/>
          </w:rPr>
          <w:id w:val="-577365038"/>
          <w:citation/>
        </w:sdtPr>
        <w:sdtContent>
          <w:r>
            <w:rPr>
              <w:rFonts w:ascii="Arial" w:hAnsi="Arial" w:cs="Arial"/>
            </w:rPr>
            <w:fldChar w:fldCharType="begin"/>
          </w:r>
          <w:r>
            <w:rPr>
              <w:rFonts w:ascii="Arial" w:hAnsi="Arial" w:cs="Arial"/>
              <w:lang w:val="en-IN"/>
            </w:rPr>
            <w:instrText xml:space="preserve"> CITATION Che18 \l 16393 </w:instrText>
          </w:r>
          <w:r>
            <w:rPr>
              <w:rFonts w:ascii="Arial" w:hAnsi="Arial" w:cs="Arial"/>
            </w:rPr>
            <w:fldChar w:fldCharType="separate"/>
          </w:r>
          <w:r w:rsidRPr="00E64E71">
            <w:rPr>
              <w:rFonts w:ascii="Arial" w:hAnsi="Arial" w:cs="Arial"/>
              <w:noProof/>
              <w:lang w:val="en-IN"/>
            </w:rPr>
            <w:t>(Chet Lemon, 2018)</w:t>
          </w:r>
          <w:r>
            <w:rPr>
              <w:rFonts w:ascii="Arial" w:hAnsi="Arial" w:cs="Arial"/>
            </w:rPr>
            <w:fldChar w:fldCharType="end"/>
          </w:r>
        </w:sdtContent>
      </w:sdt>
      <w:r w:rsidRPr="00E64E71">
        <w:rPr>
          <w:rFonts w:ascii="Arial" w:hAnsi="Arial" w:cs="Arial"/>
        </w:rPr>
        <w:t xml:space="preserve">. His research underscored the importance of education and occupation as significant factors in predicting higher income levels, with a focus on improving data preprocessing techniques to enhance model performance. Lemon, Zelazo, and Mulakaluri also investigated the dataset using Naïve Bayes, Logistic Regression, and </w:t>
      </w:r>
      <w:r w:rsidRPr="00E64E71">
        <w:rPr>
          <w:rFonts w:ascii="Arial" w:hAnsi="Arial" w:cs="Arial"/>
        </w:rPr>
        <w:t>Decision</w:t>
      </w:r>
      <w:r w:rsidRPr="00E64E71">
        <w:rPr>
          <w:rFonts w:ascii="Arial" w:hAnsi="Arial" w:cs="Arial"/>
        </w:rPr>
        <w:t xml:space="preserve"> </w:t>
      </w:r>
      <w:r w:rsidRPr="00E64E71">
        <w:rPr>
          <w:rFonts w:ascii="Arial" w:hAnsi="Arial" w:cs="Arial"/>
        </w:rPr>
        <w:t>Trees</w:t>
      </w:r>
      <w:r>
        <w:rPr>
          <w:rFonts w:ascii="Arial" w:hAnsi="Arial" w:cs="Arial"/>
        </w:rPr>
        <w:t>.</w:t>
      </w:r>
      <w:r w:rsidRPr="00E64E71">
        <w:rPr>
          <w:rFonts w:ascii="Arial" w:hAnsi="Arial" w:cs="Arial"/>
        </w:rPr>
        <w:t xml:space="preserve"> They found Decision Trees to be the most effective, identifying education and hours worked per week as the most influential predictors of income. These studies collectively demonstrate the critical role of education in income prediction while highlighting gaps in evaluating proportional differences across educational tiers. This underscores the need for further research into the nuanced relationship between education and income.</w:t>
      </w:r>
    </w:p>
    <w:bookmarkEnd w:id="0"/>
    <w:p w14:paraId="3C5F537A" w14:textId="77777777" w:rsidR="003D5142" w:rsidRPr="003D5142" w:rsidRDefault="003D5142" w:rsidP="00F36410">
      <w:pPr>
        <w:jc w:val="both"/>
        <w:rPr>
          <w:rFonts w:ascii="Arial" w:hAnsi="Arial" w:cs="Arial"/>
        </w:rPr>
      </w:pPr>
    </w:p>
    <w:p w14:paraId="10357867" w14:textId="77777777" w:rsidR="003D5142" w:rsidRPr="003D5142" w:rsidRDefault="003D5142" w:rsidP="00F36410">
      <w:pPr>
        <w:jc w:val="both"/>
        <w:rPr>
          <w:rFonts w:ascii="Arial" w:hAnsi="Arial" w:cs="Arial"/>
        </w:rPr>
      </w:pPr>
      <w:r w:rsidRPr="003D5142">
        <w:rPr>
          <w:rFonts w:ascii="Arial" w:hAnsi="Arial" w:cs="Arial"/>
        </w:rPr>
        <w:t>Why RQ is of Interest</w:t>
      </w:r>
    </w:p>
    <w:p w14:paraId="4D5B3BDB" w14:textId="77777777" w:rsidR="004E2BE9" w:rsidRPr="004E2BE9" w:rsidRDefault="004E2BE9" w:rsidP="004E2BE9">
      <w:pPr>
        <w:jc w:val="both"/>
        <w:rPr>
          <w:rFonts w:ascii="Arial" w:hAnsi="Arial" w:cs="Arial"/>
        </w:rPr>
      </w:pPr>
      <w:bookmarkStart w:id="1" w:name="_Hlk187089506"/>
      <w:r w:rsidRPr="004E2BE9">
        <w:rPr>
          <w:rFonts w:ascii="Arial" w:hAnsi="Arial" w:cs="Arial"/>
        </w:rPr>
        <w:t xml:space="preserve">Despite numerous studies utilizing the UCI Adult Dataset, there remains a gap in fully understanding the nuanced impact of education on income levels. Prior research confirms education as a critical factor in income prediction, but limited work has been done to evaluate the proportional differences across specific educational tiers. This research aims to address this gap by investigating the question: </w:t>
      </w:r>
      <w:r w:rsidRPr="004E2BE9">
        <w:rPr>
          <w:rFonts w:ascii="Arial" w:hAnsi="Arial" w:cs="Arial"/>
          <w:i/>
          <w:iCs/>
        </w:rPr>
        <w:t>Is there a difference in the proportions of income across different levels of education among adults in the USA?</w:t>
      </w:r>
      <w:r w:rsidRPr="004E2BE9">
        <w:rPr>
          <w:rFonts w:ascii="Arial" w:hAnsi="Arial" w:cs="Arial"/>
        </w:rPr>
        <w:t xml:space="preserve"> Addressing this question is vital for crafting policies aimed at reducing income inequality and enhancing economic mobility. Future directions include integrating longitudinal data to </w:t>
      </w:r>
      <w:proofErr w:type="spellStart"/>
      <w:r w:rsidRPr="004E2BE9">
        <w:rPr>
          <w:rFonts w:ascii="Arial" w:hAnsi="Arial" w:cs="Arial"/>
        </w:rPr>
        <w:t>analyze</w:t>
      </w:r>
      <w:proofErr w:type="spellEnd"/>
      <w:r w:rsidRPr="004E2BE9">
        <w:rPr>
          <w:rFonts w:ascii="Arial" w:hAnsi="Arial" w:cs="Arial"/>
        </w:rPr>
        <w:t xml:space="preserve"> trends over time and refining models to account for complex, non-linear relationships between education and income.</w:t>
      </w:r>
    </w:p>
    <w:bookmarkEnd w:id="1"/>
    <w:p w14:paraId="469F11CF" w14:textId="60084AF5" w:rsidR="003D5142" w:rsidRDefault="003D5142" w:rsidP="00F36410">
      <w:pPr>
        <w:jc w:val="both"/>
        <w:rPr>
          <w:rFonts w:ascii="Arial" w:hAnsi="Arial" w:cs="Arial"/>
        </w:rPr>
      </w:pPr>
    </w:p>
    <w:p w14:paraId="2F5DBC9F" w14:textId="77777777" w:rsidR="00E22B7C" w:rsidRDefault="00E22B7C" w:rsidP="00F36410">
      <w:pPr>
        <w:jc w:val="both"/>
        <w:rPr>
          <w:rFonts w:ascii="Arial" w:hAnsi="Arial" w:cs="Arial"/>
        </w:rPr>
      </w:pPr>
    </w:p>
    <w:sdt>
      <w:sdtPr>
        <w:rPr>
          <w:rFonts w:asciiTheme="minorHAnsi" w:eastAsiaTheme="minorHAnsi" w:hAnsiTheme="minorHAnsi" w:cstheme="minorBidi"/>
          <w:color w:val="auto"/>
          <w:sz w:val="24"/>
          <w:szCs w:val="24"/>
        </w:rPr>
        <w:id w:val="562143221"/>
        <w:docPartObj>
          <w:docPartGallery w:val="Bibliographies"/>
          <w:docPartUnique/>
        </w:docPartObj>
      </w:sdtPr>
      <w:sdtContent>
        <w:p w14:paraId="1853B7DF" w14:textId="19C0B3DC" w:rsidR="00E22B7C" w:rsidRDefault="00E22B7C" w:rsidP="00F36410">
          <w:pPr>
            <w:pStyle w:val="Heading1"/>
            <w:jc w:val="both"/>
          </w:pPr>
          <w:r>
            <w:t>Bibliography</w:t>
          </w:r>
        </w:p>
        <w:sdt>
          <w:sdtPr>
            <w:id w:val="111145805"/>
            <w:bibliography/>
          </w:sdtPr>
          <w:sdtContent>
            <w:p w14:paraId="3A1C01D3" w14:textId="77777777" w:rsidR="00E22B7C" w:rsidRDefault="00E22B7C" w:rsidP="00F36410">
              <w:pPr>
                <w:pStyle w:val="Bibliography"/>
                <w:jc w:val="both"/>
                <w:rPr>
                  <w:noProof/>
                </w:rPr>
              </w:pPr>
              <w:r>
                <w:fldChar w:fldCharType="begin"/>
              </w:r>
              <w:r>
                <w:instrText xml:space="preserve"> BIBLIOGRAPHY </w:instrText>
              </w:r>
              <w:r>
                <w:fldChar w:fldCharType="separate"/>
              </w:r>
              <w:r>
                <w:rPr>
                  <w:noProof/>
                </w:rPr>
                <w:t xml:space="preserve">Ali, A., April 2020. </w:t>
              </w:r>
              <w:r>
                <w:rPr>
                  <w:i/>
                  <w:iCs/>
                  <w:noProof/>
                </w:rPr>
                <w:t xml:space="preserve">Adult Census Income Dataset Analysis, </w:t>
              </w:r>
              <w:r>
                <w:rPr>
                  <w:noProof/>
                </w:rPr>
                <w:t>s.l.: s.n.</w:t>
              </w:r>
            </w:p>
            <w:p w14:paraId="216E77E4" w14:textId="77777777" w:rsidR="00E22B7C" w:rsidRPr="00E22B7C" w:rsidRDefault="00E22B7C" w:rsidP="00F36410">
              <w:pPr>
                <w:jc w:val="both"/>
              </w:pPr>
            </w:p>
            <w:p w14:paraId="5F7EDC88" w14:textId="77777777" w:rsidR="00E22B7C" w:rsidRDefault="00E22B7C" w:rsidP="00F36410">
              <w:pPr>
                <w:pStyle w:val="Bibliography"/>
                <w:jc w:val="both"/>
                <w:rPr>
                  <w:noProof/>
                </w:rPr>
              </w:pPr>
              <w:r>
                <w:rPr>
                  <w:noProof/>
                </w:rPr>
                <w:t xml:space="preserve">Chet Lemon, C. Z. K. M., 2018. </w:t>
              </w:r>
              <w:r>
                <w:rPr>
                  <w:i/>
                  <w:iCs/>
                  <w:noProof/>
                </w:rPr>
                <w:t xml:space="preserve">Predicting if income exceeds $50,000 per year based on 1994 US Census Data with Simple Classification Techniques, </w:t>
              </w:r>
              <w:r>
                <w:rPr>
                  <w:noProof/>
                </w:rPr>
                <w:t>s.l.: s.n.</w:t>
              </w:r>
            </w:p>
            <w:p w14:paraId="08478463" w14:textId="77777777" w:rsidR="00E22B7C" w:rsidRPr="00E22B7C" w:rsidRDefault="00E22B7C" w:rsidP="00F36410">
              <w:pPr>
                <w:jc w:val="both"/>
              </w:pPr>
            </w:p>
            <w:p w14:paraId="20DF484A" w14:textId="77777777" w:rsidR="00E22B7C" w:rsidRDefault="00E22B7C" w:rsidP="00F36410">
              <w:pPr>
                <w:pStyle w:val="Bibliography"/>
                <w:jc w:val="both"/>
                <w:rPr>
                  <w:noProof/>
                </w:rPr>
              </w:pPr>
              <w:r>
                <w:rPr>
                  <w:noProof/>
                </w:rPr>
                <w:t xml:space="preserve">Navoneel Chakrabarty, S. B., 2018. </w:t>
              </w:r>
              <w:r>
                <w:rPr>
                  <w:i/>
                  <w:iCs/>
                  <w:noProof/>
                </w:rPr>
                <w:t xml:space="preserve">A Statistical Approach to Adult Census Income Level Prediction, </w:t>
              </w:r>
              <w:r>
                <w:rPr>
                  <w:noProof/>
                </w:rPr>
                <w:t>s.l.: s.n.</w:t>
              </w:r>
            </w:p>
            <w:p w14:paraId="5EC19909" w14:textId="4C956140" w:rsidR="00E22B7C" w:rsidRDefault="00E22B7C" w:rsidP="00F36410">
              <w:pPr>
                <w:jc w:val="both"/>
              </w:pPr>
              <w:r>
                <w:rPr>
                  <w:b/>
                  <w:bCs/>
                  <w:noProof/>
                </w:rPr>
                <w:fldChar w:fldCharType="end"/>
              </w:r>
            </w:p>
          </w:sdtContent>
        </w:sdt>
      </w:sdtContent>
    </w:sdt>
    <w:p w14:paraId="72C54005" w14:textId="77777777" w:rsidR="00E22B7C" w:rsidRPr="003D5142" w:rsidRDefault="00E22B7C" w:rsidP="00F36410">
      <w:pPr>
        <w:jc w:val="both"/>
        <w:rPr>
          <w:rFonts w:ascii="Arial" w:hAnsi="Arial" w:cs="Arial"/>
        </w:rPr>
      </w:pPr>
    </w:p>
    <w:sectPr w:rsidR="00E22B7C" w:rsidRPr="003D51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142"/>
    <w:rsid w:val="00083161"/>
    <w:rsid w:val="0008396F"/>
    <w:rsid w:val="000C743A"/>
    <w:rsid w:val="0013443D"/>
    <w:rsid w:val="001F2C95"/>
    <w:rsid w:val="00372558"/>
    <w:rsid w:val="003D5142"/>
    <w:rsid w:val="004E2BE9"/>
    <w:rsid w:val="008D16C1"/>
    <w:rsid w:val="00A017E9"/>
    <w:rsid w:val="00E22B7C"/>
    <w:rsid w:val="00E64E71"/>
    <w:rsid w:val="00F364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3A9A5"/>
  <w15:chartTrackingRefBased/>
  <w15:docId w15:val="{DEFC09A4-AA33-A54F-B9CA-56AF0E60C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51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51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51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51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51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514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514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514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514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1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51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51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51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51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51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51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51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5142"/>
    <w:rPr>
      <w:rFonts w:eastAsiaTheme="majorEastAsia" w:cstheme="majorBidi"/>
      <w:color w:val="272727" w:themeColor="text1" w:themeTint="D8"/>
    </w:rPr>
  </w:style>
  <w:style w:type="paragraph" w:styleId="Title">
    <w:name w:val="Title"/>
    <w:basedOn w:val="Normal"/>
    <w:next w:val="Normal"/>
    <w:link w:val="TitleChar"/>
    <w:uiPriority w:val="10"/>
    <w:qFormat/>
    <w:rsid w:val="003D514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51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514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51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514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D5142"/>
    <w:rPr>
      <w:i/>
      <w:iCs/>
      <w:color w:val="404040" w:themeColor="text1" w:themeTint="BF"/>
    </w:rPr>
  </w:style>
  <w:style w:type="paragraph" w:styleId="ListParagraph">
    <w:name w:val="List Paragraph"/>
    <w:basedOn w:val="Normal"/>
    <w:uiPriority w:val="34"/>
    <w:qFormat/>
    <w:rsid w:val="003D5142"/>
    <w:pPr>
      <w:ind w:left="720"/>
      <w:contextualSpacing/>
    </w:pPr>
  </w:style>
  <w:style w:type="character" w:styleId="IntenseEmphasis">
    <w:name w:val="Intense Emphasis"/>
    <w:basedOn w:val="DefaultParagraphFont"/>
    <w:uiPriority w:val="21"/>
    <w:qFormat/>
    <w:rsid w:val="003D5142"/>
    <w:rPr>
      <w:i/>
      <w:iCs/>
      <w:color w:val="0F4761" w:themeColor="accent1" w:themeShade="BF"/>
    </w:rPr>
  </w:style>
  <w:style w:type="paragraph" w:styleId="IntenseQuote">
    <w:name w:val="Intense Quote"/>
    <w:basedOn w:val="Normal"/>
    <w:next w:val="Normal"/>
    <w:link w:val="IntenseQuoteChar"/>
    <w:uiPriority w:val="30"/>
    <w:qFormat/>
    <w:rsid w:val="003D51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5142"/>
    <w:rPr>
      <w:i/>
      <w:iCs/>
      <w:color w:val="0F4761" w:themeColor="accent1" w:themeShade="BF"/>
    </w:rPr>
  </w:style>
  <w:style w:type="character" w:styleId="IntenseReference">
    <w:name w:val="Intense Reference"/>
    <w:basedOn w:val="DefaultParagraphFont"/>
    <w:uiPriority w:val="32"/>
    <w:qFormat/>
    <w:rsid w:val="003D5142"/>
    <w:rPr>
      <w:b/>
      <w:bCs/>
      <w:smallCaps/>
      <w:color w:val="0F4761" w:themeColor="accent1" w:themeShade="BF"/>
      <w:spacing w:val="5"/>
    </w:rPr>
  </w:style>
  <w:style w:type="paragraph" w:styleId="Bibliography">
    <w:name w:val="Bibliography"/>
    <w:basedOn w:val="Normal"/>
    <w:next w:val="Normal"/>
    <w:uiPriority w:val="37"/>
    <w:unhideWhenUsed/>
    <w:rsid w:val="00E22B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861328">
      <w:bodyDiv w:val="1"/>
      <w:marLeft w:val="0"/>
      <w:marRight w:val="0"/>
      <w:marTop w:val="0"/>
      <w:marBottom w:val="0"/>
      <w:divBdr>
        <w:top w:val="none" w:sz="0" w:space="0" w:color="auto"/>
        <w:left w:val="none" w:sz="0" w:space="0" w:color="auto"/>
        <w:bottom w:val="none" w:sz="0" w:space="0" w:color="auto"/>
        <w:right w:val="none" w:sz="0" w:space="0" w:color="auto"/>
      </w:divBdr>
    </w:div>
    <w:div w:id="57829002">
      <w:bodyDiv w:val="1"/>
      <w:marLeft w:val="0"/>
      <w:marRight w:val="0"/>
      <w:marTop w:val="0"/>
      <w:marBottom w:val="0"/>
      <w:divBdr>
        <w:top w:val="none" w:sz="0" w:space="0" w:color="auto"/>
        <w:left w:val="none" w:sz="0" w:space="0" w:color="auto"/>
        <w:bottom w:val="none" w:sz="0" w:space="0" w:color="auto"/>
        <w:right w:val="none" w:sz="0" w:space="0" w:color="auto"/>
      </w:divBdr>
    </w:div>
    <w:div w:id="126163753">
      <w:bodyDiv w:val="1"/>
      <w:marLeft w:val="0"/>
      <w:marRight w:val="0"/>
      <w:marTop w:val="0"/>
      <w:marBottom w:val="0"/>
      <w:divBdr>
        <w:top w:val="none" w:sz="0" w:space="0" w:color="auto"/>
        <w:left w:val="none" w:sz="0" w:space="0" w:color="auto"/>
        <w:bottom w:val="none" w:sz="0" w:space="0" w:color="auto"/>
        <w:right w:val="none" w:sz="0" w:space="0" w:color="auto"/>
      </w:divBdr>
    </w:div>
    <w:div w:id="153881269">
      <w:bodyDiv w:val="1"/>
      <w:marLeft w:val="0"/>
      <w:marRight w:val="0"/>
      <w:marTop w:val="0"/>
      <w:marBottom w:val="0"/>
      <w:divBdr>
        <w:top w:val="none" w:sz="0" w:space="0" w:color="auto"/>
        <w:left w:val="none" w:sz="0" w:space="0" w:color="auto"/>
        <w:bottom w:val="none" w:sz="0" w:space="0" w:color="auto"/>
        <w:right w:val="none" w:sz="0" w:space="0" w:color="auto"/>
      </w:divBdr>
    </w:div>
    <w:div w:id="194276546">
      <w:bodyDiv w:val="1"/>
      <w:marLeft w:val="0"/>
      <w:marRight w:val="0"/>
      <w:marTop w:val="0"/>
      <w:marBottom w:val="0"/>
      <w:divBdr>
        <w:top w:val="none" w:sz="0" w:space="0" w:color="auto"/>
        <w:left w:val="none" w:sz="0" w:space="0" w:color="auto"/>
        <w:bottom w:val="none" w:sz="0" w:space="0" w:color="auto"/>
        <w:right w:val="none" w:sz="0" w:space="0" w:color="auto"/>
      </w:divBdr>
    </w:div>
    <w:div w:id="536503121">
      <w:bodyDiv w:val="1"/>
      <w:marLeft w:val="0"/>
      <w:marRight w:val="0"/>
      <w:marTop w:val="0"/>
      <w:marBottom w:val="0"/>
      <w:divBdr>
        <w:top w:val="none" w:sz="0" w:space="0" w:color="auto"/>
        <w:left w:val="none" w:sz="0" w:space="0" w:color="auto"/>
        <w:bottom w:val="none" w:sz="0" w:space="0" w:color="auto"/>
        <w:right w:val="none" w:sz="0" w:space="0" w:color="auto"/>
      </w:divBdr>
    </w:div>
    <w:div w:id="584724793">
      <w:bodyDiv w:val="1"/>
      <w:marLeft w:val="0"/>
      <w:marRight w:val="0"/>
      <w:marTop w:val="0"/>
      <w:marBottom w:val="0"/>
      <w:divBdr>
        <w:top w:val="none" w:sz="0" w:space="0" w:color="auto"/>
        <w:left w:val="none" w:sz="0" w:space="0" w:color="auto"/>
        <w:bottom w:val="none" w:sz="0" w:space="0" w:color="auto"/>
        <w:right w:val="none" w:sz="0" w:space="0" w:color="auto"/>
      </w:divBdr>
    </w:div>
    <w:div w:id="669411819">
      <w:bodyDiv w:val="1"/>
      <w:marLeft w:val="0"/>
      <w:marRight w:val="0"/>
      <w:marTop w:val="0"/>
      <w:marBottom w:val="0"/>
      <w:divBdr>
        <w:top w:val="none" w:sz="0" w:space="0" w:color="auto"/>
        <w:left w:val="none" w:sz="0" w:space="0" w:color="auto"/>
        <w:bottom w:val="none" w:sz="0" w:space="0" w:color="auto"/>
        <w:right w:val="none" w:sz="0" w:space="0" w:color="auto"/>
      </w:divBdr>
    </w:div>
    <w:div w:id="772283283">
      <w:bodyDiv w:val="1"/>
      <w:marLeft w:val="0"/>
      <w:marRight w:val="0"/>
      <w:marTop w:val="0"/>
      <w:marBottom w:val="0"/>
      <w:divBdr>
        <w:top w:val="none" w:sz="0" w:space="0" w:color="auto"/>
        <w:left w:val="none" w:sz="0" w:space="0" w:color="auto"/>
        <w:bottom w:val="none" w:sz="0" w:space="0" w:color="auto"/>
        <w:right w:val="none" w:sz="0" w:space="0" w:color="auto"/>
      </w:divBdr>
    </w:div>
    <w:div w:id="795412345">
      <w:bodyDiv w:val="1"/>
      <w:marLeft w:val="0"/>
      <w:marRight w:val="0"/>
      <w:marTop w:val="0"/>
      <w:marBottom w:val="0"/>
      <w:divBdr>
        <w:top w:val="none" w:sz="0" w:space="0" w:color="auto"/>
        <w:left w:val="none" w:sz="0" w:space="0" w:color="auto"/>
        <w:bottom w:val="none" w:sz="0" w:space="0" w:color="auto"/>
        <w:right w:val="none" w:sz="0" w:space="0" w:color="auto"/>
      </w:divBdr>
    </w:div>
    <w:div w:id="1142426052">
      <w:bodyDiv w:val="1"/>
      <w:marLeft w:val="0"/>
      <w:marRight w:val="0"/>
      <w:marTop w:val="0"/>
      <w:marBottom w:val="0"/>
      <w:divBdr>
        <w:top w:val="none" w:sz="0" w:space="0" w:color="auto"/>
        <w:left w:val="none" w:sz="0" w:space="0" w:color="auto"/>
        <w:bottom w:val="none" w:sz="0" w:space="0" w:color="auto"/>
        <w:right w:val="none" w:sz="0" w:space="0" w:color="auto"/>
      </w:divBdr>
    </w:div>
    <w:div w:id="1145970569">
      <w:bodyDiv w:val="1"/>
      <w:marLeft w:val="0"/>
      <w:marRight w:val="0"/>
      <w:marTop w:val="0"/>
      <w:marBottom w:val="0"/>
      <w:divBdr>
        <w:top w:val="none" w:sz="0" w:space="0" w:color="auto"/>
        <w:left w:val="none" w:sz="0" w:space="0" w:color="auto"/>
        <w:bottom w:val="none" w:sz="0" w:space="0" w:color="auto"/>
        <w:right w:val="none" w:sz="0" w:space="0" w:color="auto"/>
      </w:divBdr>
    </w:div>
    <w:div w:id="1200166607">
      <w:bodyDiv w:val="1"/>
      <w:marLeft w:val="0"/>
      <w:marRight w:val="0"/>
      <w:marTop w:val="0"/>
      <w:marBottom w:val="0"/>
      <w:divBdr>
        <w:top w:val="none" w:sz="0" w:space="0" w:color="auto"/>
        <w:left w:val="none" w:sz="0" w:space="0" w:color="auto"/>
        <w:bottom w:val="none" w:sz="0" w:space="0" w:color="auto"/>
        <w:right w:val="none" w:sz="0" w:space="0" w:color="auto"/>
      </w:divBdr>
    </w:div>
    <w:div w:id="1270042746">
      <w:bodyDiv w:val="1"/>
      <w:marLeft w:val="0"/>
      <w:marRight w:val="0"/>
      <w:marTop w:val="0"/>
      <w:marBottom w:val="0"/>
      <w:divBdr>
        <w:top w:val="none" w:sz="0" w:space="0" w:color="auto"/>
        <w:left w:val="none" w:sz="0" w:space="0" w:color="auto"/>
        <w:bottom w:val="none" w:sz="0" w:space="0" w:color="auto"/>
        <w:right w:val="none" w:sz="0" w:space="0" w:color="auto"/>
      </w:divBdr>
    </w:div>
    <w:div w:id="1334991534">
      <w:bodyDiv w:val="1"/>
      <w:marLeft w:val="0"/>
      <w:marRight w:val="0"/>
      <w:marTop w:val="0"/>
      <w:marBottom w:val="0"/>
      <w:divBdr>
        <w:top w:val="none" w:sz="0" w:space="0" w:color="auto"/>
        <w:left w:val="none" w:sz="0" w:space="0" w:color="auto"/>
        <w:bottom w:val="none" w:sz="0" w:space="0" w:color="auto"/>
        <w:right w:val="none" w:sz="0" w:space="0" w:color="auto"/>
      </w:divBdr>
    </w:div>
    <w:div w:id="1494221262">
      <w:bodyDiv w:val="1"/>
      <w:marLeft w:val="0"/>
      <w:marRight w:val="0"/>
      <w:marTop w:val="0"/>
      <w:marBottom w:val="0"/>
      <w:divBdr>
        <w:top w:val="none" w:sz="0" w:space="0" w:color="auto"/>
        <w:left w:val="none" w:sz="0" w:space="0" w:color="auto"/>
        <w:bottom w:val="none" w:sz="0" w:space="0" w:color="auto"/>
        <w:right w:val="none" w:sz="0" w:space="0" w:color="auto"/>
      </w:divBdr>
    </w:div>
    <w:div w:id="1555004341">
      <w:bodyDiv w:val="1"/>
      <w:marLeft w:val="0"/>
      <w:marRight w:val="0"/>
      <w:marTop w:val="0"/>
      <w:marBottom w:val="0"/>
      <w:divBdr>
        <w:top w:val="none" w:sz="0" w:space="0" w:color="auto"/>
        <w:left w:val="none" w:sz="0" w:space="0" w:color="auto"/>
        <w:bottom w:val="none" w:sz="0" w:space="0" w:color="auto"/>
        <w:right w:val="none" w:sz="0" w:space="0" w:color="auto"/>
      </w:divBdr>
    </w:div>
    <w:div w:id="1712918481">
      <w:bodyDiv w:val="1"/>
      <w:marLeft w:val="0"/>
      <w:marRight w:val="0"/>
      <w:marTop w:val="0"/>
      <w:marBottom w:val="0"/>
      <w:divBdr>
        <w:top w:val="none" w:sz="0" w:space="0" w:color="auto"/>
        <w:left w:val="none" w:sz="0" w:space="0" w:color="auto"/>
        <w:bottom w:val="none" w:sz="0" w:space="0" w:color="auto"/>
        <w:right w:val="none" w:sz="0" w:space="0" w:color="auto"/>
      </w:divBdr>
    </w:div>
    <w:div w:id="1994873704">
      <w:bodyDiv w:val="1"/>
      <w:marLeft w:val="0"/>
      <w:marRight w:val="0"/>
      <w:marTop w:val="0"/>
      <w:marBottom w:val="0"/>
      <w:divBdr>
        <w:top w:val="none" w:sz="0" w:space="0" w:color="auto"/>
        <w:left w:val="none" w:sz="0" w:space="0" w:color="auto"/>
        <w:bottom w:val="none" w:sz="0" w:space="0" w:color="auto"/>
        <w:right w:val="none" w:sz="0" w:space="0" w:color="auto"/>
      </w:divBdr>
    </w:div>
    <w:div w:id="211192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Che18</b:Tag>
    <b:SourceType>Report</b:SourceType>
    <b:Guid>{C408BB8E-6110-8B40-9B0E-95DA1ADE7E97}</b:Guid>
    <b:Title>Predicting if income exceeds $50,000 per year based on 1994 US Census Data with Simple Classification Techniques</b:Title>
    <b:Year>2018</b:Year>
    <b:Author>
      <b:Author>
        <b:NameList>
          <b:Person>
            <b:Last>Chet Lemon</b:Last>
            <b:First>Chris</b:First>
            <b:Middle>Zelazo, Kesav Mulakaluri</b:Middle>
          </b:Person>
        </b:NameList>
      </b:Author>
    </b:Author>
    <b:RefOrder>2</b:RefOrder>
  </b:Source>
  <b:Source>
    <b:Tag>Ahm20</b:Tag>
    <b:SourceType>Report</b:SourceType>
    <b:Guid>{3987B98E-3B4F-F247-B6F8-0D916580FAFF}</b:Guid>
    <b:Author>
      <b:Author>
        <b:NameList>
          <b:Person>
            <b:Last>Ali</b:Last>
            <b:First>Ahmed</b:First>
          </b:Person>
        </b:NameList>
      </b:Author>
    </b:Author>
    <b:Title>Adult Census Income Dataset Analysis</b:Title>
    <b:Year>April 2020</b:Year>
    <b:RefOrder>3</b:RefOrder>
  </b:Source>
  <b:Source>
    <b:Tag>Nav18</b:Tag>
    <b:SourceType>Report</b:SourceType>
    <b:Guid>{1E73BFE0-6881-BB49-8036-3764552B8802}</b:Guid>
    <b:Author>
      <b:Author>
        <b:NameList>
          <b:Person>
            <b:Last>Navoneel Chakrabarty</b:Last>
            <b:First>Sanket</b:First>
            <b:Middle>Biswas</b:Middle>
          </b:Person>
        </b:NameList>
      </b:Author>
    </b:Author>
    <b:Title>A Statistical Approach to Adult Census Income Level Prediction</b:Title>
    <b:Year>2018</b:Year>
    <b:RefOrder>1</b:RefOrder>
  </b:Source>
</b:Sources>
</file>

<file path=customXml/itemProps1.xml><?xml version="1.0" encoding="utf-8"?>
<ds:datastoreItem xmlns:ds="http://schemas.openxmlformats.org/officeDocument/2006/customXml" ds:itemID="{9B12371E-D98B-4ECF-A0D7-0D899425C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Mirshad Rahman Naduvilakkalathil [Student-PECS]</dc:creator>
  <cp:keywords/>
  <dc:description/>
  <cp:lastModifiedBy>Punnoose P Punnoose</cp:lastModifiedBy>
  <cp:revision>2</cp:revision>
  <dcterms:created xsi:type="dcterms:W3CDTF">2025-01-05T18:49:00Z</dcterms:created>
  <dcterms:modified xsi:type="dcterms:W3CDTF">2025-01-06T15:30:00Z</dcterms:modified>
</cp:coreProperties>
</file>