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left"/>
      </w:pPr>
      <w:r>
        <w:rPr>
          <w:b/>
          <w:color w:val="172033"/>
          <w:sz w:val="56"/>
        </w:rPr>
        <w:t>MyLLM Pre-2 Project Showcase</w:t>
      </w:r>
    </w:p>
    <w:p>
      <w:pPr>
        <w:spacing w:after="80" w:line="252" w:lineRule="auto"/>
      </w:pPr>
      <w:r>
        <w:rPr>
          <w:color w:val="5B6472"/>
          <w:sz w:val="24"/>
        </w:rPr>
        <w:t>Research brief, architecture flow, proof-of-concepts, progress, and execution plan</w:t>
      </w:r>
    </w:p>
    <w:p>
      <w:pPr>
        <w:spacing w:after="80" w:line="252" w:lineRule="auto"/>
      </w:pPr>
      <w:r>
        <w:rPr>
          <w:color w:val="5B6472"/>
          <w:sz w:val="18"/>
        </w:rPr>
        <w:t>Generated from repository state on 2026-05-14 | Branch: beta-dev</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368"/>
      </w:tblGrid>
      <w:tr>
        <w:tc>
          <w:tcPr>
            <w:tcW w:type="dxa" w:w="10368"/>
            <w:shd w:fill="EEF4FF"/>
          </w:tcPr>
          <w:p>
            <w:pPr>
              <w:spacing w:after="40" w:line="240" w:lineRule="auto"/>
            </w:pPr>
            <w:r>
              <w:rPr>
                <w:b/>
                <w:color w:val="172033"/>
                <w:sz w:val="20"/>
              </w:rPr>
              <w:t>Executive decision</w:t>
            </w:r>
          </w:p>
          <w:p>
            <w:pPr>
              <w:spacing w:after="40" w:line="240" w:lineRule="auto"/>
            </w:pPr>
            <w:r>
              <w:t>Pre-2 should ship as a dense decoder-only 1.49B-class foundation baseline trained in BF16, with 1.5T planned tokens and at least 1T as the hard floor. MoE, FP8, INT8/INT4 training, and heterogeneous-tokenizer KD are research tracks, not dependencies for the first serious run.</w:t>
            </w:r>
          </w:p>
        </w:tc>
      </w:tr>
    </w:tbl>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c>
          <w:tcPr>
            <w:tcW w:type="dxa" w:w="2304"/>
            <w:shd w:fill="111827"/>
          </w:tcPr>
          <w:p>
            <w:pPr>
              <w:spacing w:after="40" w:line="240" w:lineRule="auto"/>
              <w:jc w:val="left"/>
            </w:pPr>
            <w:r/>
            <w:r>
              <w:rPr>
                <w:b/>
                <w:color w:val="FFFFFF"/>
                <w:sz w:val="17"/>
              </w:rPr>
              <w:t>Area</w:t>
            </w:r>
          </w:p>
        </w:tc>
        <w:tc>
          <w:tcPr>
            <w:tcW w:type="dxa" w:w="7344"/>
            <w:shd w:fill="111827"/>
          </w:tcPr>
          <w:p>
            <w:pPr>
              <w:spacing w:after="40" w:line="240" w:lineRule="auto"/>
              <w:jc w:val="left"/>
            </w:pPr>
            <w:r/>
            <w:r>
              <w:rPr>
                <w:b/>
                <w:color w:val="FFFFFF"/>
                <w:sz w:val="17"/>
              </w:rPr>
              <w:t>Current position</w:t>
            </w:r>
          </w:p>
        </w:tc>
      </w:tr>
      <w:tr>
        <w:tc>
          <w:tcPr>
            <w:tcW w:type="dxa" w:w="2304"/>
            <w:vAlign w:val="top"/>
            <w:shd w:fill="F8FAFC"/>
          </w:tcPr>
          <w:p>
            <w:pPr>
              <w:spacing w:after="40" w:line="240" w:lineRule="auto"/>
              <w:jc w:val="left"/>
            </w:pPr>
            <w:r/>
            <w:r>
              <w:rPr>
                <w:b w:val="0"/>
                <w:color w:val="172033"/>
                <w:sz w:val="16"/>
              </w:rPr>
              <w:t>Target model</w:t>
            </w:r>
          </w:p>
        </w:tc>
        <w:tc>
          <w:tcPr>
            <w:tcW w:type="dxa" w:w="7344"/>
            <w:vAlign w:val="top"/>
          </w:tcPr>
          <w:p>
            <w:pPr>
              <w:spacing w:after="40" w:line="240" w:lineRule="auto"/>
              <w:jc w:val="left"/>
            </w:pPr>
            <w:r/>
            <w:r>
              <w:rPr>
                <w:b w:val="0"/>
                <w:color w:val="172033"/>
                <w:sz w:val="16"/>
              </w:rPr>
              <w:t>1B-class foundation model; current config estimates 1.485B parameters.</w:t>
            </w:r>
          </w:p>
        </w:tc>
      </w:tr>
      <w:tr>
        <w:tc>
          <w:tcPr>
            <w:tcW w:type="dxa" w:w="2304"/>
            <w:vAlign w:val="top"/>
            <w:shd w:fill="F8FAFC"/>
          </w:tcPr>
          <w:p>
            <w:pPr>
              <w:spacing w:after="40" w:line="240" w:lineRule="auto"/>
              <w:jc w:val="left"/>
            </w:pPr>
            <w:r/>
            <w:r>
              <w:rPr>
                <w:b w:val="0"/>
                <w:color w:val="172033"/>
                <w:sz w:val="16"/>
              </w:rPr>
              <w:t>Training data</w:t>
            </w:r>
          </w:p>
        </w:tc>
        <w:tc>
          <w:tcPr>
            <w:tcW w:type="dxa" w:w="7344"/>
            <w:vAlign w:val="top"/>
          </w:tcPr>
          <w:p>
            <w:pPr>
              <w:spacing w:after="40" w:line="240" w:lineRule="auto"/>
              <w:jc w:val="left"/>
            </w:pPr>
            <w:r/>
            <w:r>
              <w:rPr>
                <w:b w:val="0"/>
                <w:color w:val="172033"/>
                <w:sz w:val="16"/>
              </w:rPr>
              <w:t>1.5T planned tokens across Stage 1/2/3; 3T stretch only after data/eval gates hold.</w:t>
            </w:r>
          </w:p>
        </w:tc>
      </w:tr>
      <w:tr>
        <w:tc>
          <w:tcPr>
            <w:tcW w:type="dxa" w:w="2304"/>
            <w:vAlign w:val="top"/>
            <w:shd w:fill="F8FAFC"/>
          </w:tcPr>
          <w:p>
            <w:pPr>
              <w:spacing w:after="40" w:line="240" w:lineRule="auto"/>
              <w:jc w:val="left"/>
            </w:pPr>
            <w:r/>
            <w:r>
              <w:rPr>
                <w:b w:val="0"/>
                <w:color w:val="172033"/>
                <w:sz w:val="16"/>
              </w:rPr>
              <w:t>Runtime</w:t>
            </w:r>
          </w:p>
        </w:tc>
        <w:tc>
          <w:tcPr>
            <w:tcW w:type="dxa" w:w="7344"/>
            <w:vAlign w:val="top"/>
          </w:tcPr>
          <w:p>
            <w:pPr>
              <w:spacing w:after="40" w:line="240" w:lineRule="auto"/>
              <w:jc w:val="left"/>
            </w:pPr>
            <w:r/>
            <w:r>
              <w:rPr>
                <w:b w:val="0"/>
                <w:color w:val="172033"/>
                <w:sz w:val="16"/>
              </w:rPr>
              <w:t>PyTorch 2.x production path, TorchTitan/FSDP2 target, BF16 training.</w:t>
            </w:r>
          </w:p>
        </w:tc>
      </w:tr>
      <w:tr>
        <w:tc>
          <w:tcPr>
            <w:tcW w:type="dxa" w:w="2304"/>
            <w:vAlign w:val="top"/>
            <w:shd w:fill="F8FAFC"/>
          </w:tcPr>
          <w:p>
            <w:pPr>
              <w:spacing w:after="40" w:line="240" w:lineRule="auto"/>
              <w:jc w:val="left"/>
            </w:pPr>
            <w:r/>
            <w:r>
              <w:rPr>
                <w:b w:val="0"/>
                <w:color w:val="172033"/>
                <w:sz w:val="16"/>
              </w:rPr>
              <w:t>Architecture</w:t>
            </w:r>
          </w:p>
        </w:tc>
        <w:tc>
          <w:tcPr>
            <w:tcW w:type="dxa" w:w="7344"/>
            <w:vAlign w:val="top"/>
          </w:tcPr>
          <w:p>
            <w:pPr>
              <w:spacing w:after="40" w:line="240" w:lineRule="auto"/>
              <w:jc w:val="left"/>
            </w:pPr>
            <w:r/>
            <w:r>
              <w:rPr>
                <w:b w:val="0"/>
                <w:color w:val="172033"/>
                <w:sz w:val="16"/>
              </w:rPr>
              <w:t>Dense decoder-only Transformer with RMSNorm, GQA, RoPE, SwiGLU, tied LM head.</w:t>
            </w:r>
          </w:p>
        </w:tc>
      </w:tr>
      <w:tr>
        <w:tc>
          <w:tcPr>
            <w:tcW w:type="dxa" w:w="2304"/>
            <w:vAlign w:val="top"/>
            <w:shd w:fill="F8FAFC"/>
          </w:tcPr>
          <w:p>
            <w:pPr>
              <w:spacing w:after="40" w:line="240" w:lineRule="auto"/>
              <w:jc w:val="left"/>
            </w:pPr>
            <w:r/>
            <w:r>
              <w:rPr>
                <w:b w:val="0"/>
                <w:color w:val="172033"/>
                <w:sz w:val="16"/>
              </w:rPr>
              <w:t>Precision</w:t>
            </w:r>
          </w:p>
        </w:tc>
        <w:tc>
          <w:tcPr>
            <w:tcW w:type="dxa" w:w="7344"/>
            <w:vAlign w:val="top"/>
          </w:tcPr>
          <w:p>
            <w:pPr>
              <w:spacing w:after="40" w:line="240" w:lineRule="auto"/>
              <w:jc w:val="left"/>
            </w:pPr>
            <w:r/>
            <w:r>
              <w:rPr>
                <w:b w:val="0"/>
                <w:color w:val="172033"/>
                <w:sz w:val="16"/>
              </w:rPr>
              <w:t>BF16 for training; INT8/INT4 only for post-training inference exports initially.</w:t>
            </w:r>
          </w:p>
        </w:tc>
      </w:tr>
      <w:tr>
        <w:tc>
          <w:tcPr>
            <w:tcW w:type="dxa" w:w="2304"/>
            <w:vAlign w:val="top"/>
            <w:shd w:fill="F8FAFC"/>
          </w:tcPr>
          <w:p>
            <w:pPr>
              <w:spacing w:after="40" w:line="240" w:lineRule="auto"/>
              <w:jc w:val="left"/>
            </w:pPr>
            <w:r/>
            <w:r>
              <w:rPr>
                <w:b w:val="0"/>
                <w:color w:val="172033"/>
                <w:sz w:val="16"/>
              </w:rPr>
              <w:t>Validation</w:t>
            </w:r>
          </w:p>
        </w:tc>
        <w:tc>
          <w:tcPr>
            <w:tcW w:type="dxa" w:w="7344"/>
            <w:vAlign w:val="top"/>
          </w:tcPr>
          <w:p>
            <w:pPr>
              <w:spacing w:after="40" w:line="240" w:lineRule="auto"/>
              <w:jc w:val="left"/>
            </w:pPr>
            <w:r/>
            <w:r>
              <w:rPr>
                <w:b w:val="0"/>
                <w:color w:val="172033"/>
                <w:sz w:val="16"/>
              </w:rPr>
              <w:t>Pre-2 local tests pass; packed-corpus Windows metadata bug fixed and verified.</w:t>
            </w:r>
          </w:p>
        </w:tc>
      </w:tr>
    </w:tbl>
    <w:p>
      <w:pPr>
        <w:spacing w:after="80" w:line="252" w:lineRule="auto"/>
      </w:pPr>
      <w:r>
        <w:br w:type="page"/>
      </w:r>
    </w:p>
    <w:p>
      <w:pPr>
        <w:pStyle w:val="Heading1"/>
        <w:spacing w:after="80" w:line="252" w:lineRule="auto"/>
      </w:pPr>
      <w:r>
        <w:rPr>
          <w:color w:val="172033"/>
        </w:rPr>
        <w:t>1. Project Flow</w:t>
      </w:r>
    </w:p>
    <w:p>
      <w:pPr>
        <w:spacing w:after="80" w:line="252" w:lineRule="auto"/>
      </w:pPr>
      <w:r>
        <w:t>The project is moving from a pre-1 research/proof stack into a pre-2 implementation path that can support serious reproducibility, data governance, and distributed training. The primary flow is shown below.</w:t>
      </w:r>
    </w:p>
    <w:p>
      <w:pPr>
        <w:spacing w:after="80" w:line="252" w:lineRule="auto"/>
        <w:jc w:val="center"/>
      </w:pPr>
      <w:r>
        <w:drawing>
          <wp:inline xmlns:a="http://schemas.openxmlformats.org/drawingml/2006/main" xmlns:pic="http://schemas.openxmlformats.org/drawingml/2006/picture">
            <wp:extent cx="6400800" cy="3689873"/>
            <wp:docPr id="1" name="Picture 1"/>
            <wp:cNvGraphicFramePr>
              <a:graphicFrameLocks noChangeAspect="1"/>
            </wp:cNvGraphicFramePr>
            <a:graphic>
              <a:graphicData uri="http://schemas.openxmlformats.org/drawingml/2006/picture">
                <pic:pic>
                  <pic:nvPicPr>
                    <pic:cNvPr id="0" name="pre2_system_flow.png"/>
                    <pic:cNvPicPr/>
                  </pic:nvPicPr>
                  <pic:blipFill>
                    <a:blip r:embed="rId9"/>
                    <a:stretch>
                      <a:fillRect/>
                    </a:stretch>
                  </pic:blipFill>
                  <pic:spPr>
                    <a:xfrm>
                      <a:off x="0" y="0"/>
                      <a:ext cx="6400800" cy="3689873"/>
                    </a:xfrm>
                    <a:prstGeom prst="rect"/>
                  </pic:spPr>
                </pic:pic>
              </a:graphicData>
            </a:graphic>
          </wp:inline>
        </w:drawing>
      </w:r>
    </w:p>
    <w:p>
      <w:pPr>
        <w:pStyle w:val="ListBullet"/>
        <w:spacing w:after="80" w:line="252" w:lineRule="auto"/>
      </w:pPr>
      <w:r>
        <w:t>Data and governance are first-class: license class, provenance, PII policy, dataset card, and immutable manifests are required before a main run.</w:t>
      </w:r>
    </w:p>
    <w:p>
      <w:pPr>
        <w:pStyle w:val="ListBullet"/>
        <w:spacing w:after="80" w:line="252" w:lineRule="auto"/>
      </w:pPr>
      <w:r>
        <w:t>The packed corpus is treated as a reproducibility artifact, not a temporary preprocessing output.</w:t>
      </w:r>
    </w:p>
    <w:p>
      <w:pPr>
        <w:pStyle w:val="ListBullet"/>
        <w:spacing w:after="80" w:line="252" w:lineRule="auto"/>
      </w:pPr>
      <w:r>
        <w:t>Eval failures feed back into data mixture, tokenizer, training schedule, or architecture only after attribution is clear.</w:t>
      </w:r>
    </w:p>
    <w:p>
      <w:r>
        <w:br w:type="page"/>
      </w:r>
    </w:p>
    <w:p>
      <w:pPr>
        <w:pStyle w:val="Heading1"/>
        <w:spacing w:after="80" w:line="252" w:lineRule="auto"/>
      </w:pPr>
      <w:r>
        <w:rPr>
          <w:color w:val="172033"/>
        </w:rPr>
        <w:t>2. Architecture</w:t>
      </w:r>
    </w:p>
    <w:p>
      <w:pPr>
        <w:spacing w:after="80" w:line="252" w:lineRule="auto"/>
        <w:jc w:val="center"/>
      </w:pPr>
      <w:r>
        <w:drawing>
          <wp:inline xmlns:a="http://schemas.openxmlformats.org/drawingml/2006/main" xmlns:pic="http://schemas.openxmlformats.org/drawingml/2006/picture">
            <wp:extent cx="6400800" cy="3689873"/>
            <wp:docPr id="2" name="Picture 2"/>
            <wp:cNvGraphicFramePr>
              <a:graphicFrameLocks noChangeAspect="1"/>
            </wp:cNvGraphicFramePr>
            <a:graphic>
              <a:graphicData uri="http://schemas.openxmlformats.org/drawingml/2006/picture">
                <pic:pic>
                  <pic:nvPicPr>
                    <pic:cNvPr id="0" name="pre2_architecture.png"/>
                    <pic:cNvPicPr/>
                  </pic:nvPicPr>
                  <pic:blipFill>
                    <a:blip r:embed="rId10"/>
                    <a:stretch>
                      <a:fillRect/>
                    </a:stretch>
                  </pic:blipFill>
                  <pic:spPr>
                    <a:xfrm>
                      <a:off x="0" y="0"/>
                      <a:ext cx="6400800" cy="3689873"/>
                    </a:xfrm>
                    <a:prstGeom prst="rect"/>
                  </pic:spPr>
                </pic:pic>
              </a:graphicData>
            </a:graphic>
          </wp:inline>
        </w:drawing>
      </w:r>
    </w:p>
    <w:p>
      <w:pPr>
        <w:spacing w:after="80" w:line="252" w:lineRule="auto"/>
      </w:pPr>
      <w:r>
        <w:t>The current pre-2 architecture decision favors a dense Transformer because it reduces debugging entropy during the first 1B-class foundation run. A dense baseline makes data quality, optimizer behavior, checkpointing, eval regressions, and scaling curves easier to attribute.</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c>
          <w:tcPr>
            <w:tcW w:type="dxa" w:w="3168"/>
            <w:shd w:fill="111827"/>
          </w:tcPr>
          <w:p>
            <w:pPr>
              <w:spacing w:after="40" w:line="240" w:lineRule="auto"/>
              <w:jc w:val="left"/>
            </w:pPr>
            <w:r/>
            <w:r>
              <w:rPr>
                <w:b/>
                <w:color w:val="FFFFFF"/>
                <w:sz w:val="17"/>
              </w:rPr>
              <w:t>Algorithm / component</w:t>
            </w:r>
          </w:p>
        </w:tc>
        <w:tc>
          <w:tcPr>
            <w:tcW w:type="dxa" w:w="6768"/>
            <w:shd w:fill="111827"/>
          </w:tcPr>
          <w:p>
            <w:pPr>
              <w:spacing w:after="40" w:line="240" w:lineRule="auto"/>
              <w:jc w:val="left"/>
            </w:pPr>
            <w:r/>
            <w:r>
              <w:rPr>
                <w:b/>
                <w:color w:val="FFFFFF"/>
                <w:sz w:val="17"/>
              </w:rPr>
              <w:t>Why it is used</w:t>
            </w:r>
          </w:p>
        </w:tc>
      </w:tr>
      <w:tr>
        <w:tc>
          <w:tcPr>
            <w:tcW w:type="dxa" w:w="3168"/>
            <w:vAlign w:val="top"/>
            <w:shd w:fill="F8FAFC"/>
          </w:tcPr>
          <w:p>
            <w:pPr>
              <w:spacing w:after="40" w:line="240" w:lineRule="auto"/>
              <w:jc w:val="left"/>
            </w:pPr>
            <w:r/>
            <w:r>
              <w:rPr>
                <w:b w:val="0"/>
                <w:color w:val="172033"/>
                <w:sz w:val="16"/>
              </w:rPr>
              <w:t>Dense decoder-only Transformer</w:t>
            </w:r>
          </w:p>
        </w:tc>
        <w:tc>
          <w:tcPr>
            <w:tcW w:type="dxa" w:w="6768"/>
            <w:vAlign w:val="top"/>
          </w:tcPr>
          <w:p>
            <w:pPr>
              <w:spacing w:after="40" w:line="240" w:lineRule="auto"/>
              <w:jc w:val="left"/>
            </w:pPr>
            <w:r/>
            <w:r>
              <w:rPr>
                <w:b w:val="0"/>
                <w:color w:val="172033"/>
                <w:sz w:val="16"/>
              </w:rPr>
              <w:t>Lower production risk than MoE for the first 1B-class run; cleaner eval attribution and checkpoint semantics.</w:t>
            </w:r>
          </w:p>
        </w:tc>
      </w:tr>
      <w:tr>
        <w:tc>
          <w:tcPr>
            <w:tcW w:type="dxa" w:w="3168"/>
            <w:vAlign w:val="top"/>
            <w:shd w:fill="F8FAFC"/>
          </w:tcPr>
          <w:p>
            <w:pPr>
              <w:spacing w:after="40" w:line="240" w:lineRule="auto"/>
              <w:jc w:val="left"/>
            </w:pPr>
            <w:r/>
            <w:r>
              <w:rPr>
                <w:b w:val="0"/>
                <w:color w:val="172033"/>
                <w:sz w:val="16"/>
              </w:rPr>
              <w:t>Grouped Query Attention</w:t>
            </w:r>
          </w:p>
        </w:tc>
        <w:tc>
          <w:tcPr>
            <w:tcW w:type="dxa" w:w="6768"/>
            <w:vAlign w:val="top"/>
          </w:tcPr>
          <w:p>
            <w:pPr>
              <w:spacing w:after="40" w:line="240" w:lineRule="auto"/>
              <w:jc w:val="left"/>
            </w:pPr>
            <w:r/>
            <w:r>
              <w:rPr>
                <w:b w:val="0"/>
                <w:color w:val="172033"/>
                <w:sz w:val="16"/>
              </w:rPr>
              <w:t>Reduces KV memory and improves serving efficiency while preserving most attention quality for this scale.</w:t>
            </w:r>
          </w:p>
        </w:tc>
      </w:tr>
      <w:tr>
        <w:tc>
          <w:tcPr>
            <w:tcW w:type="dxa" w:w="3168"/>
            <w:vAlign w:val="top"/>
            <w:shd w:fill="F8FAFC"/>
          </w:tcPr>
          <w:p>
            <w:pPr>
              <w:spacing w:after="40" w:line="240" w:lineRule="auto"/>
              <w:jc w:val="left"/>
            </w:pPr>
            <w:r/>
            <w:r>
              <w:rPr>
                <w:b w:val="0"/>
                <w:color w:val="172033"/>
                <w:sz w:val="16"/>
              </w:rPr>
              <w:t>RoPE</w:t>
            </w:r>
          </w:p>
        </w:tc>
        <w:tc>
          <w:tcPr>
            <w:tcW w:type="dxa" w:w="6768"/>
            <w:vAlign w:val="top"/>
          </w:tcPr>
          <w:p>
            <w:pPr>
              <w:spacing w:after="40" w:line="240" w:lineRule="auto"/>
              <w:jc w:val="left"/>
            </w:pPr>
            <w:r/>
            <w:r>
              <w:rPr>
                <w:b w:val="0"/>
                <w:color w:val="172033"/>
                <w:sz w:val="16"/>
              </w:rPr>
              <w:t>Mature positional encoding used by many modern decoder models; supports controlled long-context extension work.</w:t>
            </w:r>
          </w:p>
        </w:tc>
      </w:tr>
      <w:tr>
        <w:tc>
          <w:tcPr>
            <w:tcW w:type="dxa" w:w="3168"/>
            <w:vAlign w:val="top"/>
            <w:shd w:fill="F8FAFC"/>
          </w:tcPr>
          <w:p>
            <w:pPr>
              <w:spacing w:after="40" w:line="240" w:lineRule="auto"/>
              <w:jc w:val="left"/>
            </w:pPr>
            <w:r/>
            <w:r>
              <w:rPr>
                <w:b w:val="0"/>
                <w:color w:val="172033"/>
                <w:sz w:val="16"/>
              </w:rPr>
              <w:t>RMSNorm + pre-norm</w:t>
            </w:r>
          </w:p>
        </w:tc>
        <w:tc>
          <w:tcPr>
            <w:tcW w:type="dxa" w:w="6768"/>
            <w:vAlign w:val="top"/>
          </w:tcPr>
          <w:p>
            <w:pPr>
              <w:spacing w:after="40" w:line="240" w:lineRule="auto"/>
              <w:jc w:val="left"/>
            </w:pPr>
            <w:r/>
            <w:r>
              <w:rPr>
                <w:b w:val="0"/>
                <w:color w:val="172033"/>
                <w:sz w:val="16"/>
              </w:rPr>
              <w:t>Stable gradient flow and efficient normalization for deep decoder stacks.</w:t>
            </w:r>
          </w:p>
        </w:tc>
      </w:tr>
      <w:tr>
        <w:tc>
          <w:tcPr>
            <w:tcW w:type="dxa" w:w="3168"/>
            <w:vAlign w:val="top"/>
            <w:shd w:fill="F8FAFC"/>
          </w:tcPr>
          <w:p>
            <w:pPr>
              <w:spacing w:after="40" w:line="240" w:lineRule="auto"/>
              <w:jc w:val="left"/>
            </w:pPr>
            <w:r/>
            <w:r>
              <w:rPr>
                <w:b w:val="0"/>
                <w:color w:val="172033"/>
                <w:sz w:val="16"/>
              </w:rPr>
              <w:t>SwiGLU feed-forward</w:t>
            </w:r>
          </w:p>
        </w:tc>
        <w:tc>
          <w:tcPr>
            <w:tcW w:type="dxa" w:w="6768"/>
            <w:vAlign w:val="top"/>
          </w:tcPr>
          <w:p>
            <w:pPr>
              <w:spacing w:after="40" w:line="240" w:lineRule="auto"/>
              <w:jc w:val="left"/>
            </w:pPr>
            <w:r/>
            <w:r>
              <w:rPr>
                <w:b w:val="0"/>
                <w:color w:val="172033"/>
                <w:sz w:val="16"/>
              </w:rPr>
              <w:t>Strong quality-per-compute choice for modern LLMs compared with older ReLU/GELU FFNs.</w:t>
            </w:r>
          </w:p>
        </w:tc>
      </w:tr>
      <w:tr>
        <w:tc>
          <w:tcPr>
            <w:tcW w:type="dxa" w:w="3168"/>
            <w:vAlign w:val="top"/>
            <w:shd w:fill="F8FAFC"/>
          </w:tcPr>
          <w:p>
            <w:pPr>
              <w:spacing w:after="40" w:line="240" w:lineRule="auto"/>
              <w:jc w:val="left"/>
            </w:pPr>
            <w:r/>
            <w:r>
              <w:rPr>
                <w:b w:val="0"/>
                <w:color w:val="172033"/>
                <w:sz w:val="16"/>
              </w:rPr>
              <w:t>Tied output head</w:t>
            </w:r>
          </w:p>
        </w:tc>
        <w:tc>
          <w:tcPr>
            <w:tcW w:type="dxa" w:w="6768"/>
            <w:vAlign w:val="top"/>
          </w:tcPr>
          <w:p>
            <w:pPr>
              <w:spacing w:after="40" w:line="240" w:lineRule="auto"/>
              <w:jc w:val="left"/>
            </w:pPr>
            <w:r/>
            <w:r>
              <w:rPr>
                <w:b w:val="0"/>
                <w:color w:val="172033"/>
                <w:sz w:val="16"/>
              </w:rPr>
              <w:t>Saves parameters and keeps the parameter target focused on useful depth/width capacity.</w:t>
            </w:r>
          </w:p>
        </w:tc>
      </w:tr>
    </w:tbl>
    <w:p>
      <w:pPr>
        <w:spacing w:after="80" w:line="252" w:lineRule="auto"/>
      </w:pPr>
      <w:r>
        <w:br w:type="page"/>
      </w:r>
    </w:p>
    <w:p>
      <w:pPr>
        <w:pStyle w:val="Heading1"/>
        <w:spacing w:after="80" w:line="252" w:lineRule="auto"/>
      </w:pPr>
      <w:r>
        <w:rPr>
          <w:color w:val="172033"/>
        </w:rPr>
        <w:t>3. Precision And Quantization Position</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368"/>
      </w:tblGrid>
      <w:tr>
        <w:tc>
          <w:tcPr>
            <w:tcW w:type="dxa" w:w="10368"/>
            <w:shd w:fill="FFF7ED"/>
          </w:tcPr>
          <w:p>
            <w:pPr>
              <w:spacing w:after="40" w:line="240" w:lineRule="auto"/>
            </w:pPr>
            <w:r>
              <w:rPr>
                <w:b/>
                <w:color w:val="172033"/>
                <w:sz w:val="20"/>
              </w:rPr>
              <w:t>Clarification</w:t>
            </w:r>
          </w:p>
          <w:p>
            <w:pPr>
              <w:spacing w:after="40" w:line="240" w:lineRule="auto"/>
            </w:pPr>
            <w:r>
              <w:t>A 4-bit or 8-bit model is normally an inference/export format, not the safest base pretraining format. The production baseline should train in BF16, evaluate normally, then export INT8/INT4 variants for serving. FP8 or low-bit training can be ablated later after BF16 quality is known.</w:t>
            </w:r>
          </w:p>
        </w:tc>
      </w:tr>
    </w:tbl>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c>
          <w:tcPr>
            <w:tcW w:type="dxa" w:w="2304"/>
            <w:shd w:fill="111827"/>
          </w:tcPr>
          <w:p>
            <w:pPr>
              <w:spacing w:after="40" w:line="240" w:lineRule="auto"/>
              <w:jc w:val="left"/>
            </w:pPr>
            <w:r/>
            <w:r>
              <w:rPr>
                <w:b/>
                <w:color w:val="FFFFFF"/>
                <w:sz w:val="17"/>
              </w:rPr>
              <w:t>Precision path</w:t>
            </w:r>
          </w:p>
        </w:tc>
        <w:tc>
          <w:tcPr>
            <w:tcW w:type="dxa" w:w="1944"/>
            <w:shd w:fill="111827"/>
          </w:tcPr>
          <w:p>
            <w:pPr>
              <w:spacing w:after="40" w:line="240" w:lineRule="auto"/>
              <w:jc w:val="left"/>
            </w:pPr>
            <w:r/>
            <w:r>
              <w:rPr>
                <w:b/>
                <w:color w:val="FFFFFF"/>
                <w:sz w:val="17"/>
              </w:rPr>
              <w:t>Decision</w:t>
            </w:r>
          </w:p>
        </w:tc>
        <w:tc>
          <w:tcPr>
            <w:tcW w:type="dxa" w:w="5760"/>
            <w:shd w:fill="111827"/>
          </w:tcPr>
          <w:p>
            <w:pPr>
              <w:spacing w:after="40" w:line="240" w:lineRule="auto"/>
              <w:jc w:val="left"/>
            </w:pPr>
            <w:r/>
            <w:r>
              <w:rPr>
                <w:b/>
                <w:color w:val="FFFFFF"/>
                <w:sz w:val="17"/>
              </w:rPr>
              <w:t>Reason</w:t>
            </w:r>
          </w:p>
        </w:tc>
      </w:tr>
      <w:tr>
        <w:tc>
          <w:tcPr>
            <w:tcW w:type="dxa" w:w="2304"/>
            <w:vAlign w:val="top"/>
            <w:shd w:fill="F8FAFC"/>
          </w:tcPr>
          <w:p>
            <w:pPr>
              <w:spacing w:after="40" w:line="240" w:lineRule="auto"/>
              <w:jc w:val="left"/>
            </w:pPr>
            <w:r/>
            <w:r>
              <w:rPr>
                <w:b w:val="0"/>
                <w:color w:val="172033"/>
                <w:sz w:val="16"/>
              </w:rPr>
              <w:t>BF16 training</w:t>
            </w:r>
          </w:p>
        </w:tc>
        <w:tc>
          <w:tcPr>
            <w:tcW w:type="dxa" w:w="1944"/>
            <w:vAlign w:val="top"/>
          </w:tcPr>
          <w:p>
            <w:pPr>
              <w:spacing w:after="40" w:line="240" w:lineRule="auto"/>
              <w:jc w:val="left"/>
            </w:pPr>
            <w:r/>
            <w:r>
              <w:rPr>
                <w:b w:val="0"/>
                <w:color w:val="172033"/>
                <w:sz w:val="16"/>
              </w:rPr>
              <w:t>Default</w:t>
            </w:r>
          </w:p>
        </w:tc>
        <w:tc>
          <w:tcPr>
            <w:tcW w:type="dxa" w:w="5760"/>
            <w:vAlign w:val="top"/>
          </w:tcPr>
          <w:p>
            <w:pPr>
              <w:spacing w:after="40" w:line="240" w:lineRule="auto"/>
              <w:jc w:val="left"/>
            </w:pPr>
            <w:r/>
            <w:r>
              <w:rPr>
                <w:b w:val="0"/>
                <w:color w:val="172033"/>
                <w:sz w:val="16"/>
              </w:rPr>
              <w:t>Stable, well-supported on current accelerators, and the right baseline for from-scratch pretraining.</w:t>
            </w:r>
          </w:p>
        </w:tc>
      </w:tr>
      <w:tr>
        <w:tc>
          <w:tcPr>
            <w:tcW w:type="dxa" w:w="2304"/>
            <w:vAlign w:val="top"/>
            <w:shd w:fill="F8FAFC"/>
          </w:tcPr>
          <w:p>
            <w:pPr>
              <w:spacing w:after="40" w:line="240" w:lineRule="auto"/>
              <w:jc w:val="left"/>
            </w:pPr>
            <w:r/>
            <w:r>
              <w:rPr>
                <w:b w:val="0"/>
                <w:color w:val="172033"/>
                <w:sz w:val="16"/>
              </w:rPr>
              <w:t>FP8 training</w:t>
            </w:r>
          </w:p>
        </w:tc>
        <w:tc>
          <w:tcPr>
            <w:tcW w:type="dxa" w:w="1944"/>
            <w:vAlign w:val="top"/>
          </w:tcPr>
          <w:p>
            <w:pPr>
              <w:spacing w:after="40" w:line="240" w:lineRule="auto"/>
              <w:jc w:val="left"/>
            </w:pPr>
            <w:r/>
            <w:r>
              <w:rPr>
                <w:b w:val="0"/>
                <w:color w:val="172033"/>
                <w:sz w:val="16"/>
              </w:rPr>
              <w:t>Later ablation</w:t>
            </w:r>
          </w:p>
        </w:tc>
        <w:tc>
          <w:tcPr>
            <w:tcW w:type="dxa" w:w="5760"/>
            <w:vAlign w:val="top"/>
          </w:tcPr>
          <w:p>
            <w:pPr>
              <w:spacing w:after="40" w:line="240" w:lineRule="auto"/>
              <w:jc w:val="left"/>
            </w:pPr>
            <w:r/>
            <w:r>
              <w:rPr>
                <w:b w:val="0"/>
                <w:color w:val="172033"/>
                <w:sz w:val="16"/>
              </w:rPr>
              <w:t>Potential speed/memory win on modern hardware, but requires careful scaling, instrumentation, and quality comparison.</w:t>
            </w:r>
          </w:p>
        </w:tc>
      </w:tr>
      <w:tr>
        <w:tc>
          <w:tcPr>
            <w:tcW w:type="dxa" w:w="2304"/>
            <w:vAlign w:val="top"/>
            <w:shd w:fill="F8FAFC"/>
          </w:tcPr>
          <w:p>
            <w:pPr>
              <w:spacing w:after="40" w:line="240" w:lineRule="auto"/>
              <w:jc w:val="left"/>
            </w:pPr>
            <w:r/>
            <w:r>
              <w:rPr>
                <w:b w:val="0"/>
                <w:color w:val="172033"/>
                <w:sz w:val="16"/>
              </w:rPr>
              <w:t>INT8 inference</w:t>
            </w:r>
          </w:p>
        </w:tc>
        <w:tc>
          <w:tcPr>
            <w:tcW w:type="dxa" w:w="1944"/>
            <w:vAlign w:val="top"/>
          </w:tcPr>
          <w:p>
            <w:pPr>
              <w:spacing w:after="40" w:line="240" w:lineRule="auto"/>
              <w:jc w:val="left"/>
            </w:pPr>
            <w:r/>
            <w:r>
              <w:rPr>
                <w:b w:val="0"/>
                <w:color w:val="172033"/>
                <w:sz w:val="16"/>
              </w:rPr>
              <w:t>Export target</w:t>
            </w:r>
          </w:p>
        </w:tc>
        <w:tc>
          <w:tcPr>
            <w:tcW w:type="dxa" w:w="5760"/>
            <w:vAlign w:val="top"/>
          </w:tcPr>
          <w:p>
            <w:pPr>
              <w:spacing w:after="40" w:line="240" w:lineRule="auto"/>
              <w:jc w:val="left"/>
            </w:pPr>
            <w:r/>
            <w:r>
              <w:rPr>
                <w:b w:val="0"/>
                <w:color w:val="172033"/>
                <w:sz w:val="16"/>
              </w:rPr>
              <w:t>Useful for cheaper serving after the base checkpoint is trained and validated.</w:t>
            </w:r>
          </w:p>
        </w:tc>
      </w:tr>
      <w:tr>
        <w:tc>
          <w:tcPr>
            <w:tcW w:type="dxa" w:w="2304"/>
            <w:vAlign w:val="top"/>
            <w:shd w:fill="F8FAFC"/>
          </w:tcPr>
          <w:p>
            <w:pPr>
              <w:spacing w:after="40" w:line="240" w:lineRule="auto"/>
              <w:jc w:val="left"/>
            </w:pPr>
            <w:r/>
            <w:r>
              <w:rPr>
                <w:b w:val="0"/>
                <w:color w:val="172033"/>
                <w:sz w:val="16"/>
              </w:rPr>
              <w:t>INT4 inference</w:t>
            </w:r>
          </w:p>
        </w:tc>
        <w:tc>
          <w:tcPr>
            <w:tcW w:type="dxa" w:w="1944"/>
            <w:vAlign w:val="top"/>
          </w:tcPr>
          <w:p>
            <w:pPr>
              <w:spacing w:after="40" w:line="240" w:lineRule="auto"/>
              <w:jc w:val="left"/>
            </w:pPr>
            <w:r/>
            <w:r>
              <w:rPr>
                <w:b w:val="0"/>
                <w:color w:val="172033"/>
                <w:sz w:val="16"/>
              </w:rPr>
              <w:t>Export target</w:t>
            </w:r>
          </w:p>
        </w:tc>
        <w:tc>
          <w:tcPr>
            <w:tcW w:type="dxa" w:w="5760"/>
            <w:vAlign w:val="top"/>
          </w:tcPr>
          <w:p>
            <w:pPr>
              <w:spacing w:after="40" w:line="240" w:lineRule="auto"/>
              <w:jc w:val="left"/>
            </w:pPr>
            <w:r/>
            <w:r>
              <w:rPr>
                <w:b w:val="0"/>
                <w:color w:val="172033"/>
                <w:sz w:val="16"/>
              </w:rPr>
              <w:t>Useful for local/edge serving, but quality loss must be measured per task and context length.</w:t>
            </w:r>
          </w:p>
        </w:tc>
      </w:tr>
      <w:tr>
        <w:tc>
          <w:tcPr>
            <w:tcW w:type="dxa" w:w="2304"/>
            <w:vAlign w:val="top"/>
            <w:shd w:fill="F8FAFC"/>
          </w:tcPr>
          <w:p>
            <w:pPr>
              <w:spacing w:after="40" w:line="240" w:lineRule="auto"/>
              <w:jc w:val="left"/>
            </w:pPr>
            <w:r/>
            <w:r>
              <w:rPr>
                <w:b w:val="0"/>
                <w:color w:val="172033"/>
                <w:sz w:val="16"/>
              </w:rPr>
              <w:t>Native 4-bit/8-bit pretraining</w:t>
            </w:r>
          </w:p>
        </w:tc>
        <w:tc>
          <w:tcPr>
            <w:tcW w:type="dxa" w:w="1944"/>
            <w:vAlign w:val="top"/>
          </w:tcPr>
          <w:p>
            <w:pPr>
              <w:spacing w:after="40" w:line="240" w:lineRule="auto"/>
              <w:jc w:val="left"/>
            </w:pPr>
            <w:r/>
            <w:r>
              <w:rPr>
                <w:b w:val="0"/>
                <w:color w:val="172033"/>
                <w:sz w:val="16"/>
              </w:rPr>
              <w:t>Research risk</w:t>
            </w:r>
          </w:p>
        </w:tc>
        <w:tc>
          <w:tcPr>
            <w:tcW w:type="dxa" w:w="5760"/>
            <w:vAlign w:val="top"/>
          </w:tcPr>
          <w:p>
            <w:pPr>
              <w:spacing w:after="40" w:line="240" w:lineRule="auto"/>
              <w:jc w:val="left"/>
            </w:pPr>
            <w:r/>
            <w:r>
              <w:rPr>
                <w:b w:val="0"/>
                <w:color w:val="172033"/>
                <w:sz w:val="16"/>
              </w:rPr>
              <w:t>Not recommended for the first serious run because instability and quality attribution risk are high.</w:t>
            </w:r>
          </w:p>
        </w:tc>
      </w:tr>
    </w:tbl>
    <w:p>
      <w:pPr>
        <w:pStyle w:val="Heading1"/>
        <w:spacing w:after="80" w:line="252" w:lineRule="auto"/>
      </w:pPr>
      <w:r>
        <w:rPr>
          <w:color w:val="172033"/>
        </w:rPr>
        <w:t>4. Data Strategy</w:t>
      </w:r>
    </w:p>
    <w:p>
      <w:pPr>
        <w:spacing w:after="80" w:line="252" w:lineRule="auto"/>
      </w:pPr>
      <w:r>
        <w:t>The data plan is staged so the run does not depend on one giant opaque web dump. Each stage has its own quality threshold, mixture target, synthetic cap, and evaluation feedback loop.</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c>
          <w:tcPr>
            <w:tcW w:type="dxa" w:w="2880"/>
            <w:shd w:fill="111827"/>
          </w:tcPr>
          <w:p>
            <w:pPr>
              <w:spacing w:after="40" w:line="240" w:lineRule="auto"/>
              <w:jc w:val="left"/>
            </w:pPr>
            <w:r/>
            <w:r>
              <w:rPr>
                <w:b/>
                <w:color w:val="FFFFFF"/>
                <w:sz w:val="17"/>
              </w:rPr>
              <w:t>Stage</w:t>
            </w:r>
          </w:p>
        </w:tc>
        <w:tc>
          <w:tcPr>
            <w:tcW w:type="dxa" w:w="1872"/>
            <w:shd w:fill="111827"/>
          </w:tcPr>
          <w:p>
            <w:pPr>
              <w:spacing w:after="40" w:line="240" w:lineRule="auto"/>
              <w:jc w:val="left"/>
            </w:pPr>
            <w:r/>
            <w:r>
              <w:rPr>
                <w:b/>
                <w:color w:val="FFFFFF"/>
                <w:sz w:val="17"/>
              </w:rPr>
              <w:t>Scale</w:t>
            </w:r>
          </w:p>
        </w:tc>
        <w:tc>
          <w:tcPr>
            <w:tcW w:type="dxa" w:w="5328"/>
            <w:shd w:fill="111827"/>
          </w:tcPr>
          <w:p>
            <w:pPr>
              <w:spacing w:after="40" w:line="240" w:lineRule="auto"/>
              <w:jc w:val="left"/>
            </w:pPr>
            <w:r/>
            <w:r>
              <w:rPr>
                <w:b/>
                <w:color w:val="FFFFFF"/>
                <w:sz w:val="17"/>
              </w:rPr>
              <w:t>Purpose</w:t>
            </w:r>
          </w:p>
        </w:tc>
      </w:tr>
      <w:tr>
        <w:tc>
          <w:tcPr>
            <w:tcW w:type="dxa" w:w="2880"/>
            <w:vAlign w:val="top"/>
            <w:shd w:fill="F8FAFC"/>
          </w:tcPr>
          <w:p>
            <w:pPr>
              <w:spacing w:after="40" w:line="240" w:lineRule="auto"/>
              <w:jc w:val="left"/>
            </w:pPr>
            <w:r/>
            <w:r>
              <w:rPr>
                <w:b w:val="0"/>
                <w:color w:val="172033"/>
                <w:sz w:val="16"/>
              </w:rPr>
              <w:t>Stage 1 - Foundation</w:t>
            </w:r>
          </w:p>
        </w:tc>
        <w:tc>
          <w:tcPr>
            <w:tcW w:type="dxa" w:w="1872"/>
            <w:vAlign w:val="top"/>
          </w:tcPr>
          <w:p>
            <w:pPr>
              <w:spacing w:after="40" w:line="240" w:lineRule="auto"/>
              <w:jc w:val="left"/>
            </w:pPr>
            <w:r/>
            <w:r>
              <w:rPr>
                <w:b w:val="0"/>
                <w:color w:val="172033"/>
                <w:sz w:val="16"/>
              </w:rPr>
              <w:t>1.05T tokens</w:t>
            </w:r>
          </w:p>
        </w:tc>
        <w:tc>
          <w:tcPr>
            <w:tcW w:type="dxa" w:w="5328"/>
            <w:vAlign w:val="top"/>
          </w:tcPr>
          <w:p>
            <w:pPr>
              <w:spacing w:after="40" w:line="240" w:lineRule="auto"/>
              <w:jc w:val="left"/>
            </w:pPr>
            <w:r/>
            <w:r>
              <w:rPr>
                <w:b w:val="0"/>
                <w:color w:val="172033"/>
                <w:sz w:val="16"/>
              </w:rPr>
              <w:t>Broad base: high-quality web, books, code, math/STEM, multilingual and Indic. Synthetic cap &lt;= 3%.</w:t>
            </w:r>
          </w:p>
        </w:tc>
      </w:tr>
      <w:tr>
        <w:tc>
          <w:tcPr>
            <w:tcW w:type="dxa" w:w="2880"/>
            <w:vAlign w:val="top"/>
            <w:shd w:fill="F8FAFC"/>
          </w:tcPr>
          <w:p>
            <w:pPr>
              <w:spacing w:after="40" w:line="240" w:lineRule="auto"/>
              <w:jc w:val="left"/>
            </w:pPr>
            <w:r/>
            <w:r>
              <w:rPr>
                <w:b w:val="0"/>
                <w:color w:val="172033"/>
                <w:sz w:val="16"/>
              </w:rPr>
              <w:t>Stage 2 - Quality continuation</w:t>
            </w:r>
          </w:p>
        </w:tc>
        <w:tc>
          <w:tcPr>
            <w:tcW w:type="dxa" w:w="1872"/>
            <w:vAlign w:val="top"/>
          </w:tcPr>
          <w:p>
            <w:pPr>
              <w:spacing w:after="40" w:line="240" w:lineRule="auto"/>
              <w:jc w:val="left"/>
            </w:pPr>
            <w:r/>
            <w:r>
              <w:rPr>
                <w:b w:val="0"/>
                <w:color w:val="172033"/>
                <w:sz w:val="16"/>
              </w:rPr>
              <w:t>300B tokens</w:t>
            </w:r>
          </w:p>
        </w:tc>
        <w:tc>
          <w:tcPr>
            <w:tcW w:type="dxa" w:w="5328"/>
            <w:vAlign w:val="top"/>
          </w:tcPr>
          <w:p>
            <w:pPr>
              <w:spacing w:after="40" w:line="240" w:lineRule="auto"/>
              <w:jc w:val="left"/>
            </w:pPr>
            <w:r/>
            <w:r>
              <w:rPr>
                <w:b w:val="0"/>
                <w:color w:val="172033"/>
                <w:sz w:val="16"/>
              </w:rPr>
              <w:t>Higher-quality continuation with stronger code/math/books share and lower noisy web share. Synthetic cap &lt;= 7%.</w:t>
            </w:r>
          </w:p>
        </w:tc>
      </w:tr>
      <w:tr>
        <w:tc>
          <w:tcPr>
            <w:tcW w:type="dxa" w:w="2880"/>
            <w:vAlign w:val="top"/>
            <w:shd w:fill="F8FAFC"/>
          </w:tcPr>
          <w:p>
            <w:pPr>
              <w:spacing w:after="40" w:line="240" w:lineRule="auto"/>
              <w:jc w:val="left"/>
            </w:pPr>
            <w:r/>
            <w:r>
              <w:rPr>
                <w:b w:val="0"/>
                <w:color w:val="172033"/>
                <w:sz w:val="16"/>
              </w:rPr>
              <w:t>Stage 3 - Anneal</w:t>
            </w:r>
          </w:p>
        </w:tc>
        <w:tc>
          <w:tcPr>
            <w:tcW w:type="dxa" w:w="1872"/>
            <w:vAlign w:val="top"/>
          </w:tcPr>
          <w:p>
            <w:pPr>
              <w:spacing w:after="40" w:line="240" w:lineRule="auto"/>
              <w:jc w:val="left"/>
            </w:pPr>
            <w:r/>
            <w:r>
              <w:rPr>
                <w:b w:val="0"/>
                <w:color w:val="172033"/>
                <w:sz w:val="16"/>
              </w:rPr>
              <w:t>150B tokens</w:t>
            </w:r>
          </w:p>
        </w:tc>
        <w:tc>
          <w:tcPr>
            <w:tcW w:type="dxa" w:w="5328"/>
            <w:vAlign w:val="top"/>
          </w:tcPr>
          <w:p>
            <w:pPr>
              <w:spacing w:after="40" w:line="240" w:lineRule="auto"/>
              <w:jc w:val="left"/>
            </w:pPr>
            <w:r/>
            <w:r>
              <w:rPr>
                <w:b w:val="0"/>
                <w:color w:val="172033"/>
                <w:sz w:val="16"/>
              </w:rPr>
              <w:t>Final quality and instruction-adjacent anneal without turning pretraining into supervised tuning. Synthetic cap &lt;= 10%.</w:t>
            </w:r>
          </w:p>
        </w:tc>
      </w:tr>
    </w:tbl>
    <w:p>
      <w:pPr>
        <w:pStyle w:val="ListBullet"/>
        <w:spacing w:after="80" w:line="252" w:lineRule="auto"/>
      </w:pPr>
      <w:r>
        <w:t>Every dataset bucket needs a card: source, license, transforms, filtering thresholds, estimated contamination risk, and token contribution.</w:t>
      </w:r>
    </w:p>
    <w:p>
      <w:pPr>
        <w:pStyle w:val="ListBullet"/>
        <w:spacing w:after="80" w:line="252" w:lineRule="auto"/>
      </w:pPr>
      <w:r>
        <w:t>Dedup should combine exact hashing and near-dedup methods; benchmark decontamination must run before headline evaluation claims.</w:t>
      </w:r>
    </w:p>
    <w:p>
      <w:pPr>
        <w:pStyle w:val="ListBullet"/>
        <w:spacing w:after="80" w:line="252" w:lineRule="auto"/>
      </w:pPr>
      <w:r>
        <w:t>Synthetic data is capped because it can improve coverage but also amplify teacher bias, templating artifacts, and evaluation leakage.</w:t>
      </w:r>
    </w:p>
    <w:p>
      <w:pPr>
        <w:pStyle w:val="Heading1"/>
        <w:spacing w:after="80" w:line="252" w:lineRule="auto"/>
      </w:pPr>
      <w:r>
        <w:rPr>
          <w:color w:val="172033"/>
        </w:rPr>
        <w:t>5. Math And Compute Model</w:t>
      </w:r>
    </w:p>
    <w:p>
      <w:pPr>
        <w:spacing w:after="80" w:line="252" w:lineRule="auto"/>
      </w:pPr>
      <w:r>
        <w:t>A first-order dense pretraining compute estimate is training FLOPs ~= 6 * parameters * tokens. For 1.49B parameters and 1.5T tokens, this is about 1.34e22 FLOPs before overhead, retries, evals, and checkpoint costs.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c>
          <w:tcPr>
            <w:tcW w:type="dxa" w:w="2880"/>
            <w:shd w:fill="111827"/>
          </w:tcPr>
          <w:p>
            <w:pPr>
              <w:spacing w:after="40" w:line="240" w:lineRule="auto"/>
              <w:jc w:val="left"/>
            </w:pPr>
            <w:r/>
            <w:r>
              <w:rPr>
                <w:b/>
                <w:color w:val="FFFFFF"/>
                <w:sz w:val="17"/>
              </w:rPr>
              <w:t>Quantity</w:t>
            </w:r>
          </w:p>
        </w:tc>
        <w:tc>
          <w:tcPr>
            <w:tcW w:type="dxa" w:w="7200"/>
            <w:shd w:fill="111827"/>
          </w:tcPr>
          <w:p>
            <w:pPr>
              <w:spacing w:after="40" w:line="240" w:lineRule="auto"/>
              <w:jc w:val="left"/>
            </w:pPr>
            <w:r/>
            <w:r>
              <w:rPr>
                <w:b/>
                <w:color w:val="FFFFFF"/>
                <w:sz w:val="17"/>
              </w:rPr>
              <w:t>Planning value</w:t>
            </w:r>
          </w:p>
        </w:tc>
      </w:tr>
      <w:tr>
        <w:tc>
          <w:tcPr>
            <w:tcW w:type="dxa" w:w="2880"/>
            <w:vAlign w:val="top"/>
            <w:shd w:fill="F8FAFC"/>
          </w:tcPr>
          <w:p>
            <w:pPr>
              <w:spacing w:after="40" w:line="240" w:lineRule="auto"/>
              <w:jc w:val="left"/>
            </w:pPr>
            <w:r/>
            <w:r>
              <w:rPr>
                <w:b w:val="0"/>
                <w:color w:val="172033"/>
                <w:sz w:val="16"/>
              </w:rPr>
              <w:t>Parameter target</w:t>
            </w:r>
          </w:p>
        </w:tc>
        <w:tc>
          <w:tcPr>
            <w:tcW w:type="dxa" w:w="7200"/>
            <w:vAlign w:val="top"/>
          </w:tcPr>
          <w:p>
            <w:pPr>
              <w:spacing w:after="40" w:line="240" w:lineRule="auto"/>
              <w:jc w:val="left"/>
            </w:pPr>
            <w:r/>
            <w:r>
              <w:rPr>
                <w:b w:val="0"/>
                <w:color w:val="172033"/>
                <w:sz w:val="16"/>
              </w:rPr>
              <w:t>1.485B estimated by current config; 0.34% from the 1.49B target.</w:t>
            </w:r>
          </w:p>
        </w:tc>
      </w:tr>
      <w:tr>
        <w:tc>
          <w:tcPr>
            <w:tcW w:type="dxa" w:w="2880"/>
            <w:vAlign w:val="top"/>
            <w:shd w:fill="F8FAFC"/>
          </w:tcPr>
          <w:p>
            <w:pPr>
              <w:spacing w:after="40" w:line="240" w:lineRule="auto"/>
              <w:jc w:val="left"/>
            </w:pPr>
            <w:r/>
            <w:r>
              <w:rPr>
                <w:b w:val="0"/>
                <w:color w:val="172033"/>
                <w:sz w:val="16"/>
              </w:rPr>
              <w:t>Token budget</w:t>
            </w:r>
          </w:p>
        </w:tc>
        <w:tc>
          <w:tcPr>
            <w:tcW w:type="dxa" w:w="7200"/>
            <w:vAlign w:val="top"/>
          </w:tcPr>
          <w:p>
            <w:pPr>
              <w:spacing w:after="40" w:line="240" w:lineRule="auto"/>
              <w:jc w:val="left"/>
            </w:pPr>
            <w:r/>
            <w:r>
              <w:rPr>
                <w:b w:val="0"/>
                <w:color w:val="172033"/>
                <w:sz w:val="16"/>
              </w:rPr>
              <w:t>1.5T planned; 1T minimum; 3T stretch only after data quality and eval gates are stable.</w:t>
            </w:r>
          </w:p>
        </w:tc>
      </w:tr>
      <w:tr>
        <w:tc>
          <w:tcPr>
            <w:tcW w:type="dxa" w:w="2880"/>
            <w:vAlign w:val="top"/>
            <w:shd w:fill="F8FAFC"/>
          </w:tcPr>
          <w:p>
            <w:pPr>
              <w:spacing w:after="40" w:line="240" w:lineRule="auto"/>
              <w:jc w:val="left"/>
            </w:pPr>
            <w:r/>
            <w:r>
              <w:rPr>
                <w:b w:val="0"/>
                <w:color w:val="172033"/>
                <w:sz w:val="16"/>
              </w:rPr>
              <w:t>Main-run compute</w:t>
            </w:r>
          </w:p>
        </w:tc>
        <w:tc>
          <w:tcPr>
            <w:tcW w:type="dxa" w:w="7200"/>
            <w:vAlign w:val="top"/>
          </w:tcPr>
          <w:p>
            <w:pPr>
              <w:spacing w:after="40" w:line="240" w:lineRule="auto"/>
              <w:jc w:val="left"/>
            </w:pPr>
            <w:r/>
            <w:r>
              <w:rPr>
                <w:b w:val="0"/>
                <w:color w:val="172033"/>
                <w:sz w:val="16"/>
              </w:rPr>
              <w:t>~1.34e22 dense training FLOPs for 1.49B x 1.5T.</w:t>
            </w:r>
          </w:p>
        </w:tc>
      </w:tr>
      <w:tr>
        <w:tc>
          <w:tcPr>
            <w:tcW w:type="dxa" w:w="2880"/>
            <w:vAlign w:val="top"/>
            <w:shd w:fill="F8FAFC"/>
          </w:tcPr>
          <w:p>
            <w:pPr>
              <w:spacing w:after="40" w:line="240" w:lineRule="auto"/>
              <w:jc w:val="left"/>
            </w:pPr>
            <w:r/>
            <w:r>
              <w:rPr>
                <w:b w:val="0"/>
                <w:color w:val="172033"/>
                <w:sz w:val="16"/>
              </w:rPr>
              <w:t>Storage</w:t>
            </w:r>
          </w:p>
        </w:tc>
        <w:tc>
          <w:tcPr>
            <w:tcW w:type="dxa" w:w="7200"/>
            <w:vAlign w:val="top"/>
          </w:tcPr>
          <w:p>
            <w:pPr>
              <w:spacing w:after="40" w:line="240" w:lineRule="auto"/>
              <w:jc w:val="left"/>
            </w:pPr>
            <w:r/>
            <w:r>
              <w:rPr>
                <w:b w:val="0"/>
                <w:color w:val="172033"/>
                <w:sz w:val="16"/>
              </w:rPr>
              <w:t>Plan for raw data, normalized text, packed shards, metadata, checkpoints, logs, eval artifacts, and backup copies.</w:t>
            </w:r>
          </w:p>
        </w:tc>
      </w:tr>
      <w:tr>
        <w:tc>
          <w:tcPr>
            <w:tcW w:type="dxa" w:w="2880"/>
            <w:vAlign w:val="top"/>
            <w:shd w:fill="F8FAFC"/>
          </w:tcPr>
          <w:p>
            <w:pPr>
              <w:spacing w:after="40" w:line="240" w:lineRule="auto"/>
              <w:jc w:val="left"/>
            </w:pPr>
            <w:r/>
            <w:r>
              <w:rPr>
                <w:b w:val="0"/>
                <w:color w:val="172033"/>
                <w:sz w:val="16"/>
              </w:rPr>
              <w:t>Batching</w:t>
            </w:r>
          </w:p>
        </w:tc>
        <w:tc>
          <w:tcPr>
            <w:tcW w:type="dxa" w:w="7200"/>
            <w:vAlign w:val="top"/>
          </w:tcPr>
          <w:p>
            <w:pPr>
              <w:spacing w:after="40" w:line="240" w:lineRule="auto"/>
              <w:jc w:val="left"/>
            </w:pPr>
            <w:r/>
            <w:r>
              <w:rPr>
                <w:b w:val="0"/>
                <w:color w:val="172033"/>
                <w:sz w:val="16"/>
              </w:rPr>
              <w:t>Use packed fixed-length sequences with sequence-id cursoring so exact resume is testable.</w:t>
            </w:r>
          </w:p>
        </w:tc>
      </w:tr>
    </w:tbl>
    <w:p>
      <w:r>
        <w:br w:type="page"/>
      </w:r>
    </w:p>
    <w:p>
      <w:pPr>
        <w:pStyle w:val="Heading1"/>
        <w:spacing w:after="80" w:line="252" w:lineRule="auto"/>
      </w:pPr>
      <w:r>
        <w:rPr>
          <w:color w:val="172033"/>
        </w:rPr>
        <w:t>6. Hardware And Timeline</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c>
          <w:tcPr>
            <w:tcW w:type="dxa" w:w="2304"/>
            <w:shd w:fill="111827"/>
          </w:tcPr>
          <w:p>
            <w:pPr>
              <w:spacing w:after="40" w:line="240" w:lineRule="auto"/>
              <w:jc w:val="left"/>
            </w:pPr>
            <w:r/>
            <w:r>
              <w:rPr>
                <w:b/>
                <w:color w:val="FFFFFF"/>
                <w:sz w:val="17"/>
              </w:rPr>
              <w:t>Tier</w:t>
            </w:r>
          </w:p>
        </w:tc>
        <w:tc>
          <w:tcPr>
            <w:tcW w:type="dxa" w:w="2880"/>
            <w:shd w:fill="111827"/>
          </w:tcPr>
          <w:p>
            <w:pPr>
              <w:spacing w:after="40" w:line="240" w:lineRule="auto"/>
              <w:jc w:val="left"/>
            </w:pPr>
            <w:r/>
            <w:r>
              <w:rPr>
                <w:b/>
                <w:color w:val="FFFFFF"/>
                <w:sz w:val="17"/>
              </w:rPr>
              <w:t>Hardware</w:t>
            </w:r>
          </w:p>
        </w:tc>
        <w:tc>
          <w:tcPr>
            <w:tcW w:type="dxa" w:w="4896"/>
            <w:shd w:fill="111827"/>
          </w:tcPr>
          <w:p>
            <w:pPr>
              <w:spacing w:after="40" w:line="240" w:lineRule="auto"/>
              <w:jc w:val="left"/>
            </w:pPr>
            <w:r/>
            <w:r>
              <w:rPr>
                <w:b/>
                <w:color w:val="FFFFFF"/>
                <w:sz w:val="17"/>
              </w:rPr>
              <w:t>Rationale</w:t>
            </w:r>
          </w:p>
        </w:tc>
      </w:tr>
      <w:tr>
        <w:tc>
          <w:tcPr>
            <w:tcW w:type="dxa" w:w="2304"/>
            <w:vAlign w:val="top"/>
            <w:shd w:fill="F8FAFC"/>
          </w:tcPr>
          <w:p>
            <w:pPr>
              <w:spacing w:after="40" w:line="240" w:lineRule="auto"/>
              <w:jc w:val="left"/>
            </w:pPr>
            <w:r/>
            <w:r>
              <w:rPr>
                <w:b w:val="0"/>
                <w:color w:val="172033"/>
                <w:sz w:val="16"/>
              </w:rPr>
              <w:t>Minimum serious run</w:t>
            </w:r>
          </w:p>
        </w:tc>
        <w:tc>
          <w:tcPr>
            <w:tcW w:type="dxa" w:w="2880"/>
            <w:vAlign w:val="top"/>
          </w:tcPr>
          <w:p>
            <w:pPr>
              <w:spacing w:after="40" w:line="240" w:lineRule="auto"/>
              <w:jc w:val="left"/>
            </w:pPr>
            <w:r/>
            <w:r>
              <w:rPr>
                <w:b w:val="0"/>
                <w:color w:val="172033"/>
                <w:sz w:val="16"/>
              </w:rPr>
              <w:t>8x H100/H200-class GPUs</w:t>
            </w:r>
          </w:p>
        </w:tc>
        <w:tc>
          <w:tcPr>
            <w:tcW w:type="dxa" w:w="4896"/>
            <w:vAlign w:val="top"/>
          </w:tcPr>
          <w:p>
            <w:pPr>
              <w:spacing w:after="40" w:line="240" w:lineRule="auto"/>
              <w:jc w:val="left"/>
            </w:pPr>
            <w:r/>
            <w:r>
              <w:rPr>
                <w:b w:val="0"/>
                <w:color w:val="172033"/>
                <w:sz w:val="16"/>
              </w:rPr>
              <w:t>Useful for pilots and smaller main-run attempts; wall clock and operational risk are higher.</w:t>
            </w:r>
          </w:p>
        </w:tc>
      </w:tr>
      <w:tr>
        <w:tc>
          <w:tcPr>
            <w:tcW w:type="dxa" w:w="2304"/>
            <w:vAlign w:val="top"/>
            <w:shd w:fill="F8FAFC"/>
          </w:tcPr>
          <w:p>
            <w:pPr>
              <w:spacing w:after="40" w:line="240" w:lineRule="auto"/>
              <w:jc w:val="left"/>
            </w:pPr>
            <w:r/>
            <w:r>
              <w:rPr>
                <w:b w:val="0"/>
                <w:color w:val="172033"/>
                <w:sz w:val="16"/>
              </w:rPr>
              <w:t>Recommended</w:t>
            </w:r>
          </w:p>
        </w:tc>
        <w:tc>
          <w:tcPr>
            <w:tcW w:type="dxa" w:w="2880"/>
            <w:vAlign w:val="top"/>
          </w:tcPr>
          <w:p>
            <w:pPr>
              <w:spacing w:after="40" w:line="240" w:lineRule="auto"/>
              <w:jc w:val="left"/>
            </w:pPr>
            <w:r/>
            <w:r>
              <w:rPr>
                <w:b w:val="0"/>
                <w:color w:val="172033"/>
                <w:sz w:val="16"/>
              </w:rPr>
              <w:t>16x H200/B200-class GPUs</w:t>
            </w:r>
          </w:p>
        </w:tc>
        <w:tc>
          <w:tcPr>
            <w:tcW w:type="dxa" w:w="4896"/>
            <w:vAlign w:val="top"/>
          </w:tcPr>
          <w:p>
            <w:pPr>
              <w:spacing w:after="40" w:line="240" w:lineRule="auto"/>
              <w:jc w:val="left"/>
            </w:pPr>
            <w:r/>
            <w:r>
              <w:rPr>
                <w:b w:val="0"/>
                <w:color w:val="172033"/>
                <w:sz w:val="16"/>
              </w:rPr>
              <w:t>Practical class for 1.5T tokens with checkpoint/eval overhead and iteration budget.</w:t>
            </w:r>
          </w:p>
        </w:tc>
      </w:tr>
      <w:tr>
        <w:tc>
          <w:tcPr>
            <w:tcW w:type="dxa" w:w="2304"/>
            <w:vAlign w:val="top"/>
            <w:shd w:fill="F8FAFC"/>
          </w:tcPr>
          <w:p>
            <w:pPr>
              <w:spacing w:after="40" w:line="240" w:lineRule="auto"/>
              <w:jc w:val="left"/>
            </w:pPr>
            <w:r/>
            <w:r>
              <w:rPr>
                <w:b w:val="0"/>
                <w:color w:val="172033"/>
                <w:sz w:val="16"/>
              </w:rPr>
              <w:t>Strong target</w:t>
            </w:r>
          </w:p>
        </w:tc>
        <w:tc>
          <w:tcPr>
            <w:tcW w:type="dxa" w:w="2880"/>
            <w:vAlign w:val="top"/>
          </w:tcPr>
          <w:p>
            <w:pPr>
              <w:spacing w:after="40" w:line="240" w:lineRule="auto"/>
              <w:jc w:val="left"/>
            </w:pPr>
            <w:r/>
            <w:r>
              <w:rPr>
                <w:b w:val="0"/>
                <w:color w:val="172033"/>
                <w:sz w:val="16"/>
              </w:rPr>
              <w:t>32x H200/B200-class GPUs</w:t>
            </w:r>
          </w:p>
        </w:tc>
        <w:tc>
          <w:tcPr>
            <w:tcW w:type="dxa" w:w="4896"/>
            <w:vAlign w:val="top"/>
          </w:tcPr>
          <w:p>
            <w:pPr>
              <w:spacing w:after="40" w:line="240" w:lineRule="auto"/>
              <w:jc w:val="left"/>
            </w:pPr>
            <w:r/>
            <w:r>
              <w:rPr>
                <w:b w:val="0"/>
                <w:color w:val="172033"/>
                <w:sz w:val="16"/>
              </w:rPr>
              <w:t>Better for faster iteration, larger ablations, and lower risk if restarts/evals consume time.</w:t>
            </w:r>
          </w:p>
        </w:tc>
      </w:tr>
      <w:tr>
        <w:tc>
          <w:tcPr>
            <w:tcW w:type="dxa" w:w="2304"/>
            <w:vAlign w:val="top"/>
            <w:shd w:fill="F8FAFC"/>
          </w:tcPr>
          <w:p>
            <w:pPr>
              <w:spacing w:after="40" w:line="240" w:lineRule="auto"/>
              <w:jc w:val="left"/>
            </w:pPr>
            <w:r/>
            <w:r>
              <w:rPr>
                <w:b w:val="0"/>
                <w:color w:val="172033"/>
                <w:sz w:val="16"/>
              </w:rPr>
              <w:t>Storage</w:t>
            </w:r>
          </w:p>
        </w:tc>
        <w:tc>
          <w:tcPr>
            <w:tcW w:type="dxa" w:w="2880"/>
            <w:vAlign w:val="top"/>
          </w:tcPr>
          <w:p>
            <w:pPr>
              <w:spacing w:after="40" w:line="240" w:lineRule="auto"/>
              <w:jc w:val="left"/>
            </w:pPr>
            <w:r/>
            <w:r>
              <w:rPr>
                <w:b w:val="0"/>
                <w:color w:val="172033"/>
                <w:sz w:val="16"/>
              </w:rPr>
              <w:t>Multi-TB fast local + object storage</w:t>
            </w:r>
          </w:p>
        </w:tc>
        <w:tc>
          <w:tcPr>
            <w:tcW w:type="dxa" w:w="4896"/>
            <w:vAlign w:val="top"/>
          </w:tcPr>
          <w:p>
            <w:pPr>
              <w:spacing w:after="40" w:line="240" w:lineRule="auto"/>
              <w:jc w:val="left"/>
            </w:pPr>
            <w:r/>
            <w:r>
              <w:rPr>
                <w:b w:val="0"/>
                <w:color w:val="172033"/>
                <w:sz w:val="16"/>
              </w:rPr>
              <w:t>Packed data, checkpoints, optimizer state, logs, and immutable manifests need throughput and durability.</w:t>
            </w:r>
          </w:p>
        </w:tc>
      </w:tr>
    </w:tbl>
    <w:p>
      <w:pPr>
        <w:spacing w:after="80" w:line="252" w:lineRule="auto"/>
      </w:pPr>
      <w:r>
        <w:t>A realistic 16-GPU project timeline is 10-13 weeks end to end: data/tokenizer gates, proxy runs, distributed runtime hardening, main run, evaluation, export, and release packaging. The actual main run is only one part of the schedule; data and validation dominate the risk.</w:t>
      </w:r>
    </w:p>
    <w:p>
      <w:pPr>
        <w:pStyle w:val="Heading2"/>
      </w:pPr>
      <w:r>
        <w:rPr>
          <w:b w:val="0"/>
          <w:color w:val="172033"/>
          <w:sz w:val="26"/>
        </w:rPr>
        <w:t>Training timeline (16-GPU planning case)</w:t>
      </w:r>
    </w:p>
    <w:p>
      <w:r>
        <w:rPr>
          <w:b w:val="0"/>
          <w:sz w:val="19"/>
        </w:rPr>
        <w:t>Week 0-1 - lock dataset governance, source cards, license gates, and contamination policy.</w:t>
      </w:r>
    </w:p>
    <w:p>
      <w:r>
        <w:rPr>
          <w:b w:val="0"/>
          <w:sz w:val="19"/>
        </w:rPr>
        <w:t>Week 1-2 - run tokenizer ablations, choose production vocab, and validate packed-shard metadata.</w:t>
      </w:r>
    </w:p>
    <w:p>
      <w:r>
        <w:rPr>
          <w:b w:val="0"/>
          <w:sz w:val="19"/>
        </w:rPr>
        <w:t>Week 2-4 - run 400M proxy experiments, harden exact resume, and compare data mixture options.</w:t>
      </w:r>
    </w:p>
    <w:p>
      <w:r>
        <w:rPr>
          <w:b w:val="0"/>
          <w:sz w:val="19"/>
        </w:rPr>
        <w:t>Week 4-5 - complete distributed launch rehearsals, DCP restore tests, and failure-drill checkpoints.</w:t>
      </w:r>
    </w:p>
    <w:p>
      <w:r>
        <w:rPr>
          <w:b w:val="0"/>
          <w:sz w:val="19"/>
        </w:rPr>
        <w:t>Week 5-9 - execute the 1.5T dense main run, with scheduled evals and checkpoint audits.</w:t>
      </w:r>
    </w:p>
    <w:p>
      <w:r>
        <w:rPr>
          <w:b w:val="0"/>
          <w:sz w:val="19"/>
        </w:rPr>
        <w:t>Week 9-11 - run decontaminated evaluations, regression analysis, safety checks, and model-card draft.</w:t>
      </w:r>
    </w:p>
    <w:p>
      <w:r>
        <w:rPr>
          <w:b w:val="0"/>
          <w:sz w:val="19"/>
        </w:rPr>
        <w:t>Week 11-13 - export SafeTensors, produce INT8/INT4 serving variants, and package reproducibility artifacts.</w:t>
      </w:r>
    </w:p>
    <w:p>
      <w:pPr>
        <w:spacing w:after="80" w:line="252" w:lineRule="auto"/>
      </w:pPr>
      <w:r>
        <w:br w:type="page"/>
      </w:r>
    </w:p>
    <w:p>
      <w:pPr>
        <w:pStyle w:val="Heading1"/>
        <w:spacing w:after="80" w:line="252" w:lineRule="auto"/>
      </w:pPr>
      <w:r>
        <w:rPr>
          <w:color w:val="172033"/>
        </w:rPr>
        <w:t>7. Proofs Of Concept And Progress</w:t>
      </w:r>
    </w:p>
    <w:p>
      <w:pPr>
        <w:spacing w:after="80" w:line="252" w:lineRule="auto"/>
        <w:jc w:val="center"/>
      </w:pPr>
      <w:r>
        <w:drawing>
          <wp:inline xmlns:a="http://schemas.openxmlformats.org/drawingml/2006/main" xmlns:pic="http://schemas.openxmlformats.org/drawingml/2006/picture">
            <wp:extent cx="6400800" cy="3388659"/>
            <wp:docPr id="3" name="Picture 3"/>
            <wp:cNvGraphicFramePr>
              <a:graphicFrameLocks noChangeAspect="1"/>
            </wp:cNvGraphicFramePr>
            <a:graphic>
              <a:graphicData uri="http://schemas.openxmlformats.org/drawingml/2006/picture">
                <pic:pic>
                  <pic:nvPicPr>
                    <pic:cNvPr id="0" name="pre2_roadmap.png"/>
                    <pic:cNvPicPr/>
                  </pic:nvPicPr>
                  <pic:blipFill>
                    <a:blip r:embed="rId11"/>
                    <a:stretch>
                      <a:fillRect/>
                    </a:stretch>
                  </pic:blipFill>
                  <pic:spPr>
                    <a:xfrm>
                      <a:off x="0" y="0"/>
                      <a:ext cx="6400800" cy="3388659"/>
                    </a:xfrm>
                    <a:prstGeom prst="rect"/>
                  </pic:spPr>
                </pic:pic>
              </a:graphicData>
            </a:graphic>
          </wp:inline>
        </w:drawing>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c>
          <w:tcPr>
            <w:tcW w:type="dxa" w:w="2520"/>
            <w:shd w:fill="111827"/>
          </w:tcPr>
          <w:p>
            <w:pPr>
              <w:spacing w:after="40" w:line="240" w:lineRule="auto"/>
              <w:jc w:val="left"/>
            </w:pPr>
            <w:r/>
            <w:r>
              <w:rPr>
                <w:b/>
                <w:color w:val="FFFFFF"/>
                <w:sz w:val="17"/>
              </w:rPr>
              <w:t>Track</w:t>
            </w:r>
          </w:p>
        </w:tc>
        <w:tc>
          <w:tcPr>
            <w:tcW w:type="dxa" w:w="1440"/>
            <w:shd w:fill="111827"/>
          </w:tcPr>
          <w:p>
            <w:pPr>
              <w:spacing w:after="40" w:line="240" w:lineRule="auto"/>
              <w:jc w:val="left"/>
            </w:pPr>
            <w:r/>
            <w:r>
              <w:rPr>
                <w:b/>
                <w:color w:val="FFFFFF"/>
                <w:sz w:val="17"/>
              </w:rPr>
              <w:t>Status</w:t>
            </w:r>
          </w:p>
        </w:tc>
        <w:tc>
          <w:tcPr>
            <w:tcW w:type="dxa" w:w="6264"/>
            <w:shd w:fill="111827"/>
          </w:tcPr>
          <w:p>
            <w:pPr>
              <w:spacing w:after="40" w:line="240" w:lineRule="auto"/>
              <w:jc w:val="left"/>
            </w:pPr>
            <w:r/>
            <w:r>
              <w:rPr>
                <w:b/>
                <w:color w:val="FFFFFF"/>
                <w:sz w:val="17"/>
              </w:rPr>
              <w:t>Evidence / next gate</w:t>
            </w:r>
          </w:p>
        </w:tc>
      </w:tr>
      <w:tr>
        <w:tc>
          <w:tcPr>
            <w:tcW w:type="dxa" w:w="2520"/>
            <w:vAlign w:val="top"/>
            <w:shd w:fill="F8FAFC"/>
          </w:tcPr>
          <w:p>
            <w:pPr>
              <w:spacing w:after="40" w:line="240" w:lineRule="auto"/>
              <w:jc w:val="left"/>
            </w:pPr>
            <w:r/>
            <w:r>
              <w:rPr>
                <w:b w:val="0"/>
                <w:color w:val="172033"/>
                <w:sz w:val="16"/>
              </w:rPr>
              <w:t>Pre-1 foundations</w:t>
            </w:r>
          </w:p>
        </w:tc>
        <w:tc>
          <w:tcPr>
            <w:tcW w:type="dxa" w:w="1440"/>
            <w:vAlign w:val="top"/>
          </w:tcPr>
          <w:p>
            <w:pPr>
              <w:spacing w:after="40" w:line="240" w:lineRule="auto"/>
              <w:jc w:val="left"/>
            </w:pPr>
            <w:r/>
            <w:r>
              <w:rPr>
                <w:b w:val="0"/>
                <w:color w:val="172033"/>
                <w:sz w:val="16"/>
              </w:rPr>
              <w:t>Done</w:t>
            </w:r>
          </w:p>
        </w:tc>
        <w:tc>
          <w:tcPr>
            <w:tcW w:type="dxa" w:w="6264"/>
            <w:vAlign w:val="top"/>
          </w:tcPr>
          <w:p>
            <w:pPr>
              <w:spacing w:after="40" w:line="240" w:lineRule="auto"/>
              <w:jc w:val="left"/>
            </w:pPr>
            <w:r/>
            <w:r>
              <w:rPr>
                <w:b w:val="0"/>
                <w:color w:val="172033"/>
                <w:sz w:val="16"/>
              </w:rPr>
              <w:t>Tokenizer, streaming data path, packed corpus, local training, exact resume, checkpointing, R2/object-store paths, and FSDP proof points were established.</w:t>
            </w:r>
          </w:p>
        </w:tc>
      </w:tr>
      <w:tr>
        <w:tc>
          <w:tcPr>
            <w:tcW w:type="dxa" w:w="2520"/>
            <w:vAlign w:val="top"/>
            <w:shd w:fill="F8FAFC"/>
          </w:tcPr>
          <w:p>
            <w:pPr>
              <w:spacing w:after="40" w:line="240" w:lineRule="auto"/>
              <w:jc w:val="left"/>
            </w:pPr>
            <w:r/>
            <w:r>
              <w:rPr>
                <w:b w:val="0"/>
                <w:color w:val="172033"/>
                <w:sz w:val="16"/>
              </w:rPr>
              <w:t>Docs cleanup</w:t>
            </w:r>
          </w:p>
        </w:tc>
        <w:tc>
          <w:tcPr>
            <w:tcW w:type="dxa" w:w="1440"/>
            <w:vAlign w:val="top"/>
          </w:tcPr>
          <w:p>
            <w:pPr>
              <w:spacing w:after="40" w:line="240" w:lineRule="auto"/>
              <w:jc w:val="left"/>
            </w:pPr>
            <w:r/>
            <w:r>
              <w:rPr>
                <w:b w:val="0"/>
                <w:color w:val="172033"/>
                <w:sz w:val="16"/>
              </w:rPr>
              <w:t>Done</w:t>
            </w:r>
          </w:p>
        </w:tc>
        <w:tc>
          <w:tcPr>
            <w:tcW w:type="dxa" w:w="6264"/>
            <w:vAlign w:val="top"/>
          </w:tcPr>
          <w:p>
            <w:pPr>
              <w:spacing w:after="40" w:line="240" w:lineRule="auto"/>
              <w:jc w:val="left"/>
            </w:pPr>
            <w:r/>
            <w:r>
              <w:rPr>
                <w:b w:val="0"/>
                <w:color w:val="172033"/>
                <w:sz w:val="16"/>
              </w:rPr>
              <w:t>Stale pre-1 review/teacher/math/playbook documents were removed; canonical pre-2 docs now describe current decisions.</w:t>
            </w:r>
          </w:p>
        </w:tc>
      </w:tr>
      <w:tr>
        <w:tc>
          <w:tcPr>
            <w:tcW w:type="dxa" w:w="2520"/>
            <w:vAlign w:val="top"/>
            <w:shd w:fill="F8FAFC"/>
          </w:tcPr>
          <w:p>
            <w:pPr>
              <w:spacing w:after="40" w:line="240" w:lineRule="auto"/>
              <w:jc w:val="left"/>
            </w:pPr>
            <w:r/>
            <w:r>
              <w:rPr>
                <w:b w:val="0"/>
                <w:color w:val="172033"/>
                <w:sz w:val="16"/>
              </w:rPr>
              <w:t>Pre-2 configs</w:t>
            </w:r>
          </w:p>
        </w:tc>
        <w:tc>
          <w:tcPr>
            <w:tcW w:type="dxa" w:w="1440"/>
            <w:vAlign w:val="top"/>
          </w:tcPr>
          <w:p>
            <w:pPr>
              <w:spacing w:after="40" w:line="240" w:lineRule="auto"/>
              <w:jc w:val="left"/>
            </w:pPr>
            <w:r/>
            <w:r>
              <w:rPr>
                <w:b w:val="0"/>
                <w:color w:val="172033"/>
                <w:sz w:val="16"/>
              </w:rPr>
              <w:t>Done</w:t>
            </w:r>
          </w:p>
        </w:tc>
        <w:tc>
          <w:tcPr>
            <w:tcW w:type="dxa" w:w="6264"/>
            <w:vAlign w:val="top"/>
          </w:tcPr>
          <w:p>
            <w:pPr>
              <w:spacing w:after="40" w:line="240" w:lineRule="auto"/>
              <w:jc w:val="left"/>
            </w:pPr>
            <w:r/>
            <w:r>
              <w:rPr>
                <w:b w:val="0"/>
                <w:color w:val="172033"/>
                <w:sz w:val="16"/>
              </w:rPr>
              <w:t>Dense 1.5B target, proxy 400M, MoE research config, and three-stage data mixture configs are present.</w:t>
            </w:r>
          </w:p>
        </w:tc>
      </w:tr>
      <w:tr>
        <w:tc>
          <w:tcPr>
            <w:tcW w:type="dxa" w:w="2520"/>
            <w:vAlign w:val="top"/>
            <w:shd w:fill="F8FAFC"/>
          </w:tcPr>
          <w:p>
            <w:pPr>
              <w:spacing w:after="40" w:line="240" w:lineRule="auto"/>
              <w:jc w:val="left"/>
            </w:pPr>
            <w:r/>
            <w:r>
              <w:rPr>
                <w:b w:val="0"/>
                <w:color w:val="172033"/>
                <w:sz w:val="16"/>
              </w:rPr>
              <w:t>Pre-2 code skeleton</w:t>
            </w:r>
          </w:p>
        </w:tc>
        <w:tc>
          <w:tcPr>
            <w:tcW w:type="dxa" w:w="1440"/>
            <w:vAlign w:val="top"/>
          </w:tcPr>
          <w:p>
            <w:pPr>
              <w:spacing w:after="40" w:line="240" w:lineRule="auto"/>
              <w:jc w:val="left"/>
            </w:pPr>
            <w:r/>
            <w:r>
              <w:rPr>
                <w:b w:val="0"/>
                <w:color w:val="172033"/>
                <w:sz w:val="16"/>
              </w:rPr>
              <w:t>Done</w:t>
            </w:r>
          </w:p>
        </w:tc>
        <w:tc>
          <w:tcPr>
            <w:tcW w:type="dxa" w:w="6264"/>
            <w:vAlign w:val="top"/>
          </w:tcPr>
          <w:p>
            <w:pPr>
              <w:spacing w:after="40" w:line="240" w:lineRule="auto"/>
              <w:jc w:val="left"/>
            </w:pPr>
            <w:r/>
            <w:r>
              <w:rPr>
                <w:b w:val="0"/>
                <w:color w:val="172033"/>
                <w:sz w:val="16"/>
              </w:rPr>
              <w:t>Pydantic config schema, PyTorch dense model, KD guard, packed loader, checkpoint payload, and smoke trainer were added.</w:t>
            </w:r>
          </w:p>
        </w:tc>
      </w:tr>
      <w:tr>
        <w:tc>
          <w:tcPr>
            <w:tcW w:type="dxa" w:w="2520"/>
            <w:vAlign w:val="top"/>
            <w:shd w:fill="F8FAFC"/>
          </w:tcPr>
          <w:p>
            <w:pPr>
              <w:spacing w:after="40" w:line="240" w:lineRule="auto"/>
              <w:jc w:val="left"/>
            </w:pPr>
            <w:r/>
            <w:r>
              <w:rPr>
                <w:b w:val="0"/>
                <w:color w:val="172033"/>
                <w:sz w:val="16"/>
              </w:rPr>
              <w:t>Validation</w:t>
            </w:r>
          </w:p>
        </w:tc>
        <w:tc>
          <w:tcPr>
            <w:tcW w:type="dxa" w:w="1440"/>
            <w:vAlign w:val="top"/>
          </w:tcPr>
          <w:p>
            <w:pPr>
              <w:spacing w:after="40" w:line="240" w:lineRule="auto"/>
              <w:jc w:val="left"/>
            </w:pPr>
            <w:r/>
            <w:r>
              <w:rPr>
                <w:b w:val="0"/>
                <w:color w:val="172033"/>
                <w:sz w:val="16"/>
              </w:rPr>
              <w:t>Done</w:t>
            </w:r>
          </w:p>
        </w:tc>
        <w:tc>
          <w:tcPr>
            <w:tcW w:type="dxa" w:w="6264"/>
            <w:vAlign w:val="top"/>
          </w:tcPr>
          <w:p>
            <w:pPr>
              <w:spacing w:after="40" w:line="240" w:lineRule="auto"/>
              <w:jc w:val="left"/>
            </w:pPr>
            <w:r/>
            <w:r>
              <w:rPr>
                <w:b w:val="0"/>
                <w:color w:val="172033"/>
                <w:sz w:val="16"/>
              </w:rPr>
              <w:t>23 pre-2 tests pass; 56 packed-corpus tests pass; one-step CPU smoke training produces finite loss.</w:t>
            </w:r>
          </w:p>
        </w:tc>
      </w:tr>
      <w:tr>
        <w:tc>
          <w:tcPr>
            <w:tcW w:type="dxa" w:w="2520"/>
            <w:vAlign w:val="top"/>
            <w:shd w:fill="F8FAFC"/>
          </w:tcPr>
          <w:p>
            <w:pPr>
              <w:spacing w:after="40" w:line="240" w:lineRule="auto"/>
              <w:jc w:val="left"/>
            </w:pPr>
            <w:r/>
            <w:r>
              <w:rPr>
                <w:b w:val="0"/>
                <w:color w:val="172033"/>
                <w:sz w:val="16"/>
              </w:rPr>
              <w:t>Distributed runtime</w:t>
            </w:r>
          </w:p>
        </w:tc>
        <w:tc>
          <w:tcPr>
            <w:tcW w:type="dxa" w:w="1440"/>
            <w:vAlign w:val="top"/>
          </w:tcPr>
          <w:p>
            <w:pPr>
              <w:spacing w:after="40" w:line="240" w:lineRule="auto"/>
              <w:jc w:val="left"/>
            </w:pPr>
            <w:r/>
            <w:r>
              <w:rPr>
                <w:b w:val="0"/>
                <w:color w:val="172033"/>
                <w:sz w:val="16"/>
              </w:rPr>
              <w:t>Next</w:t>
            </w:r>
          </w:p>
        </w:tc>
        <w:tc>
          <w:tcPr>
            <w:tcW w:type="dxa" w:w="6264"/>
            <w:vAlign w:val="top"/>
          </w:tcPr>
          <w:p>
            <w:pPr>
              <w:spacing w:after="40" w:line="240" w:lineRule="auto"/>
              <w:jc w:val="left"/>
            </w:pPr>
            <w:r/>
            <w:r>
              <w:rPr>
                <w:b w:val="0"/>
                <w:color w:val="172033"/>
                <w:sz w:val="16"/>
              </w:rPr>
              <w:t>Add TorchTitan/FSDP2 trainer integration, DCP checkpoints, launch configs, and multi-GPU smoke tests.</w:t>
            </w:r>
          </w:p>
        </w:tc>
      </w:tr>
      <w:tr>
        <w:tc>
          <w:tcPr>
            <w:tcW w:type="dxa" w:w="2520"/>
            <w:vAlign w:val="top"/>
            <w:shd w:fill="F8FAFC"/>
          </w:tcPr>
          <w:p>
            <w:pPr>
              <w:spacing w:after="40" w:line="240" w:lineRule="auto"/>
              <w:jc w:val="left"/>
            </w:pPr>
            <w:r/>
            <w:r>
              <w:rPr>
                <w:b w:val="0"/>
                <w:color w:val="172033"/>
                <w:sz w:val="16"/>
              </w:rPr>
              <w:t>Data production</w:t>
            </w:r>
          </w:p>
        </w:tc>
        <w:tc>
          <w:tcPr>
            <w:tcW w:type="dxa" w:w="1440"/>
            <w:vAlign w:val="top"/>
          </w:tcPr>
          <w:p>
            <w:pPr>
              <w:spacing w:after="40" w:line="240" w:lineRule="auto"/>
              <w:jc w:val="left"/>
            </w:pPr>
            <w:r/>
            <w:r>
              <w:rPr>
                <w:b w:val="0"/>
                <w:color w:val="172033"/>
                <w:sz w:val="16"/>
              </w:rPr>
              <w:t>Next</w:t>
            </w:r>
          </w:p>
        </w:tc>
        <w:tc>
          <w:tcPr>
            <w:tcW w:type="dxa" w:w="6264"/>
            <w:vAlign w:val="top"/>
          </w:tcPr>
          <w:p>
            <w:pPr>
              <w:spacing w:after="40" w:line="240" w:lineRule="auto"/>
              <w:jc w:val="left"/>
            </w:pPr>
            <w:r/>
            <w:r>
              <w:rPr>
                <w:b w:val="0"/>
                <w:color w:val="172033"/>
                <w:sz w:val="16"/>
              </w:rPr>
              <w:t>Build governed dataset manifests, tokenizer ablations, packed shards, and contamination reports.</w:t>
            </w:r>
          </w:p>
        </w:tc>
      </w:tr>
      <w:tr>
        <w:tc>
          <w:tcPr>
            <w:tcW w:type="dxa" w:w="2520"/>
            <w:vAlign w:val="top"/>
            <w:shd w:fill="F8FAFC"/>
          </w:tcPr>
          <w:p>
            <w:pPr>
              <w:spacing w:after="40" w:line="240" w:lineRule="auto"/>
              <w:jc w:val="left"/>
            </w:pPr>
            <w:r/>
            <w:r>
              <w:rPr>
                <w:b w:val="0"/>
                <w:color w:val="172033"/>
                <w:sz w:val="16"/>
              </w:rPr>
              <w:t>Release</w:t>
            </w:r>
          </w:p>
        </w:tc>
        <w:tc>
          <w:tcPr>
            <w:tcW w:type="dxa" w:w="1440"/>
            <w:vAlign w:val="top"/>
          </w:tcPr>
          <w:p>
            <w:pPr>
              <w:spacing w:after="40" w:line="240" w:lineRule="auto"/>
              <w:jc w:val="left"/>
            </w:pPr>
            <w:r/>
            <w:r>
              <w:rPr>
                <w:b w:val="0"/>
                <w:color w:val="172033"/>
                <w:sz w:val="16"/>
              </w:rPr>
              <w:t>Pending</w:t>
            </w:r>
          </w:p>
        </w:tc>
        <w:tc>
          <w:tcPr>
            <w:tcW w:type="dxa" w:w="6264"/>
            <w:vAlign w:val="top"/>
          </w:tcPr>
          <w:p>
            <w:pPr>
              <w:spacing w:after="40" w:line="240" w:lineRule="auto"/>
              <w:jc w:val="left"/>
            </w:pPr>
            <w:r/>
            <w:r>
              <w:rPr>
                <w:b w:val="0"/>
                <w:color w:val="172033"/>
                <w:sz w:val="16"/>
              </w:rPr>
              <w:t>Export SafeTensors, quantized inference variants, model card, eval card, and reproducibility bundle.</w:t>
            </w:r>
          </w:p>
        </w:tc>
      </w:tr>
    </w:tbl>
    <w:p>
      <w:r>
        <w:br w:type="page"/>
      </w:r>
    </w:p>
    <w:p>
      <w:pPr>
        <w:pStyle w:val="Heading1"/>
        <w:spacing w:after="80" w:line="252" w:lineRule="auto"/>
      </w:pPr>
      <w:r>
        <w:rPr>
          <w:color w:val="172033"/>
        </w:rPr>
        <w:t>8. Current Repository Anchors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c>
          <w:tcPr>
            <w:tcW w:type="dxa" w:w="4032"/>
            <w:shd w:fill="111827"/>
          </w:tcPr>
          <w:p>
            <w:pPr>
              <w:spacing w:after="40" w:line="240" w:lineRule="auto"/>
              <w:jc w:val="left"/>
            </w:pPr>
            <w:r/>
            <w:r>
              <w:rPr>
                <w:b/>
                <w:color w:val="FFFFFF"/>
                <w:sz w:val="17"/>
              </w:rPr>
              <w:t>Artifact</w:t>
            </w:r>
          </w:p>
        </w:tc>
        <w:tc>
          <w:tcPr>
            <w:tcW w:type="dxa" w:w="6048"/>
            <w:shd w:fill="111827"/>
          </w:tcPr>
          <w:p>
            <w:pPr>
              <w:spacing w:after="40" w:line="240" w:lineRule="auto"/>
              <w:jc w:val="left"/>
            </w:pPr>
            <w:r/>
            <w:r>
              <w:rPr>
                <w:b/>
                <w:color w:val="FFFFFF"/>
                <w:sz w:val="17"/>
              </w:rPr>
              <w:t>Role</w:t>
            </w:r>
          </w:p>
        </w:tc>
      </w:tr>
      <w:tr>
        <w:tc>
          <w:tcPr>
            <w:tcW w:type="dxa" w:w="4032"/>
            <w:vAlign w:val="top"/>
            <w:shd w:fill="F8FAFC"/>
          </w:tcPr>
          <w:p>
            <w:pPr>
              <w:spacing w:after="40" w:line="240" w:lineRule="auto"/>
              <w:jc w:val="left"/>
            </w:pPr>
            <w:r/>
            <w:r>
              <w:rPr>
                <w:b w:val="0"/>
                <w:color w:val="172033"/>
                <w:sz w:val="16"/>
              </w:rPr>
              <w:t>docs/PRE2_FINAL_PLAN_2026-05-14.md</w:t>
            </w:r>
          </w:p>
        </w:tc>
        <w:tc>
          <w:tcPr>
            <w:tcW w:type="dxa" w:w="6048"/>
            <w:vAlign w:val="top"/>
          </w:tcPr>
          <w:p>
            <w:pPr>
              <w:spacing w:after="40" w:line="240" w:lineRule="auto"/>
              <w:jc w:val="left"/>
            </w:pPr>
            <w:r/>
            <w:r>
              <w:rPr>
                <w:b w:val="0"/>
                <w:color w:val="172033"/>
                <w:sz w:val="16"/>
              </w:rPr>
              <w:t>Canonical pre-2 plan: goal, decisions, hardware, timeline, risks.</w:t>
            </w:r>
          </w:p>
        </w:tc>
      </w:tr>
      <w:tr>
        <w:tc>
          <w:tcPr>
            <w:tcW w:type="dxa" w:w="4032"/>
            <w:vAlign w:val="top"/>
            <w:shd w:fill="F8FAFC"/>
          </w:tcPr>
          <w:p>
            <w:pPr>
              <w:spacing w:after="40" w:line="240" w:lineRule="auto"/>
              <w:jc w:val="left"/>
            </w:pPr>
            <w:r/>
            <w:r>
              <w:rPr>
                <w:b w:val="0"/>
                <w:color w:val="172033"/>
                <w:sz w:val="16"/>
              </w:rPr>
              <w:t>docs/PRE2_ARCHITECTURE_DECISION.md</w:t>
            </w:r>
          </w:p>
        </w:tc>
        <w:tc>
          <w:tcPr>
            <w:tcW w:type="dxa" w:w="6048"/>
            <w:vAlign w:val="top"/>
          </w:tcPr>
          <w:p>
            <w:pPr>
              <w:spacing w:after="40" w:line="240" w:lineRule="auto"/>
              <w:jc w:val="left"/>
            </w:pPr>
            <w:r/>
            <w:r>
              <w:rPr>
                <w:b w:val="0"/>
                <w:color w:val="172033"/>
                <w:sz w:val="16"/>
              </w:rPr>
              <w:t>Architecture record for dense baseline, MoE research branch, and precision choices.</w:t>
            </w:r>
          </w:p>
        </w:tc>
      </w:tr>
      <w:tr>
        <w:tc>
          <w:tcPr>
            <w:tcW w:type="dxa" w:w="4032"/>
            <w:vAlign w:val="top"/>
            <w:shd w:fill="F8FAFC"/>
          </w:tcPr>
          <w:p>
            <w:pPr>
              <w:spacing w:after="40" w:line="240" w:lineRule="auto"/>
              <w:jc w:val="left"/>
            </w:pPr>
            <w:r/>
            <w:r>
              <w:rPr>
                <w:b w:val="0"/>
                <w:color w:val="172033"/>
                <w:sz w:val="16"/>
              </w:rPr>
              <w:t>docs/PRE2_STACK_MIGRATION_PLAN.md</w:t>
            </w:r>
          </w:p>
        </w:tc>
        <w:tc>
          <w:tcPr>
            <w:tcW w:type="dxa" w:w="6048"/>
            <w:vAlign w:val="top"/>
          </w:tcPr>
          <w:p>
            <w:pPr>
              <w:spacing w:after="40" w:line="240" w:lineRule="auto"/>
              <w:jc w:val="left"/>
            </w:pPr>
            <w:r/>
            <w:r>
              <w:rPr>
                <w:b w:val="0"/>
                <w:color w:val="172033"/>
                <w:sz w:val="16"/>
              </w:rPr>
              <w:t>Migration path from pre-1 JAX/Keras to pre-2 PyTorch/TorchTitan.</w:t>
            </w:r>
          </w:p>
        </w:tc>
      </w:tr>
      <w:tr>
        <w:tc>
          <w:tcPr>
            <w:tcW w:type="dxa" w:w="4032"/>
            <w:vAlign w:val="top"/>
            <w:shd w:fill="F8FAFC"/>
          </w:tcPr>
          <w:p>
            <w:pPr>
              <w:spacing w:after="40" w:line="240" w:lineRule="auto"/>
              <w:jc w:val="left"/>
            </w:pPr>
            <w:r/>
            <w:r>
              <w:rPr>
                <w:b w:val="0"/>
                <w:color w:val="172033"/>
                <w:sz w:val="16"/>
              </w:rPr>
              <w:t>configs/pre2_dense_1_5b.yaml</w:t>
            </w:r>
          </w:p>
        </w:tc>
        <w:tc>
          <w:tcPr>
            <w:tcW w:type="dxa" w:w="6048"/>
            <w:vAlign w:val="top"/>
          </w:tcPr>
          <w:p>
            <w:pPr>
              <w:spacing w:after="40" w:line="240" w:lineRule="auto"/>
              <w:jc w:val="left"/>
            </w:pPr>
            <w:r/>
            <w:r>
              <w:rPr>
                <w:b w:val="0"/>
                <w:color w:val="172033"/>
                <w:sz w:val="16"/>
              </w:rPr>
              <w:t>Production candidate configuration for the 1.49B-class baseline.</w:t>
            </w:r>
          </w:p>
        </w:tc>
      </w:tr>
      <w:tr>
        <w:tc>
          <w:tcPr>
            <w:tcW w:type="dxa" w:w="4032"/>
            <w:vAlign w:val="top"/>
            <w:shd w:fill="F8FAFC"/>
          </w:tcPr>
          <w:p>
            <w:pPr>
              <w:spacing w:after="40" w:line="240" w:lineRule="auto"/>
              <w:jc w:val="left"/>
            </w:pPr>
            <w:r/>
            <w:r>
              <w:rPr>
                <w:b w:val="0"/>
                <w:color w:val="172033"/>
                <w:sz w:val="16"/>
              </w:rPr>
              <w:t>configs/data/pre2_mix_stage*.yaml</w:t>
            </w:r>
          </w:p>
        </w:tc>
        <w:tc>
          <w:tcPr>
            <w:tcW w:type="dxa" w:w="6048"/>
            <w:vAlign w:val="top"/>
          </w:tcPr>
          <w:p>
            <w:pPr>
              <w:spacing w:after="40" w:line="240" w:lineRule="auto"/>
              <w:jc w:val="left"/>
            </w:pPr>
            <w:r/>
            <w:r>
              <w:rPr>
                <w:b w:val="0"/>
                <w:color w:val="172033"/>
                <w:sz w:val="16"/>
              </w:rPr>
              <w:t>Staged data mixture plans for foundation, continuation, and anneal.</w:t>
            </w:r>
          </w:p>
        </w:tc>
      </w:tr>
      <w:tr>
        <w:tc>
          <w:tcPr>
            <w:tcW w:type="dxa" w:w="4032"/>
            <w:vAlign w:val="top"/>
            <w:shd w:fill="F8FAFC"/>
          </w:tcPr>
          <w:p>
            <w:pPr>
              <w:spacing w:after="40" w:line="240" w:lineRule="auto"/>
              <w:jc w:val="left"/>
            </w:pPr>
            <w:r/>
            <w:r>
              <w:rPr>
                <w:b w:val="0"/>
                <w:color w:val="172033"/>
                <w:sz w:val="16"/>
              </w:rPr>
              <w:t>src/myllm_pre2/model.py</w:t>
            </w:r>
          </w:p>
        </w:tc>
        <w:tc>
          <w:tcPr>
            <w:tcW w:type="dxa" w:w="6048"/>
            <w:vAlign w:val="top"/>
          </w:tcPr>
          <w:p>
            <w:pPr>
              <w:spacing w:after="40" w:line="240" w:lineRule="auto"/>
              <w:jc w:val="left"/>
            </w:pPr>
            <w:r/>
            <w:r>
              <w:rPr>
                <w:b w:val="0"/>
                <w:color w:val="172033"/>
                <w:sz w:val="16"/>
              </w:rPr>
              <w:t>Minimal dense Transformer implementation used by tests and smoke training.</w:t>
            </w:r>
          </w:p>
        </w:tc>
      </w:tr>
      <w:tr>
        <w:tc>
          <w:tcPr>
            <w:tcW w:type="dxa" w:w="4032"/>
            <w:vAlign w:val="top"/>
            <w:shd w:fill="F8FAFC"/>
          </w:tcPr>
          <w:p>
            <w:pPr>
              <w:spacing w:after="40" w:line="240" w:lineRule="auto"/>
              <w:jc w:val="left"/>
            </w:pPr>
            <w:r/>
            <w:r>
              <w:rPr>
                <w:b w:val="0"/>
                <w:color w:val="172033"/>
                <w:sz w:val="16"/>
              </w:rPr>
              <w:t>src/myllm_pre2/guards.py</w:t>
            </w:r>
          </w:p>
        </w:tc>
        <w:tc>
          <w:tcPr>
            <w:tcW w:type="dxa" w:w="6048"/>
            <w:vAlign w:val="top"/>
          </w:tcPr>
          <w:p>
            <w:pPr>
              <w:spacing w:after="40" w:line="240" w:lineRule="auto"/>
              <w:jc w:val="left"/>
            </w:pPr>
            <w:r/>
            <w:r>
              <w:rPr>
                <w:b w:val="0"/>
                <w:color w:val="172033"/>
                <w:sz w:val="16"/>
              </w:rPr>
              <w:t>Fail-closed guard against invalid heterogeneous-tokenizer KD.</w:t>
            </w:r>
          </w:p>
        </w:tc>
      </w:tr>
      <w:tr>
        <w:tc>
          <w:tcPr>
            <w:tcW w:type="dxa" w:w="4032"/>
            <w:vAlign w:val="top"/>
            <w:shd w:fill="F8FAFC"/>
          </w:tcPr>
          <w:p>
            <w:pPr>
              <w:spacing w:after="40" w:line="240" w:lineRule="auto"/>
              <w:jc w:val="left"/>
            </w:pPr>
            <w:r/>
            <w:r>
              <w:rPr>
                <w:b w:val="0"/>
                <w:color w:val="172033"/>
                <w:sz w:val="16"/>
              </w:rPr>
              <w:t>src/myllm_pre2/data/packed_loader.py</w:t>
            </w:r>
          </w:p>
        </w:tc>
        <w:tc>
          <w:tcPr>
            <w:tcW w:type="dxa" w:w="6048"/>
            <w:vAlign w:val="top"/>
          </w:tcPr>
          <w:p>
            <w:pPr>
              <w:spacing w:after="40" w:line="240" w:lineRule="auto"/>
              <w:jc w:val="left"/>
            </w:pPr>
            <w:r/>
            <w:r>
              <w:rPr>
                <w:b w:val="0"/>
                <w:color w:val="172033"/>
                <w:sz w:val="16"/>
              </w:rPr>
              <w:t>Packed token loader skeleton with resume-oriented sequence ids.</w:t>
            </w:r>
          </w:p>
        </w:tc>
      </w:tr>
      <w:tr>
        <w:tc>
          <w:tcPr>
            <w:tcW w:type="dxa" w:w="4032"/>
            <w:vAlign w:val="top"/>
            <w:shd w:fill="F8FAFC"/>
          </w:tcPr>
          <w:p>
            <w:pPr>
              <w:spacing w:after="40" w:line="240" w:lineRule="auto"/>
              <w:jc w:val="left"/>
            </w:pPr>
            <w:r/>
            <w:r>
              <w:rPr>
                <w:b w:val="0"/>
                <w:color w:val="172033"/>
                <w:sz w:val="16"/>
              </w:rPr>
              <w:t>src/myllm_pre2/checkpoint.py</w:t>
            </w:r>
          </w:p>
        </w:tc>
        <w:tc>
          <w:tcPr>
            <w:tcW w:type="dxa" w:w="6048"/>
            <w:vAlign w:val="top"/>
          </w:tcPr>
          <w:p>
            <w:pPr>
              <w:spacing w:after="40" w:line="240" w:lineRule="auto"/>
              <w:jc w:val="left"/>
            </w:pPr>
            <w:r/>
            <w:r>
              <w:rPr>
                <w:b w:val="0"/>
                <w:color w:val="172033"/>
                <w:sz w:val="16"/>
              </w:rPr>
              <w:t>Checkpoint payload with model, optimizer, scheduler, RNG, and data cursor fields.</w:t>
            </w:r>
          </w:p>
        </w:tc>
      </w:tr>
    </w:tbl>
    <w:p>
      <w:pPr>
        <w:pStyle w:val="Heading1"/>
        <w:spacing w:after="80" w:line="252" w:lineRule="auto"/>
      </w:pPr>
      <w:r>
        <w:rPr>
          <w:color w:val="172033"/>
        </w:rPr>
        <w:t>9. Open TODOs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c>
          <w:tcPr>
            <w:tcW w:type="dxa" w:w="1440"/>
            <w:shd w:fill="111827"/>
          </w:tcPr>
          <w:p>
            <w:pPr>
              <w:spacing w:after="40" w:line="240" w:lineRule="auto"/>
              <w:jc w:val="left"/>
            </w:pPr>
            <w:r/>
            <w:r>
              <w:rPr>
                <w:b/>
                <w:color w:val="FFFFFF"/>
                <w:sz w:val="17"/>
              </w:rPr>
              <w:t>Priority</w:t>
            </w:r>
          </w:p>
        </w:tc>
        <w:tc>
          <w:tcPr>
            <w:tcW w:type="dxa" w:w="8640"/>
            <w:shd w:fill="111827"/>
          </w:tcPr>
          <w:p>
            <w:pPr>
              <w:spacing w:after="40" w:line="240" w:lineRule="auto"/>
              <w:jc w:val="left"/>
            </w:pPr>
            <w:r/>
            <w:r>
              <w:rPr>
                <w:b/>
                <w:color w:val="FFFFFF"/>
                <w:sz w:val="17"/>
              </w:rPr>
              <w:t>Task</w:t>
            </w:r>
          </w:p>
        </w:tc>
      </w:tr>
      <w:tr>
        <w:tc>
          <w:tcPr>
            <w:tcW w:type="dxa" w:w="1440"/>
            <w:vAlign w:val="top"/>
            <w:shd w:fill="F8FAFC"/>
          </w:tcPr>
          <w:p>
            <w:pPr>
              <w:spacing w:after="40" w:line="240" w:lineRule="auto"/>
              <w:jc w:val="left"/>
            </w:pPr>
            <w:r/>
            <w:r>
              <w:rPr>
                <w:b w:val="0"/>
                <w:color w:val="172033"/>
                <w:sz w:val="16"/>
              </w:rPr>
              <w:t>P0</w:t>
            </w:r>
          </w:p>
        </w:tc>
        <w:tc>
          <w:tcPr>
            <w:tcW w:type="dxa" w:w="8640"/>
            <w:vAlign w:val="top"/>
          </w:tcPr>
          <w:p>
            <w:pPr>
              <w:spacing w:after="40" w:line="240" w:lineRule="auto"/>
              <w:jc w:val="left"/>
            </w:pPr>
            <w:r/>
            <w:r>
              <w:rPr>
                <w:b w:val="0"/>
                <w:color w:val="172033"/>
                <w:sz w:val="16"/>
              </w:rPr>
              <w:t>Finalize dataset governance template and require it for every source bucket.</w:t>
            </w:r>
          </w:p>
        </w:tc>
      </w:tr>
      <w:tr>
        <w:tc>
          <w:tcPr>
            <w:tcW w:type="dxa" w:w="1440"/>
            <w:vAlign w:val="top"/>
            <w:shd w:fill="F8FAFC"/>
          </w:tcPr>
          <w:p>
            <w:pPr>
              <w:spacing w:after="40" w:line="240" w:lineRule="auto"/>
              <w:jc w:val="left"/>
            </w:pPr>
            <w:r/>
            <w:r>
              <w:rPr>
                <w:b w:val="0"/>
                <w:color w:val="172033"/>
                <w:sz w:val="16"/>
              </w:rPr>
              <w:t>P0</w:t>
            </w:r>
          </w:p>
        </w:tc>
        <w:tc>
          <w:tcPr>
            <w:tcW w:type="dxa" w:w="8640"/>
            <w:vAlign w:val="top"/>
          </w:tcPr>
          <w:p>
            <w:pPr>
              <w:spacing w:after="40" w:line="240" w:lineRule="auto"/>
              <w:jc w:val="left"/>
            </w:pPr>
            <w:r/>
            <w:r>
              <w:rPr>
                <w:b w:val="0"/>
                <w:color w:val="172033"/>
                <w:sz w:val="16"/>
              </w:rPr>
              <w:t>Add full config validation for tokenizer identity, vocab hash, context length, and packed-shard metadata.</w:t>
            </w:r>
          </w:p>
        </w:tc>
      </w:tr>
      <w:tr>
        <w:tc>
          <w:tcPr>
            <w:tcW w:type="dxa" w:w="1440"/>
            <w:vAlign w:val="top"/>
            <w:shd w:fill="F8FAFC"/>
          </w:tcPr>
          <w:p>
            <w:pPr>
              <w:spacing w:after="40" w:line="240" w:lineRule="auto"/>
              <w:jc w:val="left"/>
            </w:pPr>
            <w:r/>
            <w:r>
              <w:rPr>
                <w:b w:val="0"/>
                <w:color w:val="172033"/>
                <w:sz w:val="16"/>
              </w:rPr>
              <w:t>P1</w:t>
            </w:r>
          </w:p>
        </w:tc>
        <w:tc>
          <w:tcPr>
            <w:tcW w:type="dxa" w:w="8640"/>
            <w:vAlign w:val="top"/>
          </w:tcPr>
          <w:p>
            <w:pPr>
              <w:spacing w:after="40" w:line="240" w:lineRule="auto"/>
              <w:jc w:val="left"/>
            </w:pPr>
            <w:r/>
            <w:r>
              <w:rPr>
                <w:b w:val="0"/>
                <w:color w:val="172033"/>
                <w:sz w:val="16"/>
              </w:rPr>
              <w:t>Replace the single-process checkpoint path with distributed checkpoint wrappers and restore tests.</w:t>
            </w:r>
          </w:p>
        </w:tc>
      </w:tr>
      <w:tr>
        <w:tc>
          <w:tcPr>
            <w:tcW w:type="dxa" w:w="1440"/>
            <w:vAlign w:val="top"/>
            <w:shd w:fill="F8FAFC"/>
          </w:tcPr>
          <w:p>
            <w:pPr>
              <w:spacing w:after="40" w:line="240" w:lineRule="auto"/>
              <w:jc w:val="left"/>
            </w:pPr>
            <w:r/>
            <w:r>
              <w:rPr>
                <w:b w:val="0"/>
                <w:color w:val="172033"/>
                <w:sz w:val="16"/>
              </w:rPr>
              <w:t>P1</w:t>
            </w:r>
          </w:p>
        </w:tc>
        <w:tc>
          <w:tcPr>
            <w:tcW w:type="dxa" w:w="8640"/>
            <w:vAlign w:val="top"/>
          </w:tcPr>
          <w:p>
            <w:pPr>
              <w:spacing w:after="40" w:line="240" w:lineRule="auto"/>
              <w:jc w:val="left"/>
            </w:pPr>
            <w:r/>
            <w:r>
              <w:rPr>
                <w:b w:val="0"/>
                <w:color w:val="172033"/>
                <w:sz w:val="16"/>
              </w:rPr>
              <w:t>Integrate TorchTitan/FSDP2 launcher and run a multi-GPU smoke suite.</w:t>
            </w:r>
          </w:p>
        </w:tc>
      </w:tr>
      <w:tr>
        <w:tc>
          <w:tcPr>
            <w:tcW w:type="dxa" w:w="1440"/>
            <w:vAlign w:val="top"/>
            <w:shd w:fill="F8FAFC"/>
          </w:tcPr>
          <w:p>
            <w:pPr>
              <w:spacing w:after="40" w:line="240" w:lineRule="auto"/>
              <w:jc w:val="left"/>
            </w:pPr>
            <w:r/>
            <w:r>
              <w:rPr>
                <w:b w:val="0"/>
                <w:color w:val="172033"/>
                <w:sz w:val="16"/>
              </w:rPr>
              <w:t>P1</w:t>
            </w:r>
          </w:p>
        </w:tc>
        <w:tc>
          <w:tcPr>
            <w:tcW w:type="dxa" w:w="8640"/>
            <w:vAlign w:val="top"/>
          </w:tcPr>
          <w:p>
            <w:pPr>
              <w:spacing w:after="40" w:line="240" w:lineRule="auto"/>
              <w:jc w:val="left"/>
            </w:pPr>
            <w:r/>
            <w:r>
              <w:rPr>
                <w:b w:val="0"/>
                <w:color w:val="172033"/>
                <w:sz w:val="16"/>
              </w:rPr>
              <w:t>Build tokenizer ablation report and choose production vocab before large data packing.</w:t>
            </w:r>
          </w:p>
        </w:tc>
      </w:tr>
      <w:tr>
        <w:tc>
          <w:tcPr>
            <w:tcW w:type="dxa" w:w="1440"/>
            <w:vAlign w:val="top"/>
            <w:shd w:fill="F8FAFC"/>
          </w:tcPr>
          <w:p>
            <w:pPr>
              <w:spacing w:after="40" w:line="240" w:lineRule="auto"/>
              <w:jc w:val="left"/>
            </w:pPr>
            <w:r/>
            <w:r>
              <w:rPr>
                <w:b w:val="0"/>
                <w:color w:val="172033"/>
                <w:sz w:val="16"/>
              </w:rPr>
              <w:t>P2</w:t>
            </w:r>
          </w:p>
        </w:tc>
        <w:tc>
          <w:tcPr>
            <w:tcW w:type="dxa" w:w="8640"/>
            <w:vAlign w:val="top"/>
          </w:tcPr>
          <w:p>
            <w:pPr>
              <w:spacing w:after="40" w:line="240" w:lineRule="auto"/>
              <w:jc w:val="left"/>
            </w:pPr>
            <w:r/>
            <w:r>
              <w:rPr>
                <w:b w:val="0"/>
                <w:color w:val="172033"/>
                <w:sz w:val="16"/>
              </w:rPr>
              <w:t>Implement real evaluation harness with contamination-aware reports; do not rely on mock metrics.</w:t>
            </w:r>
          </w:p>
        </w:tc>
      </w:tr>
      <w:tr>
        <w:tc>
          <w:tcPr>
            <w:tcW w:type="dxa" w:w="1440"/>
            <w:vAlign w:val="top"/>
            <w:shd w:fill="F8FAFC"/>
          </w:tcPr>
          <w:p>
            <w:pPr>
              <w:spacing w:after="40" w:line="240" w:lineRule="auto"/>
              <w:jc w:val="left"/>
            </w:pPr>
            <w:r/>
            <w:r>
              <w:rPr>
                <w:b w:val="0"/>
                <w:color w:val="172033"/>
                <w:sz w:val="16"/>
              </w:rPr>
              <w:t>P2</w:t>
            </w:r>
          </w:p>
        </w:tc>
        <w:tc>
          <w:tcPr>
            <w:tcW w:type="dxa" w:w="8640"/>
            <w:vAlign w:val="top"/>
          </w:tcPr>
          <w:p>
            <w:pPr>
              <w:spacing w:after="40" w:line="240" w:lineRule="auto"/>
              <w:jc w:val="left"/>
            </w:pPr>
            <w:r/>
            <w:r>
              <w:rPr>
                <w:b w:val="0"/>
                <w:color w:val="172033"/>
                <w:sz w:val="16"/>
              </w:rPr>
              <w:t>Add SafeTensors export and INT8/INT4 inference conversion after base checkpoint validation.</w:t>
            </w:r>
          </w:p>
        </w:tc>
      </w:tr>
      <w:tr>
        <w:tc>
          <w:tcPr>
            <w:tcW w:type="dxa" w:w="1440"/>
            <w:vAlign w:val="top"/>
            <w:shd w:fill="F8FAFC"/>
          </w:tcPr>
          <w:p>
            <w:pPr>
              <w:spacing w:after="40" w:line="240" w:lineRule="auto"/>
              <w:jc w:val="left"/>
            </w:pPr>
            <w:r/>
            <w:r>
              <w:rPr>
                <w:b w:val="0"/>
                <w:color w:val="172033"/>
                <w:sz w:val="16"/>
              </w:rPr>
              <w:t>P3</w:t>
            </w:r>
          </w:p>
        </w:tc>
        <w:tc>
          <w:tcPr>
            <w:tcW w:type="dxa" w:w="8640"/>
            <w:vAlign w:val="top"/>
          </w:tcPr>
          <w:p>
            <w:pPr>
              <w:spacing w:after="40" w:line="240" w:lineRule="auto"/>
              <w:jc w:val="left"/>
            </w:pPr>
            <w:r/>
            <w:r>
              <w:rPr>
                <w:b w:val="0"/>
                <w:color w:val="172033"/>
                <w:sz w:val="16"/>
              </w:rPr>
              <w:t>Run proxy scaling experiments, lock mixture, and approve the 1.5T main run.</w:t>
            </w:r>
          </w:p>
        </w:tc>
      </w:tr>
    </w:tbl>
    <w:p>
      <w:r>
        <w:br w:type="page"/>
      </w:r>
    </w:p>
    <w:p>
      <w:pPr>
        <w:pStyle w:val="Heading1"/>
        <w:spacing w:after="80" w:line="252" w:lineRule="auto"/>
      </w:pPr>
      <w:r>
        <w:rPr>
          <w:color w:val="172033"/>
        </w:rPr>
        <w:t>10. Risk Register</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c>
          <w:tcPr>
            <w:tcW w:type="dxa" w:w="2448"/>
            <w:shd w:fill="111827"/>
          </w:tcPr>
          <w:p>
            <w:pPr>
              <w:spacing w:after="40" w:line="240" w:lineRule="auto"/>
              <w:jc w:val="left"/>
            </w:pPr>
            <w:r/>
            <w:r>
              <w:rPr>
                <w:b/>
                <w:color w:val="FFFFFF"/>
                <w:sz w:val="17"/>
              </w:rPr>
              <w:t>Risk</w:t>
            </w:r>
          </w:p>
        </w:tc>
        <w:tc>
          <w:tcPr>
            <w:tcW w:type="dxa" w:w="1584"/>
            <w:shd w:fill="111827"/>
          </w:tcPr>
          <w:p>
            <w:pPr>
              <w:spacing w:after="40" w:line="240" w:lineRule="auto"/>
              <w:jc w:val="left"/>
            </w:pPr>
            <w:r/>
            <w:r>
              <w:rPr>
                <w:b/>
                <w:color w:val="FFFFFF"/>
                <w:sz w:val="17"/>
              </w:rPr>
              <w:t>Severity</w:t>
            </w:r>
          </w:p>
        </w:tc>
        <w:tc>
          <w:tcPr>
            <w:tcW w:type="dxa" w:w="6048"/>
            <w:shd w:fill="111827"/>
          </w:tcPr>
          <w:p>
            <w:pPr>
              <w:spacing w:after="40" w:line="240" w:lineRule="auto"/>
              <w:jc w:val="left"/>
            </w:pPr>
            <w:r/>
            <w:r>
              <w:rPr>
                <w:b/>
                <w:color w:val="FFFFFF"/>
                <w:sz w:val="17"/>
              </w:rPr>
              <w:t>Control</w:t>
            </w:r>
          </w:p>
        </w:tc>
      </w:tr>
      <w:tr>
        <w:tc>
          <w:tcPr>
            <w:tcW w:type="dxa" w:w="2448"/>
            <w:vAlign w:val="top"/>
            <w:shd w:fill="F8FAFC"/>
          </w:tcPr>
          <w:p>
            <w:pPr>
              <w:spacing w:after="40" w:line="240" w:lineRule="auto"/>
              <w:jc w:val="left"/>
            </w:pPr>
            <w:r/>
            <w:r>
              <w:rPr>
                <w:b w:val="0"/>
                <w:color w:val="172033"/>
                <w:sz w:val="16"/>
              </w:rPr>
              <w:t>Data quality</w:t>
            </w:r>
          </w:p>
        </w:tc>
        <w:tc>
          <w:tcPr>
            <w:tcW w:type="dxa" w:w="1584"/>
            <w:vAlign w:val="top"/>
          </w:tcPr>
          <w:p>
            <w:pPr>
              <w:spacing w:after="40" w:line="240" w:lineRule="auto"/>
              <w:jc w:val="left"/>
            </w:pPr>
            <w:r/>
            <w:r>
              <w:rPr>
                <w:b w:val="0"/>
                <w:color w:val="172033"/>
                <w:sz w:val="16"/>
              </w:rPr>
              <w:t>High</w:t>
            </w:r>
          </w:p>
        </w:tc>
        <w:tc>
          <w:tcPr>
            <w:tcW w:type="dxa" w:w="6048"/>
            <w:vAlign w:val="top"/>
          </w:tcPr>
          <w:p>
            <w:pPr>
              <w:spacing w:after="40" w:line="240" w:lineRule="auto"/>
              <w:jc w:val="left"/>
            </w:pPr>
            <w:r/>
            <w:r>
              <w:rPr>
                <w:b w:val="0"/>
                <w:color w:val="172033"/>
                <w:sz w:val="16"/>
              </w:rPr>
              <w:t>Weak data makes architecture experiments meaningless; mitigate with cards, filters, decontam, and eval attribution.</w:t>
            </w:r>
          </w:p>
        </w:tc>
      </w:tr>
      <w:tr>
        <w:tc>
          <w:tcPr>
            <w:tcW w:type="dxa" w:w="2448"/>
            <w:vAlign w:val="top"/>
            <w:shd w:fill="F8FAFC"/>
          </w:tcPr>
          <w:p>
            <w:pPr>
              <w:spacing w:after="40" w:line="240" w:lineRule="auto"/>
              <w:jc w:val="left"/>
            </w:pPr>
            <w:r/>
            <w:r>
              <w:rPr>
                <w:b w:val="0"/>
                <w:color w:val="172033"/>
                <w:sz w:val="16"/>
              </w:rPr>
              <w:t>Runtime maturity</w:t>
            </w:r>
          </w:p>
        </w:tc>
        <w:tc>
          <w:tcPr>
            <w:tcW w:type="dxa" w:w="1584"/>
            <w:vAlign w:val="top"/>
          </w:tcPr>
          <w:p>
            <w:pPr>
              <w:spacing w:after="40" w:line="240" w:lineRule="auto"/>
              <w:jc w:val="left"/>
            </w:pPr>
            <w:r/>
            <w:r>
              <w:rPr>
                <w:b w:val="0"/>
                <w:color w:val="172033"/>
                <w:sz w:val="16"/>
              </w:rPr>
              <w:t>High</w:t>
            </w:r>
          </w:p>
        </w:tc>
        <w:tc>
          <w:tcPr>
            <w:tcW w:type="dxa" w:w="6048"/>
            <w:vAlign w:val="top"/>
          </w:tcPr>
          <w:p>
            <w:pPr>
              <w:spacing w:after="40" w:line="240" w:lineRule="auto"/>
              <w:jc w:val="left"/>
            </w:pPr>
            <w:r/>
            <w:r>
              <w:rPr>
                <w:b w:val="0"/>
                <w:color w:val="172033"/>
                <w:sz w:val="16"/>
              </w:rPr>
              <w:t>Distributed failures are expensive; mitigate with proxy runs, DCP restore tests, and launch rehearsals.</w:t>
            </w:r>
          </w:p>
        </w:tc>
      </w:tr>
      <w:tr>
        <w:tc>
          <w:tcPr>
            <w:tcW w:type="dxa" w:w="2448"/>
            <w:vAlign w:val="top"/>
            <w:shd w:fill="F8FAFC"/>
          </w:tcPr>
          <w:p>
            <w:pPr>
              <w:spacing w:after="40" w:line="240" w:lineRule="auto"/>
              <w:jc w:val="left"/>
            </w:pPr>
            <w:r/>
            <w:r>
              <w:rPr>
                <w:b w:val="0"/>
                <w:color w:val="172033"/>
                <w:sz w:val="16"/>
              </w:rPr>
              <w:t>Tokenizer choice</w:t>
            </w:r>
          </w:p>
        </w:tc>
        <w:tc>
          <w:tcPr>
            <w:tcW w:type="dxa" w:w="1584"/>
            <w:vAlign w:val="top"/>
          </w:tcPr>
          <w:p>
            <w:pPr>
              <w:spacing w:after="40" w:line="240" w:lineRule="auto"/>
              <w:jc w:val="left"/>
            </w:pPr>
            <w:r/>
            <w:r>
              <w:rPr>
                <w:b w:val="0"/>
                <w:color w:val="172033"/>
                <w:sz w:val="16"/>
              </w:rPr>
              <w:t>Medium</w:t>
            </w:r>
          </w:p>
        </w:tc>
        <w:tc>
          <w:tcPr>
            <w:tcW w:type="dxa" w:w="6048"/>
            <w:vAlign w:val="top"/>
          </w:tcPr>
          <w:p>
            <w:pPr>
              <w:spacing w:after="40" w:line="240" w:lineRule="auto"/>
              <w:jc w:val="left"/>
            </w:pPr>
            <w:r/>
            <w:r>
              <w:rPr>
                <w:b w:val="0"/>
                <w:color w:val="172033"/>
                <w:sz w:val="16"/>
              </w:rPr>
              <w:t>Bad fertility or vocab size hurts quality and cost; mitigate with ablations before packing 1.5T tokens.</w:t>
            </w:r>
          </w:p>
        </w:tc>
      </w:tr>
      <w:tr>
        <w:tc>
          <w:tcPr>
            <w:tcW w:type="dxa" w:w="2448"/>
            <w:vAlign w:val="top"/>
            <w:shd w:fill="F8FAFC"/>
          </w:tcPr>
          <w:p>
            <w:pPr>
              <w:spacing w:after="40" w:line="240" w:lineRule="auto"/>
              <w:jc w:val="left"/>
            </w:pPr>
            <w:r/>
            <w:r>
              <w:rPr>
                <w:b w:val="0"/>
                <w:color w:val="172033"/>
                <w:sz w:val="16"/>
              </w:rPr>
              <w:t>MoE complexity</w:t>
            </w:r>
          </w:p>
        </w:tc>
        <w:tc>
          <w:tcPr>
            <w:tcW w:type="dxa" w:w="1584"/>
            <w:vAlign w:val="top"/>
          </w:tcPr>
          <w:p>
            <w:pPr>
              <w:spacing w:after="40" w:line="240" w:lineRule="auto"/>
              <w:jc w:val="left"/>
            </w:pPr>
            <w:r/>
            <w:r>
              <w:rPr>
                <w:b w:val="0"/>
                <w:color w:val="172033"/>
                <w:sz w:val="16"/>
              </w:rPr>
              <w:t>Medium</w:t>
            </w:r>
          </w:p>
        </w:tc>
        <w:tc>
          <w:tcPr>
            <w:tcW w:type="dxa" w:w="6048"/>
            <w:vAlign w:val="top"/>
          </w:tcPr>
          <w:p>
            <w:pPr>
              <w:spacing w:after="40" w:line="240" w:lineRule="auto"/>
              <w:jc w:val="left"/>
            </w:pPr>
            <w:r/>
            <w:r>
              <w:rPr>
                <w:b w:val="0"/>
                <w:color w:val="172033"/>
                <w:sz w:val="16"/>
              </w:rPr>
              <w:t>Routing, load balance, and checkpointing can hide data/model bugs; keep MoE research-only until dense is stable.</w:t>
            </w:r>
          </w:p>
        </w:tc>
      </w:tr>
      <w:tr>
        <w:tc>
          <w:tcPr>
            <w:tcW w:type="dxa" w:w="2448"/>
            <w:vAlign w:val="top"/>
            <w:shd w:fill="F8FAFC"/>
          </w:tcPr>
          <w:p>
            <w:pPr>
              <w:spacing w:after="40" w:line="240" w:lineRule="auto"/>
              <w:jc w:val="left"/>
            </w:pPr>
            <w:r/>
            <w:r>
              <w:rPr>
                <w:b w:val="0"/>
                <w:color w:val="172033"/>
                <w:sz w:val="16"/>
              </w:rPr>
              <w:t>Quantization expectations</w:t>
            </w:r>
          </w:p>
        </w:tc>
        <w:tc>
          <w:tcPr>
            <w:tcW w:type="dxa" w:w="1584"/>
            <w:vAlign w:val="top"/>
          </w:tcPr>
          <w:p>
            <w:pPr>
              <w:spacing w:after="40" w:line="240" w:lineRule="auto"/>
              <w:jc w:val="left"/>
            </w:pPr>
            <w:r/>
            <w:r>
              <w:rPr>
                <w:b w:val="0"/>
                <w:color w:val="172033"/>
                <w:sz w:val="16"/>
              </w:rPr>
              <w:t>Medium</w:t>
            </w:r>
          </w:p>
        </w:tc>
        <w:tc>
          <w:tcPr>
            <w:tcW w:type="dxa" w:w="6048"/>
            <w:vAlign w:val="top"/>
          </w:tcPr>
          <w:p>
            <w:pPr>
              <w:spacing w:after="40" w:line="240" w:lineRule="auto"/>
              <w:jc w:val="left"/>
            </w:pPr>
            <w:r/>
            <w:r>
              <w:rPr>
                <w:b w:val="0"/>
                <w:color w:val="172033"/>
                <w:sz w:val="16"/>
              </w:rPr>
              <w:t>4-bit/8-bit is serving work, not a shortcut to cheap pretraining; measure task-level degradation after export.</w:t>
            </w:r>
          </w:p>
        </w:tc>
      </w:tr>
      <w:tr>
        <w:tc>
          <w:tcPr>
            <w:tcW w:type="dxa" w:w="2448"/>
            <w:vAlign w:val="top"/>
            <w:shd w:fill="F8FAFC"/>
          </w:tcPr>
          <w:p>
            <w:pPr>
              <w:spacing w:after="40" w:line="240" w:lineRule="auto"/>
              <w:jc w:val="left"/>
            </w:pPr>
            <w:r/>
            <w:r>
              <w:rPr>
                <w:b w:val="0"/>
                <w:color w:val="172033"/>
                <w:sz w:val="16"/>
              </w:rPr>
              <w:t>Evaluation leakage</w:t>
            </w:r>
          </w:p>
        </w:tc>
        <w:tc>
          <w:tcPr>
            <w:tcW w:type="dxa" w:w="1584"/>
            <w:vAlign w:val="top"/>
          </w:tcPr>
          <w:p>
            <w:pPr>
              <w:spacing w:after="40" w:line="240" w:lineRule="auto"/>
              <w:jc w:val="left"/>
            </w:pPr>
            <w:r/>
            <w:r>
              <w:rPr>
                <w:b w:val="0"/>
                <w:color w:val="172033"/>
                <w:sz w:val="16"/>
              </w:rPr>
              <w:t>High</w:t>
            </w:r>
          </w:p>
        </w:tc>
        <w:tc>
          <w:tcPr>
            <w:tcW w:type="dxa" w:w="6048"/>
            <w:vAlign w:val="top"/>
          </w:tcPr>
          <w:p>
            <w:pPr>
              <w:spacing w:after="40" w:line="240" w:lineRule="auto"/>
              <w:jc w:val="left"/>
            </w:pPr>
            <w:r/>
            <w:r>
              <w:rPr>
                <w:b w:val="0"/>
                <w:color w:val="172033"/>
                <w:sz w:val="16"/>
              </w:rPr>
              <w:t>Headline numbers are unreliable without decontamination and transparent eval cards.</w:t>
            </w:r>
          </w:p>
        </w:tc>
      </w:tr>
    </w:tbl>
    <w:p>
      <w:pPr>
        <w:pStyle w:val="Heading1"/>
        <w:spacing w:after="80" w:line="252" w:lineRule="auto"/>
      </w:pPr>
      <w:r>
        <w:rPr>
          <w:color w:val="172033"/>
        </w:rPr>
        <w:t>11. Bottom Line</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0368"/>
      </w:tblGrid>
      <w:tr>
        <w:tc>
          <w:tcPr>
            <w:tcW w:type="dxa" w:w="10368"/>
            <w:shd w:fill="ECFDF5"/>
          </w:tcPr>
          <w:p>
            <w:pPr>
              <w:spacing w:after="40" w:line="240" w:lineRule="auto"/>
            </w:pPr>
            <w:r>
              <w:rPr>
                <w:b/>
                <w:color w:val="172033"/>
                <w:sz w:val="20"/>
              </w:rPr>
              <w:t>Recommended path</w:t>
            </w:r>
          </w:p>
          <w:p>
            <w:pPr>
              <w:spacing w:after="40" w:line="240" w:lineRule="auto"/>
            </w:pPr>
            <w:r>
              <w:t>Treat pre-2 as an engineering-grade dense baseline program. Finish the data governance and distributed runtime gates first, then run proxy scaling experiments, lock tokenizer and mixture, execute the 1.5T main run, and only then produce INT8/INT4 serving variants and MoE/FP8 research comparisons.</w:t>
            </w:r>
          </w:p>
        </w:tc>
      </w:tr>
    </w:tbl>
    <w:sectPr w:rsidR="00FC693F" w:rsidRPr="0006063C" w:rsidSect="00034616">
      <w:footerReference w:type="default" r:id="rId12"/>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MyLLM Pre-2 Showcase | 2026-05-14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