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Default ContentType="image/jpg" Extension="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C3" w:rsidRDefault="00FF5611" w:rsidP="001B782A">
      <w:pPr>
        <w:pStyle w:val="Title"/>
      </w:pPr>
      <w:r>
        <w:t>Planning and Securing Resources — The Data Management Plan</w:t>
      </w:r>
    </w:p>
    <w:p w:rsidR="00FF5611" w:rsidRDefault="00FF5611" w:rsidP="001B782A">
      <w:pPr>
        <w:pStyle w:val="Subtitle"/>
      </w:pPr>
    </w:p>
    <w:p w:rsidR="00DB6F5E" w:rsidRDefault="00DB6F5E" w:rsidP="00846708">
      <w:pPr>
        <w:pStyle w:val="Authors"/>
      </w:pPr>
    </w:p>
    <w:p w:rsidR="001B782A" w:rsidRPr="001B782A" w:rsidRDefault="001B782A" w:rsidP="001B782A">
      <w:pPr>
        <w:pStyle w:val="Heading2"/>
      </w:pPr>
      <w:r w:rsidRPr="001B782A">
        <w:t>Abstract</w:t>
      </w:r>
    </w:p>
    <w:p w:rsidR="00FF5611" w:rsidRDefault="00FF5611" w:rsidP="00FF5611">
      <w:pPr>
        <w:pStyle w:val="Keywords"/>
      </w:pPr>
    </w:p>
    <w:p>
      <w:pPr>
        <w:pStyle w:val="Normal"/>
        <w:rPr/>
      </w:pPr>
      <w:r>
        <w:t>By Iryna Kuchma, Electronic Information for Libraries, ORCID iD: </w:t>
      </w:r>
      <w:hyperlink r:id="rId7">
        <w:r>
          <w:rPr>
            <w:rStyle w:val="Hyperlink"/>
          </w:rPr>
          <w:t>0000-0002-2064-3439</w:t>
        </w:r>
      </w:hyperlink>
      <w:r>
        <w:t xml:space="preserve"> e-mail: </w:t>
      </w:r>
      <w:hyperlink r:id="rId8">
        <w:r>
          <w:rPr>
            <w:rStyle w:val="Hyperlink"/>
          </w:rPr>
          <w:t>iryna.kuchma@eifl.net</w:t>
        </w:r>
      </w:hyperlink>
      <w:r>
        <w:t xml:space="preserve"> Article DOI: </w:t>
      </w:r>
      <w:hyperlink r:id="rId9">
        <w:r>
          <w:rPr>
            <w:rStyle w:val="Hyperlink"/>
          </w:rPr>
          <w:t>10.20389/tpap-md16</w:t>
        </w:r>
      </w:hyperlink>
    </w:p>
    <w:p>
      <w:pPr>
        <w:jc w:val="center"/>
      </w:pPr>
      <w:bookmarkStart w:name="F26559681" w:id="0"/>
      <w:bookmarkEnd w:id="0"/>
      <w:r>
        <w:rPr/>
        <w:drawing>
          <wp:inline distT="0" distB="0" distL="0" distR="0">
            <wp:extent cx="4457700" cy="2735045"/>
            <wp:docPr id="0" name="Picture0" descr=""/>
            <a:graphic xmlns:a="http://schemas.openxmlformats.org/drawingml/2006/main">
              <a:graphicData uri="http://schemas.openxmlformats.org/drawingml/2006/picture">
                <pic:pic xmlns:pic="http://schemas.openxmlformats.org/drawingml/2006/picture">
                  <pic:nvPicPr>
                    <pic:cNvPr id="0" name="dmp iryna" descr=""/>
                    <pic:cNvPicPr>
                      <a:picLocks noChangeAspect="1" noChangeArrowheads="1"/>
                    </pic:cNvPicPr>
                  </pic:nvPicPr>
                  <pic:blipFill>
                    <a:blip r:embed="rId6"/>
                    <a:stretch>
                      <a:fillRect/>
                    </a:stretch>
                  </pic:blipFill>
                  <pic:spPr bwMode="auto">
                    <a:xfrm>
                      <a:off x="0" y="0"/>
                      <a:ext cx="4457700" cy="2735045"/>
                    </a:xfrm>
                    <a:prstGeom prst="rect">
                      <a:avLst/>
                    </a:prstGeom>
                    <a:noFill/>
                    <a:ln w="9525">
                      <a:noFill/>
                      <a:miter lim="800000"/>
                      <a:headEnd/>
                      <a:tailEnd/>
                    </a:ln>
                  </pic:spPr>
                </pic:pic>
              </a:graphicData>
            </a:graphic>
          </wp:inline>
        </w:drawing>
      </w:r>
    </w:p>
    <w:p>
      <w:pPr>
        <w:pStyle w:val="Caption"/>
        <w:rPr/>
      </w:pPr>
      <w:r>
        <w:t>Image: eLearning course about the importance of good research data management (RDM).</w:t>
      </w:r>
      <w:r>
        <w:br/>
      </w:r>
      <w:hyperlink r:id="rId10">
        <w:r>
          <w:rPr>
            <w:rStyle w:val="Hyperlink"/>
          </w:rPr>
          <w:t>https://doi.org/10.11581/DTU:00000047</w:t>
        </w:r>
      </w:hyperlink>
    </w:p>
    <w:p>
      <w:pPr>
        <w:pStyle w:val="Normal"/>
        <w:rPr/>
      </w:pPr>
      <w:r>
        <w:t>A data management plan (DMP) can support citizen science data in becoming FAIR. It should be created early in the research process and updated regularly to prepare for data deposit, sharing and reuse. University libraries already have knowledge of FAIR data. So in this final part about the DMP, we emphasize resources useful for citizen science projects and in which sections of the guide, you can find related information. A common understanding of how data will be managed is particularly important in collaborative projects that involve researchers, institutions and groups with different ways of working and expectations.</w:t>
      </w:r>
    </w:p>
    <w:p>
      <w:pPr>
        <w:pStyle w:val="Normal"/>
        <w:rPr/>
      </w:pPr>
      <w:r>
        <w:t>This guidance follows the six Science Europe core requirements for DMPs (Science Europe 2021). Also, refer to Wiggins et al. (2013) for writing a DMP for citizen science projects.</w:t>
      </w:r>
    </w:p>
    <w:p>
      <w:pPr>
        <w:pStyle w:val="Normal"/>
        <w:rPr/>
      </w:pPr>
      <w:r>
        <w:t>Find </w:t>
      </w:r>
      <w:hyperlink r:id="rId11">
        <w:r>
          <w:rPr>
            <w:rStyle w:val="Hyperlink"/>
          </w:rPr>
          <w:t>a curated collection of Horizon 2020 DMPs</w:t>
        </w:r>
      </w:hyperlink>
      <w:r>
        <w:t> where several address citizen science projects. If your research library does not provide a DMP tool, use free online tools for writing DMPs such as </w:t>
      </w:r>
      <w:hyperlink r:id="rId12">
        <w:r>
          <w:rPr>
            <w:rStyle w:val="Hyperlink"/>
          </w:rPr>
          <w:t>ARGOS</w:t>
        </w:r>
      </w:hyperlink>
      <w:r>
        <w:t> or </w:t>
      </w:r>
      <w:hyperlink r:id="rId13">
        <w:r>
          <w:rPr>
            <w:rStyle w:val="Hyperlink"/>
          </w:rPr>
          <w:t>DMPOnline</w:t>
        </w:r>
      </w:hyperlink>
      <w:r>
        <w:t>.</w:t>
      </w:r>
    </w:p>
    <w:p>
      <w:pPr>
        <w:pStyle w:val="Normal"/>
        <w:rPr/>
      </w:pPr>
      <w:r>
        <w:t>1. Data description and collection or re-use of existing data</w:t>
      </w:r>
    </w:p>
    <w:p>
      <w:pPr>
        <w:pStyle w:val="Normal"/>
        <w:rPr/>
      </w:pPr>
      <w:r>
        <w:t>The data description is the core part that you build upon to make decisions on data management. In this section you include information on the type of data that will be gathered. To increase the value of citizen science data from the perspective of the general public (community interoperability) or regulatory authorities, interoperable data should be planned for. This is important for integration with existing data or when using existing technologies for data collection.</w:t>
      </w:r>
    </w:p>
    <w:p>
      <w:pPr>
        <w:pStyle w:val="Normal"/>
        <w:rPr/>
      </w:pPr>
      <w:r>
        <w:t>Learn more about Citizen Science Data and Standards and about open science.</w:t>
      </w:r>
    </w:p>
    <w:p>
      <w:pPr>
        <w:pStyle w:val="Normal"/>
        <w:rPr/>
      </w:pPr>
      <w:r>
        <w:t>2. Documentation and data quality</w:t>
      </w:r>
    </w:p>
    <w:p>
      <w:pPr>
        <w:pStyle w:val="Normal"/>
        <w:rPr/>
      </w:pPr>
      <w:r>
        <w:t>Describing why and how data was collected is important for documenting the data quality. The data handling skills of the participants may be unknown, therefore, describe methods used to collect and treat data, data provenance, and quality-assurance steps taken. Explain how you will guarantee consistency within your dataset. Metadata standards from relevant disciplines (if existing) are key for data interoperability and reuse. Ventures in new technology should aim at following community standards and being open source so later users can implement and further develop the tools to their needs.</w:t>
      </w:r>
    </w:p>
    <w:p>
      <w:pPr>
        <w:pStyle w:val="Normal"/>
        <w:rPr/>
      </w:pPr>
      <w:r>
        <w:t>Learn more about Citizen Science Data and Standards. Search </w:t>
      </w:r>
      <w:hyperlink r:id="rId14">
        <w:r>
          <w:rPr>
            <w:rStyle w:val="Hyperlink"/>
          </w:rPr>
          <w:t>FAIRsharing</w:t>
        </w:r>
      </w:hyperlink>
      <w:r>
        <w:t> for standards, ontologies and policies.</w:t>
      </w:r>
    </w:p>
    <w:p>
      <w:pPr>
        <w:pStyle w:val="Normal"/>
        <w:rPr/>
      </w:pPr>
      <w:r>
        <w:t>3. Storage and backup during the research process</w:t>
      </w:r>
    </w:p>
    <w:p>
      <w:pPr>
        <w:pStyle w:val="Normal"/>
        <w:rPr/>
      </w:pPr>
      <w:r>
        <w:t>It is good practice to store data in at least one non-proprietary format. Project managers often use their personal data storage and the library role could be to help with the institutional storage provisions or identifying infrastructures fit for citizen science data. Seek storage solutions, which offer flexibility and protection for sensitive data or data with disclosure risk. Best practice is to store data without direct identifiers and replace personal identifiers with a randomly assigned identifier (ask researchers to create a separate file, to be kept apart from the rest of the data, which provides the linking relationship between any personal identifiers and the randomly assigned unique identifiers). Where possible, select a storage solution that allows an easy way to maintain version control.</w:t>
      </w:r>
    </w:p>
    <w:p>
      <w:pPr>
        <w:pStyle w:val="Normal"/>
        <w:rPr/>
      </w:pPr>
      <w:r>
        <w:t>Learn more about infrastructures for Citizen Science in Section 2 of this guide.</w:t>
      </w:r>
    </w:p>
    <w:p>
      <w:pPr>
        <w:pStyle w:val="Normal"/>
        <w:rPr/>
      </w:pPr>
      <w:r>
        <w:t>4. Legal and ethical requirements, codes of conduct</w:t>
      </w:r>
    </w:p>
    <w:p>
      <w:pPr>
        <w:pStyle w:val="Normal"/>
        <w:rPr/>
      </w:pPr>
      <w:r>
        <w:t>Citizen science projects might not have access to legal and ethical advice, and may need help to establish approval mechanisms for sharing data (via consent, regulation, institutional agreements and other systematic data governance mechanisms, including restricted access conditions and embargoes if required). Acknowledge data provenance in metadata and any limitations or obligations in secondary use, inclusive of issues of consent.</w:t>
      </w:r>
    </w:p>
    <w:p>
      <w:pPr>
        <w:pStyle w:val="Normal"/>
        <w:rPr/>
      </w:pPr>
      <w:r>
        <w:t>Learn more in Use of Data Policies in Citizen Science Projects and Acknowledgment of Citizen Scientists on Research Outputs.</w:t>
      </w:r>
    </w:p>
    <w:p>
      <w:pPr>
        <w:pStyle w:val="Normal"/>
        <w:rPr/>
      </w:pPr>
      <w:r>
        <w:t>5. Data sharing and long-term preservation</w:t>
      </w:r>
    </w:p>
    <w:p>
      <w:pPr>
        <w:pStyle w:val="Normal"/>
        <w:rPr/>
      </w:pPr>
      <w:r>
        <w:t>Where possible, advice to provide immediate open access to citizen science data and recommend Creative Commons Attribution 4.0 International License (CC BY 4.0), a Creative Commons Public Domain Dedication or equivalent. Also, clarify whether any project funder has specific data access requirements. Know the needs of the participants before you share any data and determine methods for sharing. If immediate open access is not possible, consider creating a metadata record in a repository where a persistent identifier and license can be assigned. If data cannot be open, indicate how they can be made accessible, and under which conditions. Describe which measures you will take to enable long-term preservation.</w:t>
      </w:r>
    </w:p>
    <w:p>
      <w:pPr>
        <w:pStyle w:val="Normal"/>
        <w:rPr/>
      </w:pPr>
      <w:r>
        <w:t>Remember to consult your participants during the project planning and with regard to their expectations of data sharing (see Citizen Science Data and Standards).</w:t>
      </w:r>
      <w:r>
        <w:br/>
      </w:r>
      <w:r>
        <w:t>Get more information about Use of Data Policies in Citizen Science Projects and about infrastructures for sharing data in Section 2.</w:t>
      </w:r>
    </w:p>
    <w:p>
      <w:pPr>
        <w:pStyle w:val="Normal"/>
        <w:rPr/>
      </w:pPr>
      <w:r>
        <w:t>6. Data management responsibilities and resources</w:t>
      </w:r>
    </w:p>
    <w:p>
      <w:pPr>
        <w:pStyle w:val="Normal"/>
        <w:rPr/>
      </w:pPr>
      <w:r>
        <w:t>Describe who (for example role, position, and institution) will be responsible for data management. What resources (for example financial and time) will be dedicated to data management and ensuring that data will be FAIR. Apps or technologies for data collection and participant interaction may require regular maintenance and updates – and therefore, funding for long-term support. By planning early, costs can be significantly reduced.</w:t>
      </w:r>
    </w:p>
    <w:p>
      <w:pPr>
        <w:pStyle w:val="Normal"/>
        <w:rPr/>
      </w:pPr>
      <w:r>
        <w:t>Identify and assess </w:t>
      </w:r>
      <w:hyperlink r:id="rId15">
        <w:r>
          <w:rPr>
            <w:rStyle w:val="Hyperlink"/>
          </w:rPr>
          <w:t>RDM costs</w:t>
        </w:r>
      </w:hyperlink>
      <w:r>
        <w:t> and include them in the project planning.</w:t>
      </w:r>
    </w:p>
    <w:p>
      <w:pPr>
        <w:pStyle w:val="Heading3"/>
        <w:rPr/>
      </w:pPr>
      <w:bookmarkStart w:name="H1297302" w:id="1"/>
      <w:bookmarkEnd w:id="1"/>
      <w:r>
        <w:t>References</w:t>
      </w:r>
    </w:p>
    <w:p>
      <w:pPr>
        <w:pStyle w:val="Normal"/>
        <w:rPr/>
      </w:pPr>
      <w:r>
        <w:t>Science Europe. Practical Guide to the International Alignment of Research Data Management. (Extended Edition). Brussels: Science Europe, 2021. </w:t>
      </w:r>
      <w:hyperlink r:id="rId16">
        <w:r>
          <w:rPr>
            <w:rStyle w:val="Hyperlink"/>
          </w:rPr>
          <w:t>https://www.scienceeurope.org/media/4brkxxe5/se_rdm_practical_guide_extended_final.pdf</w:t>
        </w:r>
      </w:hyperlink>
      <w:r>
        <w:t>.</w:t>
      </w:r>
    </w:p>
    <w:p>
      <w:pPr>
        <w:pStyle w:val="Normal"/>
        <w:rPr/>
      </w:pPr>
      <w:r>
        <w:t>Wiggins, A, Bonney, R, Graham, E, Henderson, S, Kelling, S, Littauer, R, Lebuhn, G, Lotts, G, Michener, W, Newman, G, Russel, E, Stevenson, R, Weltzin, J. Data Management Guide for Public Participation in Scientific Research. DataOne, 2013 </w:t>
      </w:r>
      <w:hyperlink r:id="rId17">
        <w:r>
          <w:rPr>
            <w:rStyle w:val="Hyperlink"/>
          </w:rPr>
          <w:t>http://safmc.net/wp-content/uploads/2016/06/Wigginsetal2013_DataManagementGuidePPSR.pdf</w:t>
        </w:r>
      </w:hyperlink>
      <w:r>
        <w:t>.</w:t>
      </w:r>
    </w:p>
    <w:p w:rsidR="00586296" w:rsidRDefault="00586296" w:rsidP="00586296">
      <w:pPr>
        <w:pStyle w:val="Heading2"/>
      </w:pPr>
      <w:r>
        <w:t>Bibliography</w:t>
      </w:r>
    </w:p>
    <w:p>
      <w:pPr>
        <w:pStyle w:val="References"/>
        <w:rPr/>
      </w:pPr>
      <w:r>
        <w:t xml:space="preserve"> </w:t>
      </w:r>
    </w:p>
    <w:sectPr w:rsidR="004D7A36" w:rsidRPr="0098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11"/>
    <w:rsid w:val="00172C3A"/>
    <w:rsid w:val="001B782A"/>
    <w:rsid w:val="004D7A36"/>
    <w:rsid w:val="004E3AC3"/>
    <w:rsid w:val="00586296"/>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E52"/>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a2fdcd35-f06d-40bb-afdc-57b08d5c925f.jpg"/><Relationship Id="rId7" Type="http://schemas.openxmlformats.org/officeDocument/2006/relationships/hyperlink" Target="https://orcid.org/0000-0002-2064-3439" TargetMode="External"/><Relationship Id="rId8" Type="http://schemas.openxmlformats.org/officeDocument/2006/relationships/hyperlink" Target="mailto:iryna.kuchma@eifl.net" TargetMode="External"/><Relationship Id="rId9" Type="http://schemas.openxmlformats.org/officeDocument/2006/relationships/hyperlink" Target="https://doi.org/10.20389/tpap-md16" TargetMode="External"/><Relationship Id="rId10" Type="http://schemas.openxmlformats.org/officeDocument/2006/relationships/hyperlink" Target="https://doi.org/10.11581/DTU:00000047" TargetMode="External"/><Relationship Id="rId11" Type="http://schemas.openxmlformats.org/officeDocument/2006/relationships/hyperlink" Target="https://phaidra.univie.ac.at/search#?page=1&amp;pagesize=10&amp;collection=o:1140797" TargetMode="External"/><Relationship Id="rId12" Type="http://schemas.openxmlformats.org/officeDocument/2006/relationships/hyperlink" Target="https://argos.openaire.eu/" TargetMode="External"/><Relationship Id="rId13" Type="http://schemas.openxmlformats.org/officeDocument/2006/relationships/hyperlink" Target="https://dmponline.dcc.ac.uk/" TargetMode="External"/><Relationship Id="rId14" Type="http://schemas.openxmlformats.org/officeDocument/2006/relationships/hyperlink" Target="https://fairsharing.org/" TargetMode="External"/><Relationship Id="rId15" Type="http://schemas.openxmlformats.org/officeDocument/2006/relationships/hyperlink" Target="https://www.openaire.eu/how-to-comply-to-h2020-mandates-rdm-costs" TargetMode="External"/><Relationship Id="rId16" Type="http://schemas.openxmlformats.org/officeDocument/2006/relationships/hyperlink" Target="https://www.scienceeurope.org/media/4brkxxe5/se_rdm_practical_guide_extended_final.pdf" TargetMode="External"/><Relationship Id="rId17" Type="http://schemas.openxmlformats.org/officeDocument/2006/relationships/hyperlink" Target="https://safmc.net/wp-content/uploads/2016/06/Wigginsetal2013_DataManagementGuidePPS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Securing Resources — The Data Management Plan</dc:title>
  <dc:subject/>
  <dc:creator>Unknown</dc:creator>
  <cp:keywords/>
  <dc:description/>
  <cp:lastModifiedBy>Unknown</cp:lastModifiedBy>
  <cp:revision>9</cp:revision>
  <dcterms:created xsi:type="dcterms:W3CDTF">2021-11-25T11:07:50Z</dcterms:created>
  <dcterms:modified xsi:type="dcterms:W3CDTF">2021-11-25T11:07:50Z</dcterms:modified>
</cp:coreProperties>
</file>