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000000"/>
          <w:sz w:val="28"/>
        </w:rPr>
        <w:t>EMERGING TECHNOLOGIES</w:t>
      </w:r>
    </w:p>
    <w:p>
      <w:pPr>
        <w:pStyle w:val="Title"/>
        <w:jc w:val="center"/>
      </w:pPr>
      <w:r>
        <w:rPr>
          <w:color w:val="000000"/>
        </w:rPr>
        <w:t>Promethean Agent Record</w:t>
      </w:r>
    </w:p>
    <w:p>
      <w:pPr>
        <w:jc w:val="center"/>
      </w:pPr>
      <w:r>
        <w:rPr>
          <w:color w:val="000000"/>
        </w:rPr>
        <w:t>MASY1-GC 1800 | Assignments 2-8</w:t>
      </w:r>
    </w:p>
    <w:p>
      <w:pPr>
        <w:pStyle w:val="Heading1"/>
      </w:pPr>
      <w:r>
        <w:rPr>
          <w:color w:val="000000"/>
        </w:rPr>
        <w:t>A. Agent and Version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7488"/>
      </w:tblGrid>
      <w:tr>
        <w:trPr>
          <w:cantSplit/>
          <w:tblHeader/>
        </w:trPr>
        <w:tc>
          <w:tcPr>
            <w:tcW w:type="dxa" w:w="2736"/>
            <w:tcMar>
              <w:top w:w="70" w:type="dxa"/>
              <w:start w:w="90" w:type="dxa"/>
              <w:bottom w:w="70" w:type="dxa"/>
              <w:end w:w="90" w:type="dxa"/>
            </w:tcMar>
            <w:vAlign w:val="top"/>
            <w:shd w:fill="57068C"/>
            <w:shd w:fill="E8EDF2"/>
          </w:tcPr>
          <w:p>
            <w:pPr>
              <w:spacing w:after="60" w:before="60"/>
            </w:pPr>
            <w:r>
              <w:rPr>
                <w:b/>
                <w:color w:val="000000"/>
                <w:sz w:val="22"/>
              </w:rPr>
              <w:t>Field</w:t>
            </w:r>
          </w:p>
        </w:tc>
        <w:tc>
          <w:tcPr>
            <w:tcW w:type="dxa" w:w="7488"/>
            <w:tcMar>
              <w:top w:w="70" w:type="dxa"/>
              <w:start w:w="90" w:type="dxa"/>
              <w:bottom w:w="70" w:type="dxa"/>
              <w:end w:w="90" w:type="dxa"/>
            </w:tcMar>
            <w:vAlign w:val="top"/>
            <w:shd w:fill="57068C"/>
            <w:shd w:fill="E8EDF2"/>
          </w:tcPr>
          <w:p>
            <w:pPr>
              <w:spacing w:after="60" w:before="60"/>
            </w:pPr>
            <w:r>
              <w:rPr>
                <w:b/>
                <w:color w:val="000000"/>
                <w:sz w:val="22"/>
              </w:rPr>
              <w:t>Student record</w:t>
            </w:r>
          </w:p>
        </w:tc>
      </w:tr>
      <w:tr>
        <w:trPr>
          <w:cantSplit/>
        </w:trPr>
        <w:tc>
          <w:tcPr>
            <w:tcW w:type="dxa" w:w="2736"/>
            <w:tcMar>
              <w:top w:w="70" w:type="dxa"/>
              <w:start w:w="90" w:type="dxa"/>
              <w:bottom w:w="70" w:type="dxa"/>
              <w:end w:w="90" w:type="dxa"/>
            </w:tcMar>
            <w:vAlign w:val="top"/>
          </w:tcPr>
          <w:p>
            <w:pPr>
              <w:spacing w:after="60" w:before="60"/>
            </w:pPr>
            <w:r>
              <w:rPr>
                <w:color w:val="000000"/>
                <w:sz w:val="22"/>
              </w:rPr>
              <w:t>Student / team</w:t>
            </w:r>
          </w:p>
        </w:tc>
        <w:tc>
          <w:tcPr>
            <w:tcW w:type="dxa" w:w="7488"/>
            <w:tcMar>
              <w:top w:w="70" w:type="dxa"/>
              <w:start w:w="90" w:type="dxa"/>
              <w:bottom w:w="70" w:type="dxa"/>
              <w:end w:w="90" w:type="dxa"/>
            </w:tcMar>
            <w:vAlign w:val="top"/>
          </w:tcPr>
          <w:p>
            <w:pPr>
              <w:spacing w:after="60" w:before="60"/>
            </w:pPr>
            <w:r>
              <w:rPr>
                <w:color w:val="000000"/>
                <w:sz w:val="22"/>
              </w:rPr>
              <w:t>Lucy Shen | Individual assignment</w:t>
            </w:r>
          </w:p>
        </w:tc>
      </w:tr>
      <w:tr>
        <w:trPr>
          <w:cantSplit/>
        </w:trPr>
        <w:tc>
          <w:tcPr>
            <w:tcW w:type="dxa" w:w="2736"/>
            <w:tcMar>
              <w:top w:w="70" w:type="dxa"/>
              <w:start w:w="90" w:type="dxa"/>
              <w:bottom w:w="70" w:type="dxa"/>
              <w:end w:w="90" w:type="dxa"/>
            </w:tcMar>
            <w:vAlign w:val="top"/>
          </w:tcPr>
          <w:p>
            <w:pPr>
              <w:spacing w:after="60" w:before="60"/>
            </w:pPr>
            <w:r>
              <w:rPr>
                <w:color w:val="000000"/>
                <w:sz w:val="22"/>
              </w:rPr>
              <w:t>Assignment / specialist agent</w:t>
            </w:r>
          </w:p>
        </w:tc>
        <w:tc>
          <w:tcPr>
            <w:tcW w:type="dxa" w:w="7488"/>
            <w:tcMar>
              <w:top w:w="70" w:type="dxa"/>
              <w:start w:w="90" w:type="dxa"/>
              <w:bottom w:w="70" w:type="dxa"/>
              <w:end w:w="90" w:type="dxa"/>
            </w:tcMar>
            <w:vAlign w:val="top"/>
          </w:tcPr>
          <w:p>
            <w:pPr>
              <w:spacing w:after="60" w:before="60"/>
            </w:pPr>
            <w:r>
              <w:rPr>
                <w:color w:val="000000"/>
                <w:sz w:val="22"/>
              </w:rPr>
              <w:t>Week 6 Assignment 4 | Promethean Technology Classification Agent | Candidate 0.2</w:t>
            </w:r>
          </w:p>
        </w:tc>
      </w:tr>
      <w:tr>
        <w:trPr>
          <w:cantSplit/>
        </w:trPr>
        <w:tc>
          <w:tcPr>
            <w:tcW w:type="dxa" w:w="2736"/>
            <w:tcMar>
              <w:top w:w="70" w:type="dxa"/>
              <w:start w:w="90" w:type="dxa"/>
              <w:bottom w:w="70" w:type="dxa"/>
              <w:end w:w="90" w:type="dxa"/>
            </w:tcMar>
            <w:vAlign w:val="top"/>
          </w:tcPr>
          <w:p>
            <w:pPr>
              <w:spacing w:after="60" w:before="60"/>
            </w:pPr>
            <w:r>
              <w:rPr>
                <w:color w:val="000000"/>
                <w:sz w:val="22"/>
              </w:rPr>
              <w:t>Date</w:t>
            </w:r>
          </w:p>
        </w:tc>
        <w:tc>
          <w:tcPr>
            <w:tcW w:type="dxa" w:w="7488"/>
            <w:tcMar>
              <w:top w:w="70" w:type="dxa"/>
              <w:start w:w="90" w:type="dxa"/>
              <w:bottom w:w="70" w:type="dxa"/>
              <w:end w:w="90" w:type="dxa"/>
            </w:tcMar>
            <w:vAlign w:val="top"/>
          </w:tcPr>
          <w:p>
            <w:pPr>
              <w:spacing w:after="60" w:before="60"/>
            </w:pPr>
            <w:r>
              <w:rPr>
                <w:color w:val="000000"/>
                <w:sz w:val="22"/>
              </w:rPr>
              <w:t>19 October 2026</w:t>
            </w:r>
          </w:p>
        </w:tc>
      </w:tr>
      <w:tr>
        <w:trPr>
          <w:cantSplit/>
        </w:trPr>
        <w:tc>
          <w:tcPr>
            <w:tcW w:type="dxa" w:w="2736"/>
            <w:tcMar>
              <w:top w:w="70" w:type="dxa"/>
              <w:start w:w="90" w:type="dxa"/>
              <w:bottom w:w="70" w:type="dxa"/>
              <w:end w:w="90" w:type="dxa"/>
            </w:tcMar>
            <w:vAlign w:val="top"/>
          </w:tcPr>
          <w:p>
            <w:pPr>
              <w:spacing w:after="60" w:before="60"/>
            </w:pPr>
            <w:r>
              <w:rPr>
                <w:color w:val="000000"/>
                <w:sz w:val="22"/>
              </w:rPr>
              <w:t>GitHub repository</w:t>
            </w:r>
          </w:p>
        </w:tc>
        <w:tc>
          <w:tcPr>
            <w:tcW w:type="dxa" w:w="7488"/>
            <w:tcMar>
              <w:top w:w="70" w:type="dxa"/>
              <w:start w:w="90" w:type="dxa"/>
              <w:bottom w:w="70" w:type="dxa"/>
              <w:end w:w="90" w:type="dxa"/>
            </w:tcMar>
            <w:vAlign w:val="top"/>
          </w:tcPr>
          <w:p>
            <w:pPr>
              <w:spacing w:after="60" w:before="60"/>
            </w:pPr>
            <w:r>
              <w:rPr>
                <w:color w:val="000000"/>
                <w:sz w:val="22"/>
              </w:rPr>
              <w:t>https://github.com/cs5930-lucy/Lucy-MASY1800-Emerging-Technologies</w:t>
            </w:r>
          </w:p>
        </w:tc>
      </w:tr>
      <w:tr>
        <w:trPr>
          <w:cantSplit/>
        </w:trPr>
        <w:tc>
          <w:tcPr>
            <w:tcW w:type="dxa" w:w="2736"/>
            <w:tcMar>
              <w:top w:w="70" w:type="dxa"/>
              <w:start w:w="90" w:type="dxa"/>
              <w:bottom w:w="70" w:type="dxa"/>
              <w:end w:w="90" w:type="dxa"/>
            </w:tcMar>
            <w:vAlign w:val="top"/>
          </w:tcPr>
          <w:p>
            <w:pPr>
              <w:spacing w:after="60" w:before="60"/>
            </w:pPr>
            <w:r>
              <w:rPr>
                <w:color w:val="000000"/>
                <w:sz w:val="22"/>
              </w:rPr>
              <w:t>Branch</w:t>
            </w:r>
          </w:p>
        </w:tc>
        <w:tc>
          <w:tcPr>
            <w:tcW w:type="dxa" w:w="7488"/>
            <w:tcMar>
              <w:top w:w="70" w:type="dxa"/>
              <w:start w:w="90" w:type="dxa"/>
              <w:bottom w:w="70" w:type="dxa"/>
              <w:end w:w="90" w:type="dxa"/>
            </w:tcMar>
            <w:vAlign w:val="top"/>
          </w:tcPr>
          <w:p>
            <w:pPr>
              <w:spacing w:after="60" w:before="60"/>
            </w:pPr>
            <w:r>
              <w:rPr>
                <w:color w:val="000000"/>
                <w:sz w:val="22"/>
              </w:rPr>
              <w:t>assignment-4-promethean-agent</w:t>
            </w:r>
          </w:p>
        </w:tc>
      </w:tr>
      <w:tr>
        <w:trPr>
          <w:cantSplit/>
        </w:trPr>
        <w:tc>
          <w:tcPr>
            <w:tcW w:type="dxa" w:w="2736"/>
            <w:tcMar>
              <w:top w:w="70" w:type="dxa"/>
              <w:start w:w="90" w:type="dxa"/>
              <w:bottom w:w="70" w:type="dxa"/>
              <w:end w:w="90" w:type="dxa"/>
            </w:tcMar>
            <w:vAlign w:val="top"/>
          </w:tcPr>
          <w:p>
            <w:pPr>
              <w:spacing w:after="60" w:before="60"/>
            </w:pPr>
            <w:r>
              <w:rPr>
                <w:color w:val="000000"/>
                <w:sz w:val="22"/>
              </w:rPr>
              <w:t>Commit</w:t>
            </w:r>
          </w:p>
        </w:tc>
        <w:tc>
          <w:tcPr>
            <w:tcW w:type="dxa" w:w="7488"/>
            <w:tcMar>
              <w:top w:w="70" w:type="dxa"/>
              <w:start w:w="90" w:type="dxa"/>
              <w:bottom w:w="70" w:type="dxa"/>
              <w:end w:w="90" w:type="dxa"/>
            </w:tcMar>
            <w:vAlign w:val="top"/>
          </w:tcPr>
          <w:p>
            <w:pPr>
              <w:spacing w:after="60" w:before="60"/>
            </w:pPr>
            <w:r>
              <w:rPr>
                <w:color w:val="000000"/>
                <w:sz w:val="22"/>
              </w:rPr>
              <w:t>d405e2a254b22a2de89ac26a8071c1310bc65418 (tested candidate; later submission-record commits may follow)</w:t>
            </w:r>
          </w:p>
        </w:tc>
      </w:tr>
      <w:tr>
        <w:trPr>
          <w:cantSplit/>
        </w:trPr>
        <w:tc>
          <w:tcPr>
            <w:tcW w:type="dxa" w:w="2736"/>
            <w:tcMar>
              <w:top w:w="70" w:type="dxa"/>
              <w:start w:w="90" w:type="dxa"/>
              <w:bottom w:w="70" w:type="dxa"/>
              <w:end w:w="90" w:type="dxa"/>
            </w:tcMar>
            <w:vAlign w:val="top"/>
          </w:tcPr>
          <w:p>
            <w:pPr>
              <w:spacing w:after="60" w:before="60"/>
            </w:pPr>
            <w:r>
              <w:rPr>
                <w:color w:val="000000"/>
                <w:sz w:val="22"/>
              </w:rPr>
              <w:t>Frozen scaffold version</w:t>
            </w:r>
          </w:p>
        </w:tc>
        <w:tc>
          <w:tcPr>
            <w:tcW w:type="dxa" w:w="7488"/>
            <w:tcMar>
              <w:top w:w="70" w:type="dxa"/>
              <w:start w:w="90" w:type="dxa"/>
              <w:bottom w:w="70" w:type="dxa"/>
              <w:end w:w="90" w:type="dxa"/>
            </w:tcMar>
            <w:vAlign w:val="top"/>
          </w:tcPr>
          <w:p>
            <w:pPr>
              <w:spacing w:after="60" w:before="60"/>
            </w:pPr>
            <w:r>
              <w:rPr>
                <w:color w:val="000000"/>
                <w:sz w:val="22"/>
              </w:rPr>
              <w:t>MASY1800_ET_Agent_Scaffold_v1_0 | FROZEN CORE INTACT</w:t>
            </w:r>
          </w:p>
        </w:tc>
      </w:tr>
    </w:tbl>
    <w:p>
      <w:pPr>
        <w:pStyle w:val="Heading1"/>
      </w:pPr>
      <w:r>
        <w:rPr>
          <w:color w:val="000000"/>
        </w:rPr>
        <w:t>B. Specialist Purpose and Context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7488"/>
      </w:tblGrid>
      <w:tr>
        <w:trPr>
          <w:cantSplit/>
          <w:tblHeader/>
        </w:trPr>
        <w:tc>
          <w:tcPr>
            <w:tcW w:type="dxa" w:w="2736"/>
            <w:tcMar>
              <w:top w:w="70" w:type="dxa"/>
              <w:start w:w="90" w:type="dxa"/>
              <w:bottom w:w="70" w:type="dxa"/>
              <w:end w:w="90" w:type="dxa"/>
            </w:tcMar>
            <w:vAlign w:val="top"/>
            <w:shd w:fill="57068C"/>
            <w:shd w:fill="E8EDF2"/>
          </w:tcPr>
          <w:p>
            <w:pPr>
              <w:spacing w:after="60" w:before="60"/>
            </w:pPr>
            <w:r>
              <w:rPr>
                <w:b/>
                <w:color w:val="000000"/>
                <w:sz w:val="22"/>
              </w:rPr>
              <w:t>Field</w:t>
            </w:r>
          </w:p>
        </w:tc>
        <w:tc>
          <w:tcPr>
            <w:tcW w:type="dxa" w:w="7488"/>
            <w:tcMar>
              <w:top w:w="70" w:type="dxa"/>
              <w:start w:w="90" w:type="dxa"/>
              <w:bottom w:w="70" w:type="dxa"/>
              <w:end w:w="90" w:type="dxa"/>
            </w:tcMar>
            <w:vAlign w:val="top"/>
            <w:shd w:fill="57068C"/>
            <w:shd w:fill="E8EDF2"/>
          </w:tcPr>
          <w:p>
            <w:pPr>
              <w:spacing w:after="60" w:before="60"/>
            </w:pPr>
            <w:r>
              <w:rPr>
                <w:b/>
                <w:color w:val="000000"/>
                <w:sz w:val="22"/>
              </w:rPr>
              <w:t>Student record</w:t>
            </w:r>
          </w:p>
        </w:tc>
      </w:tr>
      <w:tr>
        <w:trPr>
          <w:cantSplit/>
        </w:trPr>
        <w:tc>
          <w:tcPr>
            <w:tcW w:type="dxa" w:w="2736"/>
            <w:tcMar>
              <w:top w:w="70" w:type="dxa"/>
              <w:start w:w="90" w:type="dxa"/>
              <w:bottom w:w="70" w:type="dxa"/>
              <w:end w:w="90" w:type="dxa"/>
            </w:tcMar>
            <w:vAlign w:val="top"/>
          </w:tcPr>
          <w:p>
            <w:pPr>
              <w:spacing w:after="60" w:before="60"/>
            </w:pPr>
            <w:r>
              <w:rPr>
                <w:color w:val="000000"/>
                <w:sz w:val="22"/>
              </w:rPr>
              <w:t>Governing analytical question</w:t>
            </w:r>
          </w:p>
        </w:tc>
        <w:tc>
          <w:tcPr>
            <w:tcW w:type="dxa" w:w="7488"/>
            <w:tcMar>
              <w:top w:w="70" w:type="dxa"/>
              <w:start w:w="90" w:type="dxa"/>
              <w:bottom w:w="70" w:type="dxa"/>
              <w:end w:w="90" w:type="dxa"/>
            </w:tcMar>
            <w:vAlign w:val="top"/>
          </w:tcPr>
          <w:p>
            <w:pPr>
              <w:spacing w:after="60" w:before="60"/>
            </w:pPr>
            <w:r>
              <w:rPr>
                <w:color w:val="000000"/>
                <w:sz w:val="22"/>
              </w:rPr>
              <w:t>Is generative AI incremental, breakthrough or potentially civilization changing, and how much should broad significance influence this application decision?</w:t>
            </w:r>
          </w:p>
        </w:tc>
      </w:tr>
      <w:tr>
        <w:trPr>
          <w:cantSplit/>
        </w:trPr>
        <w:tc>
          <w:tcPr>
            <w:tcW w:type="dxa" w:w="2736"/>
            <w:tcMar>
              <w:top w:w="70" w:type="dxa"/>
              <w:start w:w="90" w:type="dxa"/>
              <w:bottom w:w="70" w:type="dxa"/>
              <w:end w:w="90" w:type="dxa"/>
            </w:tcMar>
            <w:vAlign w:val="top"/>
          </w:tcPr>
          <w:p>
            <w:pPr>
              <w:spacing w:after="60" w:before="60"/>
            </w:pPr>
            <w:r>
              <w:rPr>
                <w:color w:val="000000"/>
                <w:sz w:val="22"/>
              </w:rPr>
              <w:t>Emerging technology</w:t>
            </w:r>
          </w:p>
        </w:tc>
        <w:tc>
          <w:tcPr>
            <w:tcW w:type="dxa" w:w="7488"/>
            <w:tcMar>
              <w:top w:w="70" w:type="dxa"/>
              <w:start w:w="90" w:type="dxa"/>
              <w:bottom w:w="70" w:type="dxa"/>
              <w:end w:w="90" w:type="dxa"/>
            </w:tcMar>
            <w:vAlign w:val="top"/>
          </w:tcPr>
          <w:p>
            <w:pPr>
              <w:spacing w:after="60" w:before="60"/>
            </w:pPr>
            <w:r>
              <w:rPr>
                <w:color w:val="000000"/>
                <w:sz w:val="22"/>
              </w:rPr>
              <w:t>Generative AI, with language models as the evidenced subset. RAG is an optional reference-grounding component of the proposed workflow.</w:t>
            </w:r>
          </w:p>
        </w:tc>
      </w:tr>
      <w:tr>
        <w:trPr>
          <w:cantSplit/>
        </w:trPr>
        <w:tc>
          <w:tcPr>
            <w:tcW w:type="dxa" w:w="2736"/>
            <w:tcMar>
              <w:top w:w="70" w:type="dxa"/>
              <w:start w:w="90" w:type="dxa"/>
              <w:bottom w:w="70" w:type="dxa"/>
              <w:end w:w="90" w:type="dxa"/>
            </w:tcMar>
            <w:vAlign w:val="top"/>
          </w:tcPr>
          <w:p>
            <w:pPr>
              <w:spacing w:after="60" w:before="60"/>
            </w:pPr>
            <w:r>
              <w:rPr>
                <w:color w:val="000000"/>
                <w:sz w:val="22"/>
              </w:rPr>
              <w:t>Intended application</w:t>
            </w:r>
          </w:p>
        </w:tc>
        <w:tc>
          <w:tcPr>
            <w:tcW w:type="dxa" w:w="7488"/>
            <w:tcMar>
              <w:top w:w="70" w:type="dxa"/>
              <w:start w:w="90" w:type="dxa"/>
              <w:bottom w:w="70" w:type="dxa"/>
              <w:end w:w="90" w:type="dxa"/>
            </w:tcMar>
            <w:vAlign w:val="top"/>
          </w:tcPr>
          <w:p>
            <w:pPr>
              <w:spacing w:after="60" w:before="60"/>
            </w:pPr>
            <w:r>
              <w:rPr>
                <w:color w:val="000000"/>
                <w:sz w:val="22"/>
              </w:rPr>
              <w:t>Turn product-specification screenshots and raw images into a headline, three specifications, caption, image placement and a visual mockup for Canva retouching for Instagram or YouTube.</w:t>
            </w:r>
          </w:p>
        </w:tc>
      </w:tr>
      <w:tr>
        <w:trPr>
          <w:cantSplit/>
        </w:trPr>
        <w:tc>
          <w:tcPr>
            <w:tcW w:type="dxa" w:w="2736"/>
            <w:tcMar>
              <w:top w:w="70" w:type="dxa"/>
              <w:start w:w="90" w:type="dxa"/>
              <w:bottom w:w="70" w:type="dxa"/>
              <w:end w:w="90" w:type="dxa"/>
            </w:tcMar>
            <w:vAlign w:val="top"/>
          </w:tcPr>
          <w:p>
            <w:pPr>
              <w:spacing w:after="60" w:before="60"/>
            </w:pPr>
            <w:r>
              <w:rPr>
                <w:color w:val="000000"/>
                <w:sz w:val="22"/>
              </w:rPr>
              <w:t>Organization / industry</w:t>
            </w:r>
          </w:p>
        </w:tc>
        <w:tc>
          <w:tcPr>
            <w:tcW w:type="dxa" w:w="7488"/>
            <w:tcMar>
              <w:top w:w="70" w:type="dxa"/>
              <w:start w:w="90" w:type="dxa"/>
              <w:bottom w:w="70" w:type="dxa"/>
              <w:end w:w="90" w:type="dxa"/>
            </w:tcMar>
            <w:vAlign w:val="top"/>
          </w:tcPr>
          <w:p>
            <w:pPr>
              <w:spacing w:after="60" w:before="60"/>
            </w:pPr>
            <w:r>
              <w:rPr>
                <w:color w:val="000000"/>
                <w:sz w:val="22"/>
              </w:rPr>
              <w:t>Hypothetical textile manufacturer marketing team inspired by my reported workflow. Company resources and controls are case assumptions.</w:t>
            </w:r>
          </w:p>
        </w:tc>
      </w:tr>
      <w:tr>
        <w:trPr>
          <w:cantSplit/>
        </w:trPr>
        <w:tc>
          <w:tcPr>
            <w:tcW w:type="dxa" w:w="2736"/>
            <w:tcMar>
              <w:top w:w="70" w:type="dxa"/>
              <w:start w:w="90" w:type="dxa"/>
              <w:bottom w:w="70" w:type="dxa"/>
              <w:end w:w="90" w:type="dxa"/>
            </w:tcMar>
            <w:vAlign w:val="top"/>
          </w:tcPr>
          <w:p>
            <w:pPr>
              <w:spacing w:after="60" w:before="60"/>
            </w:pPr>
            <w:r>
              <w:rPr>
                <w:color w:val="000000"/>
                <w:sz w:val="22"/>
              </w:rPr>
              <w:t>Adoption posture</w:t>
            </w:r>
          </w:p>
        </w:tc>
        <w:tc>
          <w:tcPr>
            <w:tcW w:type="dxa" w:w="7488"/>
            <w:tcMar>
              <w:top w:w="70" w:type="dxa"/>
              <w:start w:w="90" w:type="dxa"/>
              <w:bottom w:w="70" w:type="dxa"/>
              <w:end w:w="90" w:type="dxa"/>
            </w:tcMar>
            <w:vAlign w:val="top"/>
          </w:tcPr>
          <w:p>
            <w:pPr>
              <w:spacing w:after="60" w:before="60"/>
            </w:pPr>
            <w:r>
              <w:rPr>
                <w:color w:val="000000"/>
                <w:sz w:val="22"/>
              </w:rPr>
              <w:t>Moderate fast follower in the primary case; conservative supplier and aggressive posture in contrasts. These postures are assumed.</w:t>
            </w:r>
          </w:p>
        </w:tc>
      </w:tr>
      <w:tr>
        <w:trPr>
          <w:cantSplit/>
        </w:trPr>
        <w:tc>
          <w:tcPr>
            <w:tcW w:type="dxa" w:w="2736"/>
            <w:tcMar>
              <w:top w:w="70" w:type="dxa"/>
              <w:start w:w="90" w:type="dxa"/>
              <w:bottom w:w="70" w:type="dxa"/>
              <w:end w:w="90" w:type="dxa"/>
            </w:tcMar>
            <w:vAlign w:val="top"/>
          </w:tcPr>
          <w:p>
            <w:pPr>
              <w:spacing w:after="60" w:before="60"/>
            </w:pPr>
            <w:r>
              <w:rPr>
                <w:color w:val="000000"/>
                <w:sz w:val="22"/>
              </w:rPr>
              <w:t>Risk / consequence context</w:t>
            </w:r>
          </w:p>
        </w:tc>
        <w:tc>
          <w:tcPr>
            <w:tcW w:type="dxa" w:w="7488"/>
            <w:tcMar>
              <w:top w:w="70" w:type="dxa"/>
              <w:start w:w="90" w:type="dxa"/>
              <w:bottom w:w="70" w:type="dxa"/>
              <w:end w:w="90" w:type="dxa"/>
            </w:tcMar>
            <w:vAlign w:val="top"/>
          </w:tcPr>
          <w:p>
            <w:pPr>
              <w:spacing w:after="60" w:before="60"/>
            </w:pPr>
            <w:r>
              <w:rPr>
                <w:color w:val="000000"/>
                <w:sz w:val="22"/>
              </w:rPr>
              <w:t>Wrong product identity, numbers, units or technical meaning could mislead customers. I would review technical meaning, wording and final design. The safety-textile contrast has higher consequences and missing evidence controls.</w:t>
            </w:r>
          </w:p>
        </w:tc>
      </w:tr>
      <w:tr>
        <w:trPr>
          <w:cantSplit/>
        </w:trPr>
        <w:tc>
          <w:tcPr>
            <w:tcW w:type="dxa" w:w="2736"/>
            <w:tcMar>
              <w:top w:w="70" w:type="dxa"/>
              <w:start w:w="90" w:type="dxa"/>
              <w:bottom w:w="70" w:type="dxa"/>
              <w:end w:w="90" w:type="dxa"/>
            </w:tcMar>
            <w:vAlign w:val="top"/>
          </w:tcPr>
          <w:p>
            <w:pPr>
              <w:spacing w:after="60" w:before="60"/>
            </w:pPr>
            <w:r>
              <w:rPr>
                <w:color w:val="000000"/>
                <w:sz w:val="22"/>
              </w:rPr>
              <w:t>Management question / time horizon</w:t>
            </w:r>
          </w:p>
        </w:tc>
        <w:tc>
          <w:tcPr>
            <w:tcW w:type="dxa" w:w="7488"/>
            <w:tcMar>
              <w:top w:w="70" w:type="dxa"/>
              <w:start w:w="90" w:type="dxa"/>
              <w:bottom w:w="70" w:type="dxa"/>
              <w:end w:w="90" w:type="dxa"/>
            </w:tcMar>
            <w:vAlign w:val="top"/>
          </w:tcPr>
          <w:p>
            <w:pPr>
              <w:spacing w:after="60" w:before="60"/>
            </w:pPr>
            <w:r>
              <w:rPr>
                <w:color w:val="000000"/>
                <w:sz w:val="22"/>
              </w:rPr>
              <w:t>Consider a bounded four-week evaluation, assumed for testing. Assess longer-run significance over a decade or more without predicting a transformation date.</w:t>
            </w:r>
          </w:p>
        </w:tc>
      </w:tr>
    </w:tbl>
    <w:p>
      <w:pPr>
        <w:pStyle w:val="Heading1"/>
      </w:pPr>
      <w:r>
        <w:rPr>
          <w:color w:val="000000"/>
        </w:rPr>
        <w:t>C. Three-Level Finding</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7488"/>
      </w:tblGrid>
      <w:tr>
        <w:trPr>
          <w:cantSplit/>
          <w:tblHeader/>
        </w:trPr>
        <w:tc>
          <w:tcPr>
            <w:tcW w:type="dxa" w:w="2736"/>
            <w:tcMar>
              <w:top w:w="70" w:type="dxa"/>
              <w:start w:w="90" w:type="dxa"/>
              <w:bottom w:w="70" w:type="dxa"/>
              <w:end w:w="90" w:type="dxa"/>
            </w:tcMar>
            <w:vAlign w:val="top"/>
            <w:shd w:fill="57068C"/>
            <w:shd w:fill="E8EDF2"/>
          </w:tcPr>
          <w:p>
            <w:pPr>
              <w:spacing w:after="60" w:before="60"/>
            </w:pPr>
            <w:r>
              <w:rPr>
                <w:b/>
                <w:color w:val="000000"/>
                <w:sz w:val="22"/>
              </w:rPr>
              <w:t>Field</w:t>
            </w:r>
          </w:p>
        </w:tc>
        <w:tc>
          <w:tcPr>
            <w:tcW w:type="dxa" w:w="7488"/>
            <w:tcMar>
              <w:top w:w="70" w:type="dxa"/>
              <w:start w:w="90" w:type="dxa"/>
              <w:bottom w:w="70" w:type="dxa"/>
              <w:end w:w="90" w:type="dxa"/>
            </w:tcMar>
            <w:vAlign w:val="top"/>
            <w:shd w:fill="57068C"/>
            <w:shd w:fill="E8EDF2"/>
          </w:tcPr>
          <w:p>
            <w:pPr>
              <w:spacing w:after="60" w:before="60"/>
            </w:pPr>
            <w:r>
              <w:rPr>
                <w:b/>
                <w:color w:val="000000"/>
                <w:sz w:val="22"/>
              </w:rPr>
              <w:t>Student record</w:t>
            </w:r>
          </w:p>
        </w:tc>
      </w:tr>
      <w:tr>
        <w:trPr>
          <w:cantSplit/>
        </w:trPr>
        <w:tc>
          <w:tcPr>
            <w:tcW w:type="dxa" w:w="2736"/>
            <w:tcMar>
              <w:top w:w="70" w:type="dxa"/>
              <w:start w:w="90" w:type="dxa"/>
              <w:bottom w:w="70" w:type="dxa"/>
              <w:end w:w="90" w:type="dxa"/>
            </w:tcMar>
            <w:vAlign w:val="top"/>
          </w:tcPr>
          <w:p>
            <w:pPr>
              <w:spacing w:after="60" w:before="60"/>
            </w:pPr>
            <w:r>
              <w:rPr>
                <w:color w:val="000000"/>
                <w:sz w:val="22"/>
              </w:rPr>
              <w:t>ET generally</w:t>
            </w:r>
          </w:p>
        </w:tc>
        <w:tc>
          <w:tcPr>
            <w:tcW w:type="dxa" w:w="7488"/>
            <w:tcMar>
              <w:top w:w="70" w:type="dxa"/>
              <w:start w:w="90" w:type="dxa"/>
              <w:bottom w:w="70" w:type="dxa"/>
              <w:end w:w="90" w:type="dxa"/>
            </w:tcMar>
            <w:vAlign w:val="top"/>
          </w:tcPr>
          <w:p>
            <w:pPr>
              <w:spacing w:after="60" w:before="60"/>
            </w:pPr>
            <w:r>
              <w:rPr>
                <w:color w:val="000000"/>
                <w:sz w:val="22"/>
              </w:rPr>
              <w:t>Breakthrough is the best-supported current judgment. Comparative studies support capability gains. Potentially Promethean remains a plausible upper scenario because breadth and durable societal effects are unresolved by this evidence set.</w:t>
            </w:r>
          </w:p>
        </w:tc>
      </w:tr>
      <w:tr>
        <w:trPr>
          <w:cantSplit/>
        </w:trPr>
        <w:tc>
          <w:tcPr>
            <w:tcW w:type="dxa" w:w="2736"/>
            <w:tcMar>
              <w:top w:w="70" w:type="dxa"/>
              <w:start w:w="90" w:type="dxa"/>
              <w:bottom w:w="70" w:type="dxa"/>
              <w:end w:w="90" w:type="dxa"/>
            </w:tcMar>
            <w:vAlign w:val="top"/>
          </w:tcPr>
          <w:p>
            <w:pPr>
              <w:spacing w:after="60" w:before="60"/>
            </w:pPr>
            <w:r>
              <w:rPr>
                <w:color w:val="000000"/>
                <w:sz w:val="22"/>
              </w:rPr>
              <w:t>ET for this application</w:t>
            </w:r>
          </w:p>
        </w:tc>
        <w:tc>
          <w:tcPr>
            <w:tcW w:type="dxa" w:w="7488"/>
            <w:tcMar>
              <w:top w:w="70" w:type="dxa"/>
              <w:start w:w="90" w:type="dxa"/>
              <w:bottom w:w="70" w:type="dxa"/>
              <w:end w:w="90" w:type="dxa"/>
            </w:tcMar>
            <w:vAlign w:val="top"/>
          </w:tcPr>
          <w:p>
            <w:pPr>
              <w:spacing w:after="60" w:before="60"/>
            </w:pPr>
            <w:r>
              <w:rPr>
                <w:color w:val="000000"/>
                <w:sz w:val="22"/>
              </w:rPr>
              <w:t>An operational improvement to content production, with untested local value. RAG alone does not establish screenshot extraction, image matching, layout generation or Canva integration.</w:t>
            </w:r>
          </w:p>
        </w:tc>
      </w:tr>
      <w:tr>
        <w:trPr>
          <w:cantSplit/>
        </w:trPr>
        <w:tc>
          <w:tcPr>
            <w:tcW w:type="dxa" w:w="2736"/>
            <w:tcMar>
              <w:top w:w="70" w:type="dxa"/>
              <w:start w:w="90" w:type="dxa"/>
              <w:bottom w:w="70" w:type="dxa"/>
              <w:end w:w="90" w:type="dxa"/>
            </w:tcMar>
            <w:vAlign w:val="top"/>
          </w:tcPr>
          <w:p>
            <w:pPr>
              <w:spacing w:after="60" w:before="60"/>
            </w:pPr>
            <w:r>
              <w:rPr>
                <w:color w:val="000000"/>
                <w:sz w:val="22"/>
              </w:rPr>
              <w:t>ET for this application in this organization</w:t>
            </w:r>
          </w:p>
        </w:tc>
        <w:tc>
          <w:tcPr>
            <w:tcW w:type="dxa" w:w="7488"/>
            <w:tcMar>
              <w:top w:w="70" w:type="dxa"/>
              <w:start w:w="90" w:type="dxa"/>
              <w:bottom w:w="70" w:type="dxa"/>
              <w:end w:w="90" w:type="dxa"/>
            </w:tcMar>
            <w:vAlign w:val="top"/>
          </w:tcPr>
          <w:p>
            <w:pPr>
              <w:spacing w:after="60" w:before="60"/>
            </w:pPr>
            <w:r>
              <w:rPr>
                <w:color w:val="000000"/>
                <w:sz w:val="22"/>
              </w:rPr>
              <w:t>Consider internal evaluation with approved product evidence and final review. In the safety-textile contrast, defer performance-claim drafting until a product-version register and technical review owner exist.</w:t>
            </w:r>
          </w:p>
        </w:tc>
      </w:tr>
      <w:tr>
        <w:trPr>
          <w:cantSplit/>
        </w:trPr>
        <w:tc>
          <w:tcPr>
            <w:tcW w:type="dxa" w:w="2736"/>
            <w:tcMar>
              <w:top w:w="70" w:type="dxa"/>
              <w:start w:w="90" w:type="dxa"/>
              <w:bottom w:w="70" w:type="dxa"/>
              <w:end w:w="90" w:type="dxa"/>
            </w:tcMar>
            <w:vAlign w:val="top"/>
          </w:tcPr>
          <w:p>
            <w:pPr>
              <w:spacing w:after="60" w:before="60"/>
            </w:pPr>
            <w:r>
              <w:rPr>
                <w:color w:val="000000"/>
                <w:sz w:val="22"/>
              </w:rPr>
              <w:t>Bounded management implication</w:t>
            </w:r>
          </w:p>
        </w:tc>
        <w:tc>
          <w:tcPr>
            <w:tcW w:type="dxa" w:w="7488"/>
            <w:tcMar>
              <w:top w:w="70" w:type="dxa"/>
              <w:start w:w="90" w:type="dxa"/>
              <w:bottom w:w="70" w:type="dxa"/>
              <w:end w:w="90" w:type="dxa"/>
            </w:tcMar>
            <w:vAlign w:val="top"/>
          </w:tcPr>
          <w:p>
            <w:pPr>
              <w:spacing w:after="60" w:before="60"/>
            </w:pPr>
            <w:r>
              <w:rPr>
                <w:color w:val="000000"/>
                <w:sz w:val="22"/>
              </w:rPr>
              <w:t>Broad significance supports monitoring and learning. Continue only on application evidence, acceptable consequences and accountable approval. This specialist cannot authorize deployment.</w:t>
            </w:r>
          </w:p>
        </w:tc>
      </w:tr>
      <w:tr>
        <w:trPr>
          <w:cantSplit/>
        </w:trPr>
        <w:tc>
          <w:tcPr>
            <w:tcW w:type="dxa" w:w="2736"/>
            <w:tcMar>
              <w:top w:w="70" w:type="dxa"/>
              <w:start w:w="90" w:type="dxa"/>
              <w:bottom w:w="70" w:type="dxa"/>
              <w:end w:w="90" w:type="dxa"/>
            </w:tcMar>
            <w:vAlign w:val="top"/>
          </w:tcPr>
          <w:p>
            <w:pPr>
              <w:spacing w:after="60" w:before="60"/>
            </w:pPr>
            <w:r>
              <w:rPr>
                <w:color w:val="000000"/>
                <w:sz w:val="22"/>
              </w:rPr>
              <w:t>Confidence / uncertainty</w:t>
            </w:r>
          </w:p>
        </w:tc>
        <w:tc>
          <w:tcPr>
            <w:tcW w:type="dxa" w:w="7488"/>
            <w:tcMar>
              <w:top w:w="70" w:type="dxa"/>
              <w:start w:w="90" w:type="dxa"/>
              <w:bottom w:w="70" w:type="dxa"/>
              <w:end w:w="90" w:type="dxa"/>
            </w:tcMar>
            <w:vAlign w:val="top"/>
          </w:tcPr>
          <w:p>
            <w:pPr>
              <w:spacing w:after="60" w:before="60"/>
            </w:pPr>
            <w:r>
              <w:rPr>
                <w:color w:val="000000"/>
                <w:sz w:val="22"/>
              </w:rPr>
              <w:t>High in selected capability evidence; moderate in the broad breakthrough judgment; low in Promethean status and local efficiency estimates. These qualitative ratings are not calibrated probabilities.</w:t>
            </w:r>
          </w:p>
        </w:tc>
      </w:tr>
      <w:tr>
        <w:trPr>
          <w:cantSplit/>
        </w:trPr>
        <w:tc>
          <w:tcPr>
            <w:tcW w:type="dxa" w:w="2736"/>
            <w:tcMar>
              <w:top w:w="70" w:type="dxa"/>
              <w:start w:w="90" w:type="dxa"/>
              <w:bottom w:w="70" w:type="dxa"/>
              <w:end w:w="90" w:type="dxa"/>
            </w:tcMar>
            <w:vAlign w:val="top"/>
          </w:tcPr>
          <w:p>
            <w:pPr>
              <w:spacing w:after="60" w:before="60"/>
            </w:pPr>
            <w:r>
              <w:rPr>
                <w:color w:val="000000"/>
                <w:sz w:val="22"/>
              </w:rPr>
              <w:t>What evidence or condition would change the conclusion</w:t>
            </w:r>
          </w:p>
        </w:tc>
        <w:tc>
          <w:tcPr>
            <w:tcW w:type="dxa" w:w="7488"/>
            <w:tcMar>
              <w:top w:w="70" w:type="dxa"/>
              <w:start w:w="90" w:type="dxa"/>
              <w:bottom w:w="70" w:type="dxa"/>
              <w:end w:w="90" w:type="dxa"/>
            </w:tcMar>
            <w:vAlign w:val="top"/>
          </w:tcPr>
          <w:p>
            <w:pPr>
              <w:spacing w:after="60" w:before="60"/>
            </w:pPr>
            <w:r>
              <w:rPr>
                <w:color w:val="000000"/>
                <w:sz w:val="22"/>
              </w:rPr>
              <w:t>Independent cross-domain evidence of durable institutional or production change could strengthen the upper label. Failed replication or critical feasibility barriers could weaken it. Local conclusions require measured accepted-output effort and quality.</w:t>
            </w:r>
          </w:p>
        </w:tc>
      </w:tr>
    </w:tbl>
    <w:p>
      <w:pPr>
        <w:pStyle w:val="Heading1"/>
      </w:pPr>
      <w:r>
        <w:rPr>
          <w:color w:val="000000"/>
        </w:rPr>
        <w:t>D. Evidence and Testing</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7488"/>
      </w:tblGrid>
      <w:tr>
        <w:trPr>
          <w:cantSplit/>
          <w:tblHeader/>
        </w:trPr>
        <w:tc>
          <w:tcPr>
            <w:tcW w:type="dxa" w:w="2736"/>
            <w:tcMar>
              <w:top w:w="70" w:type="dxa"/>
              <w:start w:w="90" w:type="dxa"/>
              <w:bottom w:w="70" w:type="dxa"/>
              <w:end w:w="90" w:type="dxa"/>
            </w:tcMar>
            <w:vAlign w:val="top"/>
            <w:shd w:fill="57068C"/>
            <w:shd w:fill="E8EDF2"/>
          </w:tcPr>
          <w:p>
            <w:pPr>
              <w:spacing w:after="60" w:before="60"/>
            </w:pPr>
            <w:r>
              <w:rPr>
                <w:b/>
                <w:color w:val="000000"/>
                <w:sz w:val="22"/>
              </w:rPr>
              <w:t>Field</w:t>
            </w:r>
          </w:p>
        </w:tc>
        <w:tc>
          <w:tcPr>
            <w:tcW w:type="dxa" w:w="7488"/>
            <w:tcMar>
              <w:top w:w="70" w:type="dxa"/>
              <w:start w:w="90" w:type="dxa"/>
              <w:bottom w:w="70" w:type="dxa"/>
              <w:end w:w="90" w:type="dxa"/>
            </w:tcMar>
            <w:vAlign w:val="top"/>
            <w:shd w:fill="57068C"/>
            <w:shd w:fill="E8EDF2"/>
          </w:tcPr>
          <w:p>
            <w:pPr>
              <w:spacing w:after="60" w:before="60"/>
            </w:pPr>
            <w:r>
              <w:rPr>
                <w:b/>
                <w:color w:val="000000"/>
                <w:sz w:val="22"/>
              </w:rPr>
              <w:t>Student record</w:t>
            </w:r>
          </w:p>
        </w:tc>
      </w:tr>
      <w:tr>
        <w:trPr>
          <w:cantSplit/>
        </w:trPr>
        <w:tc>
          <w:tcPr>
            <w:tcW w:type="dxa" w:w="2736"/>
            <w:tcMar>
              <w:top w:w="70" w:type="dxa"/>
              <w:start w:w="90" w:type="dxa"/>
              <w:bottom w:w="70" w:type="dxa"/>
              <w:end w:w="90" w:type="dxa"/>
            </w:tcMar>
            <w:vAlign w:val="top"/>
          </w:tcPr>
          <w:p>
            <w:pPr>
              <w:spacing w:after="60" w:before="60"/>
            </w:pPr>
            <w:r>
              <w:rPr>
                <w:color w:val="000000"/>
                <w:sz w:val="22"/>
              </w:rPr>
              <w:t>Most important evidence/source(s)</w:t>
            </w:r>
          </w:p>
        </w:tc>
        <w:tc>
          <w:tcPr>
            <w:tcW w:type="dxa" w:w="7488"/>
            <w:tcMar>
              <w:top w:w="70" w:type="dxa"/>
              <w:start w:w="90" w:type="dxa"/>
              <w:bottom w:w="70" w:type="dxa"/>
              <w:end w:w="90" w:type="dxa"/>
            </w:tcMar>
            <w:vAlign w:val="top"/>
          </w:tcPr>
          <w:p>
            <w:pPr>
              <w:spacing w:after="60" w:before="60"/>
            </w:pPr>
            <w:r>
              <w:rPr>
                <w:color w:val="000000"/>
                <w:sz w:val="22"/>
              </w:rPr>
              <w:t>S1 original writing experiment; S2 published customer-support study; S3 original researchers’ October 2026 account of Danish labor-market findings; S4 NIST guidance; S5 original RAG paper. Full URLs and limitations follow below and in source_register.json.</w:t>
            </w:r>
          </w:p>
        </w:tc>
      </w:tr>
      <w:tr>
        <w:trPr>
          <w:cantSplit/>
        </w:trPr>
        <w:tc>
          <w:tcPr>
            <w:tcW w:type="dxa" w:w="2736"/>
            <w:tcMar>
              <w:top w:w="70" w:type="dxa"/>
              <w:start w:w="90" w:type="dxa"/>
              <w:bottom w:w="70" w:type="dxa"/>
              <w:end w:w="90" w:type="dxa"/>
            </w:tcMar>
            <w:vAlign w:val="top"/>
          </w:tcPr>
          <w:p>
            <w:pPr>
              <w:spacing w:after="60" w:before="60"/>
            </w:pPr>
            <w:r>
              <w:rPr>
                <w:color w:val="000000"/>
                <w:sz w:val="22"/>
              </w:rPr>
              <w:t>Primary test - result</w:t>
            </w:r>
          </w:p>
        </w:tc>
        <w:tc>
          <w:tcPr>
            <w:tcW w:type="dxa" w:w="7488"/>
            <w:tcMar>
              <w:top w:w="70" w:type="dxa"/>
              <w:start w:w="90" w:type="dxa"/>
              <w:bottom w:w="70" w:type="dxa"/>
              <w:end w:w="90" w:type="dxa"/>
            </w:tcMar>
            <w:vAlign w:val="top"/>
          </w:tcPr>
          <w:p>
            <w:pPr>
              <w:spacing w:after="60" w:before="60"/>
            </w:pPr>
            <w:r>
              <w:rPr>
                <w:color w:val="000000"/>
                <w:sz w:val="22"/>
              </w:rPr>
              <w:t>Candidate 0.2 supports considering internal evaluation, with no measured efficiency claim. All required JSON fields validate. The 80% efficiency target remains aspirational and its metric needs agreement.</w:t>
            </w:r>
          </w:p>
        </w:tc>
      </w:tr>
      <w:tr>
        <w:trPr>
          <w:cantSplit/>
        </w:trPr>
        <w:tc>
          <w:tcPr>
            <w:tcW w:type="dxa" w:w="2736"/>
            <w:tcMar>
              <w:top w:w="70" w:type="dxa"/>
              <w:start w:w="90" w:type="dxa"/>
              <w:bottom w:w="70" w:type="dxa"/>
              <w:end w:w="90" w:type="dxa"/>
            </w:tcMar>
            <w:vAlign w:val="top"/>
          </w:tcPr>
          <w:p>
            <w:pPr>
              <w:spacing w:after="60" w:before="60"/>
            </w:pPr>
            <w:r>
              <w:rPr>
                <w:color w:val="000000"/>
                <w:sz w:val="22"/>
              </w:rPr>
              <w:t>Contrast test - what appropriately stayed stable</w:t>
            </w:r>
          </w:p>
        </w:tc>
        <w:tc>
          <w:tcPr>
            <w:tcW w:type="dxa" w:w="7488"/>
            <w:tcMar>
              <w:top w:w="70" w:type="dxa"/>
              <w:start w:w="90" w:type="dxa"/>
              <w:bottom w:w="70" w:type="dxa"/>
              <w:end w:w="90" w:type="dxa"/>
            </w:tcMar>
            <w:vAlign w:val="top"/>
          </w:tcPr>
          <w:p>
            <w:pPr>
              <w:spacing w:after="60" w:before="60"/>
            </w:pPr>
            <w:r>
              <w:rPr>
                <w:color w:val="000000"/>
                <w:sz w:val="22"/>
              </w:rPr>
              <w:t>The broad breakthrough judgment is identical across primary, conservative supplier and aggressive hype cases because technology and evidence stay fixed.</w:t>
            </w:r>
          </w:p>
        </w:tc>
      </w:tr>
      <w:tr>
        <w:trPr>
          <w:cantSplit/>
        </w:trPr>
        <w:tc>
          <w:tcPr>
            <w:tcW w:type="dxa" w:w="2736"/>
            <w:tcMar>
              <w:top w:w="70" w:type="dxa"/>
              <w:start w:w="90" w:type="dxa"/>
              <w:bottom w:w="70" w:type="dxa"/>
              <w:end w:w="90" w:type="dxa"/>
            </w:tcMar>
            <w:vAlign w:val="top"/>
          </w:tcPr>
          <w:p>
            <w:pPr>
              <w:spacing w:after="60" w:before="60"/>
            </w:pPr>
            <w:r>
              <w:rPr>
                <w:color w:val="000000"/>
                <w:sz w:val="22"/>
              </w:rPr>
              <w:t>Contrast test - what appropriately changed</w:t>
            </w:r>
          </w:p>
        </w:tc>
        <w:tc>
          <w:tcPr>
            <w:tcW w:type="dxa" w:w="7488"/>
            <w:tcMar>
              <w:top w:w="70" w:type="dxa"/>
              <w:start w:w="90" w:type="dxa"/>
              <w:bottom w:w="70" w:type="dxa"/>
              <w:end w:w="90" w:type="dxa"/>
            </w:tcMar>
            <w:vAlign w:val="top"/>
          </w:tcPr>
          <w:p>
            <w:pPr>
              <w:spacing w:after="60" w:before="60"/>
            </w:pPr>
            <w:r>
              <w:rPr>
                <w:color w:val="000000"/>
                <w:sz w:val="22"/>
              </w:rPr>
              <w:t>Missing source controls and higher consequences change evaluation to deferral. Aggressive posture may change learning timing but retains approval. The unknown-technology case abstains on every label.</w:t>
            </w:r>
          </w:p>
        </w:tc>
      </w:tr>
      <w:tr>
        <w:trPr>
          <w:cantSplit/>
        </w:trPr>
        <w:tc>
          <w:tcPr>
            <w:tcW w:type="dxa" w:w="2736"/>
            <w:tcMar>
              <w:top w:w="70" w:type="dxa"/>
              <w:start w:w="90" w:type="dxa"/>
              <w:bottom w:w="70" w:type="dxa"/>
              <w:end w:w="90" w:type="dxa"/>
            </w:tcMar>
            <w:vAlign w:val="top"/>
          </w:tcPr>
          <w:p>
            <w:pPr>
              <w:spacing w:after="60" w:before="60"/>
            </w:pPr>
            <w:r>
              <w:rPr>
                <w:color w:val="000000"/>
                <w:sz w:val="22"/>
              </w:rPr>
              <w:t>Weakness/failure found</w:t>
            </w:r>
          </w:p>
        </w:tc>
        <w:tc>
          <w:tcPr>
            <w:tcW w:type="dxa" w:w="7488"/>
            <w:tcMar>
              <w:top w:w="70" w:type="dxa"/>
              <w:start w:w="90" w:type="dxa"/>
              <w:bottom w:w="70" w:type="dxa"/>
              <w:end w:w="90" w:type="dxa"/>
            </w:tcMar>
            <w:vAlign w:val="top"/>
          </w:tcPr>
          <w:p>
            <w:pPr>
              <w:spacing w:after="60" w:before="60"/>
            </w:pPr>
            <w:r>
              <w:rPr>
                <w:color w:val="000000"/>
                <w:sz w:val="22"/>
              </w:rPr>
              <w:t>The preserved 0.1 draft used a vague breadth claim and writing-task evidence for a potentially Promethean judgment, with only a generic reliability caveat. Structural validity did not establish analytical quality.</w:t>
            </w:r>
          </w:p>
        </w:tc>
      </w:tr>
      <w:tr>
        <w:trPr>
          <w:cantSplit/>
        </w:trPr>
        <w:tc>
          <w:tcPr>
            <w:tcW w:type="dxa" w:w="2736"/>
            <w:tcMar>
              <w:top w:w="70" w:type="dxa"/>
              <w:start w:w="90" w:type="dxa"/>
              <w:bottom w:w="70" w:type="dxa"/>
              <w:end w:w="90" w:type="dxa"/>
            </w:tcMar>
            <w:vAlign w:val="top"/>
          </w:tcPr>
          <w:p>
            <w:pPr>
              <w:spacing w:after="60" w:before="60"/>
            </w:pPr>
            <w:r>
              <w:rPr>
                <w:color w:val="000000"/>
                <w:sz w:val="22"/>
              </w:rPr>
              <w:t>Revision made and why</w:t>
            </w:r>
          </w:p>
        </w:tc>
        <w:tc>
          <w:tcPr>
            <w:tcW w:type="dxa" w:w="7488"/>
            <w:tcMar>
              <w:top w:w="70" w:type="dxa"/>
              <w:start w:w="90" w:type="dxa"/>
              <w:bottom w:w="70" w:type="dxa"/>
              <w:end w:w="90" w:type="dxa"/>
            </w:tcMar>
            <w:vAlign w:val="top"/>
          </w:tcPr>
          <w:p>
            <w:pPr>
              <w:spacing w:after="60" w:before="60"/>
            </w:pPr>
            <w:r>
              <w:rPr>
                <w:color w:val="000000"/>
                <w:sz w:val="22"/>
              </w:rPr>
              <w:t>Candidate 0.2 assesses four explicit criteria, adds substantive counterevidence and separate confidence, and withholds higher labels when breadth or societal effects remain unclear. Both prompt and source packet changed.</w:t>
            </w:r>
          </w:p>
        </w:tc>
      </w:tr>
      <w:tr>
        <w:trPr>
          <w:cantSplit/>
        </w:trPr>
        <w:tc>
          <w:tcPr>
            <w:tcW w:type="dxa" w:w="2736"/>
            <w:tcMar>
              <w:top w:w="70" w:type="dxa"/>
              <w:start w:w="90" w:type="dxa"/>
              <w:bottom w:w="70" w:type="dxa"/>
              <w:end w:w="90" w:type="dxa"/>
            </w:tcMar>
            <w:vAlign w:val="top"/>
          </w:tcPr>
          <w:p>
            <w:pPr>
              <w:spacing w:after="60" w:before="60"/>
            </w:pPr>
            <w:r>
              <w:rPr>
                <w:color w:val="000000"/>
                <w:sz w:val="22"/>
              </w:rPr>
              <w:t>Remaining limitation / abstention condition</w:t>
            </w:r>
          </w:p>
        </w:tc>
        <w:tc>
          <w:tcPr>
            <w:tcW w:type="dxa" w:w="7488"/>
            <w:tcMar>
              <w:top w:w="70" w:type="dxa"/>
              <w:start w:w="90" w:type="dxa"/>
              <w:bottom w:w="70" w:type="dxa"/>
              <w:end w:w="90" w:type="dxa"/>
            </w:tcMar>
            <w:vAlign w:val="top"/>
          </w:tcPr>
          <w:p>
            <w:pPr>
              <w:spacing w:after="60" w:before="60"/>
            </w:pPr>
            <w:r>
              <w:rPr>
                <w:color w:val="000000"/>
                <w:sz w:val="22"/>
              </w:rPr>
              <w:t>Representative responses were generated in this interactive session, not blind independent runs. No repeatability or Canva performance was established. Detailed lecture criteria were absent. Abstain when mechanism, comparator or usable evidence is missing; qualify unresolved long-run significance.</w:t>
            </w:r>
          </w:p>
        </w:tc>
      </w:tr>
    </w:tbl>
    <w:p>
      <w:pPr>
        <w:pStyle w:val="Heading1"/>
      </w:pPr>
      <w:r>
        <w:rPr>
          <w:color w:val="000000"/>
        </w:rPr>
        <w:t>E. Independent Judgment and Handoff</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7488"/>
      </w:tblGrid>
      <w:tr>
        <w:trPr>
          <w:cantSplit/>
          <w:tblHeader/>
        </w:trPr>
        <w:tc>
          <w:tcPr>
            <w:tcW w:type="dxa" w:w="2736"/>
            <w:tcMar>
              <w:top w:w="70" w:type="dxa"/>
              <w:start w:w="90" w:type="dxa"/>
              <w:bottom w:w="70" w:type="dxa"/>
              <w:end w:w="90" w:type="dxa"/>
            </w:tcMar>
            <w:vAlign w:val="top"/>
            <w:shd w:fill="57068C"/>
            <w:shd w:fill="E8EDF2"/>
          </w:tcPr>
          <w:p>
            <w:pPr>
              <w:spacing w:after="60" w:before="60"/>
            </w:pPr>
            <w:r>
              <w:rPr>
                <w:b/>
                <w:color w:val="000000"/>
                <w:sz w:val="22"/>
              </w:rPr>
              <w:t>Field</w:t>
            </w:r>
          </w:p>
        </w:tc>
        <w:tc>
          <w:tcPr>
            <w:tcW w:type="dxa" w:w="7488"/>
            <w:tcMar>
              <w:top w:w="70" w:type="dxa"/>
              <w:start w:w="90" w:type="dxa"/>
              <w:bottom w:w="70" w:type="dxa"/>
              <w:end w:w="90" w:type="dxa"/>
            </w:tcMar>
            <w:vAlign w:val="top"/>
            <w:shd w:fill="57068C"/>
            <w:shd w:fill="E8EDF2"/>
          </w:tcPr>
          <w:p>
            <w:pPr>
              <w:spacing w:after="60" w:before="60"/>
            </w:pPr>
            <w:r>
              <w:rPr>
                <w:b/>
                <w:color w:val="000000"/>
                <w:sz w:val="22"/>
              </w:rPr>
              <w:t>Student record</w:t>
            </w:r>
          </w:p>
        </w:tc>
      </w:tr>
      <w:tr>
        <w:trPr>
          <w:cantSplit/>
        </w:trPr>
        <w:tc>
          <w:tcPr>
            <w:tcW w:type="dxa" w:w="2736"/>
            <w:tcMar>
              <w:top w:w="70" w:type="dxa"/>
              <w:start w:w="90" w:type="dxa"/>
              <w:bottom w:w="70" w:type="dxa"/>
              <w:end w:w="90" w:type="dxa"/>
            </w:tcMar>
            <w:vAlign w:val="top"/>
          </w:tcPr>
          <w:p>
            <w:pPr>
              <w:spacing w:after="60" w:before="60"/>
            </w:pPr>
            <w:r>
              <w:rPr>
                <w:color w:val="000000"/>
                <w:sz w:val="22"/>
              </w:rPr>
              <w:t>Is the agent credible enough for team consideration? Why?</w:t>
            </w:r>
          </w:p>
        </w:tc>
        <w:tc>
          <w:tcPr>
            <w:tcW w:type="dxa" w:w="7488"/>
            <w:tcMar>
              <w:top w:w="70" w:type="dxa"/>
              <w:start w:w="90" w:type="dxa"/>
              <w:bottom w:w="70" w:type="dxa"/>
              <w:end w:w="90" w:type="dxa"/>
            </w:tcMar>
            <w:vAlign w:val="top"/>
          </w:tcPr>
          <w:p>
            <w:pPr>
              <w:spacing w:after="60" w:before="60"/>
            </w:pPr>
            <w:r>
              <w:rPr>
                <w:color w:val="000000"/>
                <w:sz w:val="22"/>
              </w:rPr>
              <w:t>Proposed judgment for my review: yes, as a bounded specialist. It preserves the scaffold, exposes its criteria, preserves contrary evidence and differentiates local consequences. Instructor calibration and my independent confirmation remain outstanding.</w:t>
            </w:r>
          </w:p>
        </w:tc>
      </w:tr>
      <w:tr>
        <w:trPr>
          <w:cantSplit/>
        </w:trPr>
        <w:tc>
          <w:tcPr>
            <w:tcW w:type="dxa" w:w="2736"/>
            <w:tcMar>
              <w:top w:w="70" w:type="dxa"/>
              <w:start w:w="90" w:type="dxa"/>
              <w:bottom w:w="70" w:type="dxa"/>
              <w:end w:w="90" w:type="dxa"/>
            </w:tcMar>
            <w:vAlign w:val="top"/>
          </w:tcPr>
          <w:p>
            <w:pPr>
              <w:spacing w:after="60" w:before="60"/>
            </w:pPr>
            <w:r>
              <w:rPr>
                <w:color w:val="000000"/>
                <w:sz w:val="22"/>
              </w:rPr>
              <w:t>Most important recommendation to the team</w:t>
            </w:r>
          </w:p>
        </w:tc>
        <w:tc>
          <w:tcPr>
            <w:tcW w:type="dxa" w:w="7488"/>
            <w:tcMar>
              <w:top w:w="70" w:type="dxa"/>
              <w:start w:w="90" w:type="dxa"/>
              <w:bottom w:w="70" w:type="dxa"/>
              <w:end w:w="90" w:type="dxa"/>
            </w:tcMar>
            <w:vAlign w:val="top"/>
          </w:tcPr>
          <w:p>
            <w:pPr>
              <w:spacing w:after="60" w:before="60"/>
            </w:pPr>
            <w:r>
              <w:rPr>
                <w:color w:val="000000"/>
                <w:sz w:val="22"/>
              </w:rPr>
              <w:t>No broad significance label may become automatic adoption permission. Require application evidence, acceptable risk and human approval. Hand readiness, security, legal compliance and risk acceptance to the responsible specialists.</w:t>
            </w:r>
          </w:p>
        </w:tc>
      </w:tr>
      <w:tr>
        <w:trPr>
          <w:cantSplit/>
        </w:trPr>
        <w:tc>
          <w:tcPr>
            <w:tcW w:type="dxa" w:w="2736"/>
            <w:tcMar>
              <w:top w:w="70" w:type="dxa"/>
              <w:start w:w="90" w:type="dxa"/>
              <w:bottom w:w="70" w:type="dxa"/>
              <w:end w:w="90" w:type="dxa"/>
            </w:tcMar>
            <w:vAlign w:val="top"/>
          </w:tcPr>
          <w:p>
            <w:pPr>
              <w:spacing w:after="60" w:before="60"/>
            </w:pPr>
            <w:r>
              <w:rPr>
                <w:color w:val="000000"/>
                <w:sz w:val="22"/>
              </w:rPr>
              <w:t>AI / verification note</w:t>
            </w:r>
          </w:p>
        </w:tc>
        <w:tc>
          <w:tcPr>
            <w:tcW w:type="dxa" w:w="7488"/>
            <w:tcMar>
              <w:top w:w="70" w:type="dxa"/>
              <w:start w:w="90" w:type="dxa"/>
              <w:bottom w:w="70" w:type="dxa"/>
              <w:end w:w="90" w:type="dxa"/>
            </w:tcMar>
            <w:vAlign w:val="top"/>
          </w:tcPr>
          <w:p>
            <w:pPr>
              <w:spacing w:after="60" w:before="60"/>
            </w:pPr>
            <w:r>
              <w:rPr>
                <w:color w:val="000000"/>
                <w:sz w:val="22"/>
              </w:rPr>
              <w:t>I supplied the practical workflow, desired brief and mockup, willingness to retouch and efficiency goal. ChatGPT with Codex drafted this implementation, criteria, analysis, critique and checks. Original research and official sources were opened for consequential claims. S3 was checked in an account written by the original researchers; full NBER retrieval failed. I still need to review the proposed Assignment 4 judgment. This note does not claim I wrote the code.</w:t>
            </w:r>
          </w:p>
        </w:tc>
      </w:tr>
    </w:tbl>
    <w:p>
      <w:pPr>
        <w:pStyle w:val="Heading1"/>
      </w:pPr>
      <w:r>
        <w:rPr>
          <w:color w:val="000000"/>
        </w:rPr>
        <w:t>Explicit classification criteria</w:t>
      </w:r>
    </w:p>
    <w:p>
      <w:r>
        <w:rPr>
          <w:color w:val="000000"/>
        </w:rPr>
        <w:t>These proposed operational criteria translate the assignment categories; they are not a verbatim lecture rubric. C1 examines capability discontinuity against a comparator. C2 examines breadth across materially different domains and complementary uses. C3 examines durable societal effects or an explicit causal pathway. C4 examines feasibility, dependencies and constraints. Each is rated supported, partial, unsupported or unknown.</w:t>
      </w:r>
    </w:p>
    <w:p>
      <w:r>
        <w:rPr>
          <w:color w:val="000000"/>
        </w:rPr>
        <w:t>Incremental requires evidence of an improvement within an existing process. Breakthrough requires credible comparative capability evidence. Potentially Promethean requires supported capability and breadth, an assessable societal pathway, and examined critical dependencies. A plausible future pathway remains labeled inference. Missing evidence never automatically implies incremental status. Here C1 is supported and C2 to C4 are partial, so breakthrough is the preferred classification.</w:t>
      </w:r>
    </w:p>
    <w:p>
      <w:pPr>
        <w:pStyle w:val="Heading1"/>
      </w:pPr>
      <w:r>
        <w:rPr>
          <w:color w:val="000000"/>
        </w:rPr>
        <w:t>Evidence for and against higher significance</w:t>
      </w:r>
    </w:p>
    <w:p>
      <w:r>
        <w:rPr>
          <w:color w:val="000000"/>
        </w:rPr>
        <w:t>For the higher label, I would examine whether reusable cognitive capabilities could change production and access to expertise over time. That is a causal hypothesis. The strongest counterargument in this packet is S3: its authors report task changes without detectable average earnings or recorded-hours effects in their studied Danish window through December 2024. This challenges claims of already-demonstrated transformation while leaving future effects open.</w:t>
      </w:r>
    </w:p>
    <w:p>
      <w:pPr>
        <w:pStyle w:val="Heading1"/>
      </w:pPr>
      <w:r>
        <w:rPr>
          <w:color w:val="000000"/>
        </w:rPr>
        <w:t>Reflection draft for my review</w:t>
      </w:r>
    </w:p>
    <w:p>
      <w:r>
        <w:rPr>
          <w:color w:val="000000"/>
        </w:rPr>
        <w:t>My main interest is the work of turning raw product information and images into usable content. I would accept an editable draft and keep control of technical meaning, wording and the final design. This assignment gives me a reason to separate that practical goal from broad claims about AI. My proposed 80% efficiency improvement still needs a defined metric and a baseline. I should review whether the agent’s breakthrough judgment and its strongest counterargument reflect my own conclusion before submitting.</w:t>
      </w:r>
    </w:p>
    <w:p>
      <w:pPr>
        <w:pStyle w:val="Heading1"/>
      </w:pPr>
      <w:r>
        <w:rPr>
          <w:color w:val="000000"/>
        </w:rPr>
        <w:t>Checked source register</w:t>
      </w:r>
    </w:p>
    <w:p>
      <w:r>
        <w:rPr>
          <w:color w:val="000000"/>
        </w:rPr>
        <w:t>S1 | Noy and Zhang 2023 original writing experiment</w:t>
        <w:br/>
        <w:t>https://shakkednoy.com/Noy%20Zhang%20NBER%20SI.pdf</w:t>
      </w:r>
    </w:p>
    <w:p>
      <w:r>
        <w:rPr>
          <w:color w:val="000000"/>
        </w:rPr>
        <w:t>S2 | Brynjolfsson Li and Raymond 2025 published field study</w:t>
        <w:br/>
        <w:t>https://academic.oup.com/qje/article/140/2/889/7990658</w:t>
      </w:r>
    </w:p>
    <w:p>
      <w:r>
        <w:rPr>
          <w:color w:val="000000"/>
        </w:rPr>
        <w:t>S3 | Humlum and Vestergaard 6 October 2026 author account</w:t>
        <w:br/>
        <w:t>https://www.brookings.edu/articles/still-waters-rapid-currents-early-labor-market-transformation-under-generative-ai/</w:t>
      </w:r>
    </w:p>
    <w:p>
      <w:r>
        <w:rPr>
          <w:color w:val="000000"/>
        </w:rPr>
        <w:t>S4 | NIST AI 600 1 July 2024</w:t>
        <w:br/>
        <w:t>https://nvlpubs.nist.gov/nistpubs/ai/NIST.AI.600-1.pdf</w:t>
      </w:r>
    </w:p>
    <w:p>
      <w:r>
        <w:rPr>
          <w:color w:val="000000"/>
        </w:rPr>
        <w:t>S5 | Lewis and colleagues 2020 RAG paper version revised April 2021</w:t>
        <w:br/>
        <w:t>https://arxiv.org/abs/2005.11401</w:t>
      </w:r>
    </w:p>
    <w:p>
      <w:r>
        <w:rPr>
          <w:color w:val="000000"/>
        </w:rPr>
        <w:t>All accessed 19 October 2026. Selected studies establish bounded results, not this workflow’s benefit or exhaustive current technology coverage. S3 is a primary researcher account with a retained full-methods verification limitation.</w:t>
      </w:r>
    </w:p>
    <w:sectPr w:rsidR="00630F3A" w:rsidSect="00034616">
      <w:headerReference w:type="default" r:id="rId8"/>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834FE" w:rsidRDefault="00F834FE">
      <w:pPr>
        <w:spacing w:after="0" w:line="240" w:lineRule="auto"/>
        <w:rPr>
          <w:rFonts w:hint="eastAsia"/>
        </w:rPr>
      </w:pPr>
      <w:r>
        <w:separator/>
      </w:r>
    </w:p>
  </w:endnote>
  <w:endnote w:type="continuationSeparator" w:id="0">
    <w:p w:rsidR="00F834FE" w:rsidRDefault="00F834F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Footer"/>
      <w:jc w:val="center"/>
      <w:rPr>
        <w:rFonts w:hint="eastAsia"/>
      </w:rPr>
    </w:pPr>
    <w:r>
      <w:rPr>
        <w:color w:val="000000"/>
      </w:rPr>
      <w:t>Lucy Shen | Assignment 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834FE" w:rsidRDefault="00F834FE">
      <w:pPr>
        <w:spacing w:after="0" w:line="240" w:lineRule="auto"/>
        <w:rPr>
          <w:rFonts w:hint="eastAsia"/>
        </w:rPr>
      </w:pPr>
      <w:r>
        <w:separator/>
      </w:r>
    </w:p>
  </w:footnote>
  <w:footnote w:type="continuationSeparator" w:id="0">
    <w:p w:rsidR="00F834FE" w:rsidRDefault="00F834F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Header"/>
      <w:jc w:val="right"/>
      <w:rPr>
        <w:rFonts w:hint="eastAsia"/>
      </w:rPr>
    </w:pPr>
    <w:r>
      <w:rPr>
        <w:b/>
        <w:color w:val="000000"/>
        <w:sz w:val="16"/>
      </w:rPr>
      <w:t>NYU SPS | MASY1-GC 1800 | EMERGING TECHNOLOGIES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4B14"/>
    <w:rsid w:val="0029639D"/>
    <w:rsid w:val="00326F90"/>
    <w:rsid w:val="00630F3A"/>
    <w:rsid w:val="006E721C"/>
    <w:rsid w:val="00AA1D8D"/>
    <w:rsid w:val="00B47730"/>
    <w:rsid w:val="00CB0664"/>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Calibri" w:hAnsi="Calibri"/>
      <w:color w:val="000000"/>
      <w:sz w:val="22"/>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b/>
      <w:bCs/>
      <w:color w:val="25252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Liberation Sans" w:hAnsi="Liberation Sans"/>
      <w:color w:val="666666"/>
      <w:sz w:val="18"/>
    </w:rPr>
  </w:style>
  <w:style w:type="paragraph" w:customStyle="1" w:styleId="Callout">
    <w:name w:val="Callout"/>
    <w:pPr>
      <w:spacing w:after="80"/>
    </w:pPr>
    <w:rPr>
      <w:rFonts w:ascii="Liberation Sans" w:hAnsi="Liberation Sans"/>
      <w:b/>
      <w:color w:val="57068C"/>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7921</Words>
  <Characters>45155</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Technologies - Specialist Agent Record Template</dc:title>
  <dc:subject>Student instructions for weekly individual assignments</dc:subject>
  <dc:creator>Andres Fortino</dc:creator>
  <cp:keywords>Advanced Business Informatics, weekly assignments, professional practice, AI, judgment, proof of concept</cp:keywords>
  <dc:description>generated by python-docx</dc:description>
  <cp:lastModifiedBy>Andres Fortino</cp:lastModifiedBy>
  <cp:revision>2</cp:revision>
  <dcterms:created xsi:type="dcterms:W3CDTF">2026-08-13T19:48:00Z</dcterms:created>
  <dcterms:modified xsi:type="dcterms:W3CDTF">2026-08-13T19:48:00Z</dcterms:modified>
  <cp:category/>
</cp:coreProperties>
</file>