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Emerging Technology Diffusion Agent</w:t>
      </w:r>
    </w:p>
    <w:p>
      <w:r>
        <w:t>Agent Record | Week 7 Assignment 5 | 26 October 2026</w:t>
      </w:r>
    </w:p>
    <w:p>
      <w:r>
        <w:t>Working judgment: broad generative AI use is substantial in defined survey populations, but diffusion of my complete product-content workflow is unestablished. Technical verification is the most important local inhibitor. The timing implication is a small approved internal comparison alongside relevant peer-evidence collection; the full adoption decision belongs to the next specialist.</w:t>
      </w:r>
    </w:p>
    <w:p>
      <w:pPr>
        <w:pStyle w:val="Heading1"/>
      </w:pPr>
      <w:r>
        <w:t>A Agent and version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8208"/>
      </w:tblGrid>
      <w:tr>
        <w:trPr>
          <w:cantSplit/>
          <w:tblHeader/>
        </w:trPr>
        <w:tc>
          <w:tcPr>
            <w:tcW w:type="dxa" w:w="2016"/>
            <w:vAlign w:val="center"/>
            <w:tcMar>
              <w:top w:w="55" w:type="dxa"/>
              <w:left w:w="55" w:type="dxa"/>
              <w:bottom w:w="55" w:type="dxa"/>
              <w:right w:w="55" w:type="dxa"/>
            </w:tcMar>
            <w:shd w:fill="E8EDF2"/>
          </w:tcPr>
          <w:p>
            <w:pPr>
              <w:spacing w:after="40" w:before="40"/>
            </w:pPr>
            <w:r>
              <w:rPr>
                <w:b/>
                <w:sz w:val="21"/>
              </w:rPr>
              <w:t>Field</w:t>
            </w:r>
          </w:p>
        </w:tc>
        <w:tc>
          <w:tcPr>
            <w:tcW w:type="dxa" w:w="8208"/>
            <w:vAlign w:val="center"/>
            <w:tcMar>
              <w:top w:w="55" w:type="dxa"/>
              <w:left w:w="55" w:type="dxa"/>
              <w:bottom w:w="55" w:type="dxa"/>
              <w:right w:w="55" w:type="dxa"/>
            </w:tcMar>
            <w:shd w:fill="E8EDF2"/>
          </w:tcPr>
          <w:p>
            <w:pPr>
              <w:spacing w:after="40" w:before="40"/>
            </w:pPr>
            <w:r>
              <w:rPr>
                <w:b/>
                <w:sz w:val="21"/>
              </w:rPr>
              <w:t>Record</w:t>
            </w:r>
          </w:p>
        </w:tc>
      </w:tr>
      <w:tr>
        <w:trPr>
          <w:cantSplit/>
        </w:trPr>
        <w:tc>
          <w:tcPr>
            <w:tcW w:type="dxa" w:w="2016"/>
            <w:vAlign w:val="center"/>
            <w:tcMar>
              <w:top w:w="55" w:type="dxa"/>
              <w:left w:w="55" w:type="dxa"/>
              <w:bottom w:w="55" w:type="dxa"/>
              <w:right w:w="55" w:type="dxa"/>
            </w:tcMar>
          </w:tcPr>
          <w:p>
            <w:pPr>
              <w:spacing w:after="40" w:before="40"/>
            </w:pPr>
            <w:r>
              <w:rPr>
                <w:b w:val="0"/>
                <w:sz w:val="21"/>
              </w:rPr>
              <w:t>Student and agent</w:t>
            </w:r>
          </w:p>
        </w:tc>
        <w:tc>
          <w:tcPr>
            <w:tcW w:type="dxa" w:w="8208"/>
            <w:vAlign w:val="center"/>
            <w:tcMar>
              <w:top w:w="55" w:type="dxa"/>
              <w:left w:w="55" w:type="dxa"/>
              <w:bottom w:w="55" w:type="dxa"/>
              <w:right w:w="55" w:type="dxa"/>
            </w:tcMar>
          </w:tcPr>
          <w:p>
            <w:pPr>
              <w:spacing w:after="40" w:before="40"/>
            </w:pPr>
            <w:r>
              <w:rPr>
                <w:b w:val="0"/>
                <w:sz w:val="21"/>
              </w:rPr>
              <w:t>Lucy Shen | Individual assignment | Diffusion factors and timing</w:t>
            </w:r>
          </w:p>
        </w:tc>
      </w:tr>
      <w:tr>
        <w:trPr>
          <w:cantSplit/>
        </w:trPr>
        <w:tc>
          <w:tcPr>
            <w:tcW w:type="dxa" w:w="2016"/>
            <w:vAlign w:val="center"/>
            <w:tcMar>
              <w:top w:w="55" w:type="dxa"/>
              <w:left w:w="55" w:type="dxa"/>
              <w:bottom w:w="55" w:type="dxa"/>
              <w:right w:w="55" w:type="dxa"/>
            </w:tcMar>
          </w:tcPr>
          <w:p>
            <w:pPr>
              <w:spacing w:after="40" w:before="40"/>
            </w:pPr>
            <w:r>
              <w:rPr>
                <w:b w:val="0"/>
                <w:sz w:val="21"/>
              </w:rPr>
              <w:t>Version and scaffold</w:t>
            </w:r>
          </w:p>
        </w:tc>
        <w:tc>
          <w:tcPr>
            <w:tcW w:type="dxa" w:w="8208"/>
            <w:vAlign w:val="center"/>
            <w:tcMar>
              <w:top w:w="55" w:type="dxa"/>
              <w:left w:w="55" w:type="dxa"/>
              <w:bottom w:w="55" w:type="dxa"/>
              <w:right w:w="55" w:type="dxa"/>
            </w:tcMar>
          </w:tcPr>
          <w:p>
            <w:pPr>
              <w:spacing w:after="40" w:before="40"/>
            </w:pPr>
            <w:r>
              <w:rPr>
                <w:b w:val="0"/>
                <w:sz w:val="21"/>
              </w:rPr>
              <w:t>Candidate 0.2 | MASY1800_ET_Agent_Scaffold_v1_0 | Frozen core intact</w:t>
            </w:r>
          </w:p>
        </w:tc>
      </w:tr>
      <w:tr>
        <w:trPr>
          <w:cantSplit/>
        </w:trPr>
        <w:tc>
          <w:tcPr>
            <w:tcW w:type="dxa" w:w="2016"/>
            <w:vAlign w:val="center"/>
            <w:tcMar>
              <w:top w:w="55" w:type="dxa"/>
              <w:left w:w="55" w:type="dxa"/>
              <w:bottom w:w="55" w:type="dxa"/>
              <w:right w:w="55" w:type="dxa"/>
            </w:tcMar>
          </w:tcPr>
          <w:p>
            <w:pPr>
              <w:spacing w:after="40" w:before="40"/>
            </w:pPr>
            <w:r>
              <w:rPr>
                <w:b w:val="0"/>
                <w:sz w:val="21"/>
              </w:rPr>
              <w:t>Branch</w:t>
            </w:r>
          </w:p>
        </w:tc>
        <w:tc>
          <w:tcPr>
            <w:tcW w:type="dxa" w:w="8208"/>
            <w:vAlign w:val="center"/>
            <w:tcMar>
              <w:top w:w="55" w:type="dxa"/>
              <w:left w:w="55" w:type="dxa"/>
              <w:bottom w:w="55" w:type="dxa"/>
              <w:right w:w="55" w:type="dxa"/>
            </w:tcMar>
          </w:tcPr>
          <w:p>
            <w:pPr>
              <w:spacing w:after="40" w:before="40"/>
            </w:pPr>
            <w:r>
              <w:rPr>
                <w:b w:val="0"/>
                <w:sz w:val="21"/>
              </w:rPr>
              <w:t>assignment-5-diffusion-agent</w:t>
            </w:r>
          </w:p>
        </w:tc>
      </w:tr>
      <w:tr>
        <w:trPr>
          <w:cantSplit/>
        </w:trPr>
        <w:tc>
          <w:tcPr>
            <w:tcW w:type="dxa" w:w="2016"/>
            <w:vAlign w:val="center"/>
            <w:tcMar>
              <w:top w:w="55" w:type="dxa"/>
              <w:left w:w="55" w:type="dxa"/>
              <w:bottom w:w="55" w:type="dxa"/>
              <w:right w:w="55" w:type="dxa"/>
            </w:tcMar>
          </w:tcPr>
          <w:p>
            <w:pPr>
              <w:spacing w:after="40" w:before="40"/>
            </w:pPr>
            <w:r>
              <w:rPr>
                <w:b w:val="0"/>
                <w:sz w:val="21"/>
              </w:rPr>
              <w:t>Tested candidate commit</w:t>
            </w:r>
          </w:p>
        </w:tc>
        <w:tc>
          <w:tcPr>
            <w:tcW w:type="dxa" w:w="8208"/>
            <w:vAlign w:val="center"/>
            <w:tcMar>
              <w:top w:w="55" w:type="dxa"/>
              <w:left w:w="55" w:type="dxa"/>
              <w:bottom w:w="55" w:type="dxa"/>
              <w:right w:w="55" w:type="dxa"/>
            </w:tcMar>
          </w:tcPr>
          <w:p>
            <w:pPr>
              <w:spacing w:after="40" w:before="40"/>
            </w:pPr>
            <w:r>
              <w:rPr>
                <w:b w:val="0"/>
                <w:sz w:val="21"/>
              </w:rPr>
              <w:t>d044b859a2ab97867a40ecde4e598d838e18abb1</w:t>
            </w:r>
          </w:p>
        </w:tc>
      </w:tr>
    </w:tbl>
    <w:p>
      <w:r>
        <w:t xml:space="preserve">Repository: </w:t>
      </w:r>
      <w:hyperlink r:id="rId11">
        <w:r>
          <w:rPr>
            <w:color w:val="000000"/>
            <w:u w:val="single"/>
          </w:rPr>
          <w:t>Lucy MASY1800 Emerging Technologies</w:t>
        </w:r>
      </w:hyperlink>
    </w:p>
    <w:p>
      <w:pPr>
        <w:pStyle w:val="Heading1"/>
      </w:pPr>
      <w:r>
        <w:t>B Purpose and context</w:t>
      </w:r>
    </w:p>
    <w:p>
      <w:r>
        <w:t>Governing question: how far have the technology and application diffused, what is accelerating or inhibiting diffusion, and what does that imply for this organization? The technology is generative AI for knowledge work, with optional retrieval from approved records. No adoption rate is assumed for that retrieval pipeline.</w:t>
      </w:r>
    </w:p>
    <w:p>
      <w:r>
        <w:t>The application uses specification screenshots and raw product images to propose a headline, three specifications, caption, image placement and a visual mockup for Canva retouching for Instagram or YouTube. I review technical meaning, final wording and design. The textile manufacturer, US/China operating context, moderate fast-follower posture, review resources and four-week learning horizon are hypothetical assumptions. The 80% efficiency goal is unmeasured; smaller reliable gains may be worthwhile.</w:t>
      </w:r>
    </w:p>
    <w:p>
      <w:pPr>
        <w:pStyle w:val="Heading1"/>
      </w:pPr>
      <w:r>
        <w:t>C Three level finding</w:t>
      </w:r>
    </w:p>
    <w:p>
      <w:r>
        <w:t>ET generally: substantial but uneven work use is documented, with no support for a universal Rogers stage or uninterrupted acceleration. ET for this application: exact complete-workflow diffusion among comparable textile teams is unknown. ET in this organization: the stated posture affects evidence thresholds and learning timing, while leaving the general evidence unchanged.</w:t>
      </w:r>
    </w:p>
    <w:p>
      <w:r>
        <w:t>Confidence is high in checked source definitions and observations, moderate in broad diffusion interpretation and low in matched application spread or actual peer-relative rank. Organizational caution does not make the technology less diffused.</w:t>
      </w:r>
    </w:p>
    <w:p>
      <w:r>
        <w:br w:type="page"/>
      </w:r>
    </w:p>
    <w:p>
      <w:pPr>
        <w:pStyle w:val="Heading1"/>
      </w:pPr>
      <w:r>
        <w:t>C Rogers factor assessment</w:t>
      </w:r>
    </w:p>
    <w:p>
      <w:r>
        <w:t>These ratings interpret the case and my recorded priorities. They are not measured causes of population diffusion. Every favorable attribute remains subject to verification.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5040"/>
        <w:gridCol w:w="3456"/>
      </w:tblGrid>
      <w:tr>
        <w:trPr>
          <w:cantSplit/>
          <w:tblHeader/>
        </w:trPr>
        <w:tc>
          <w:tcPr>
            <w:tcW w:type="dxa" w:w="1728"/>
            <w:vAlign w:val="center"/>
            <w:tcMar>
              <w:top w:w="55" w:type="dxa"/>
              <w:left w:w="55" w:type="dxa"/>
              <w:bottom w:w="55" w:type="dxa"/>
              <w:right w:w="55" w:type="dxa"/>
            </w:tcMar>
            <w:shd w:fill="E8EDF2"/>
          </w:tcPr>
          <w:p>
            <w:pPr>
              <w:spacing w:after="40" w:before="40"/>
            </w:pPr>
            <w:r>
              <w:rPr>
                <w:b/>
                <w:sz w:val="21"/>
              </w:rPr>
              <w:t>Attribute</w:t>
            </w:r>
          </w:p>
        </w:tc>
        <w:tc>
          <w:tcPr>
            <w:tcW w:type="dxa" w:w="5040"/>
            <w:vAlign w:val="center"/>
            <w:tcMar>
              <w:top w:w="55" w:type="dxa"/>
              <w:left w:w="55" w:type="dxa"/>
              <w:bottom w:w="55" w:type="dxa"/>
              <w:right w:w="55" w:type="dxa"/>
            </w:tcMar>
            <w:shd w:fill="E8EDF2"/>
          </w:tcPr>
          <w:p>
            <w:pPr>
              <w:spacing w:after="40" w:before="40"/>
            </w:pPr>
            <w:r>
              <w:rPr>
                <w:b/>
                <w:sz w:val="21"/>
              </w:rPr>
              <w:t>Direction and reason</w:t>
            </w:r>
          </w:p>
        </w:tc>
        <w:tc>
          <w:tcPr>
            <w:tcW w:type="dxa" w:w="3456"/>
            <w:vAlign w:val="center"/>
            <w:tcMar>
              <w:top w:w="55" w:type="dxa"/>
              <w:left w:w="55" w:type="dxa"/>
              <w:bottom w:w="55" w:type="dxa"/>
              <w:right w:w="55" w:type="dxa"/>
            </w:tcMar>
            <w:shd w:fill="E8EDF2"/>
          </w:tcPr>
          <w:p>
            <w:pPr>
              <w:spacing w:after="40" w:before="40"/>
            </w:pPr>
            <w:r>
              <w:rPr>
                <w:b/>
                <w:sz w:val="21"/>
              </w:rPr>
              <w:t>Observation needed</w:t>
            </w:r>
          </w:p>
        </w:tc>
      </w:tr>
      <w:tr>
        <w:trPr>
          <w:cantSplit/>
        </w:trPr>
        <w:tc>
          <w:tcPr>
            <w:tcW w:type="dxa" w:w="1728"/>
            <w:vAlign w:val="center"/>
            <w:tcMar>
              <w:top w:w="55" w:type="dxa"/>
              <w:left w:w="55" w:type="dxa"/>
              <w:bottom w:w="55" w:type="dxa"/>
              <w:right w:w="55" w:type="dxa"/>
            </w:tcMar>
          </w:tcPr>
          <w:p>
            <w:pPr>
              <w:spacing w:after="40" w:before="40"/>
            </w:pPr>
            <w:r>
              <w:rPr>
                <w:b w:val="0"/>
                <w:sz w:val="21"/>
              </w:rPr>
              <w:t>Relative advantage</w:t>
            </w:r>
          </w:p>
        </w:tc>
        <w:tc>
          <w:tcPr>
            <w:tcW w:type="dxa" w:w="5040"/>
            <w:vAlign w:val="center"/>
            <w:tcMar>
              <w:top w:w="55" w:type="dxa"/>
              <w:left w:w="55" w:type="dxa"/>
              <w:bottom w:w="55" w:type="dxa"/>
              <w:right w:w="55" w:type="dxa"/>
            </w:tcMar>
          </w:tcPr>
          <w:p>
            <w:pPr>
              <w:spacing w:after="40" w:before="40"/>
            </w:pPr>
            <w:r>
              <w:rPr>
                <w:b w:val="0"/>
                <w:sz w:val="21"/>
              </w:rPr>
              <w:t>Unknown; less drafting work may be offset by checking and retouches.</w:t>
            </w:r>
          </w:p>
        </w:tc>
        <w:tc>
          <w:tcPr>
            <w:tcW w:type="dxa" w:w="3456"/>
            <w:vAlign w:val="center"/>
            <w:tcMar>
              <w:top w:w="55" w:type="dxa"/>
              <w:left w:w="55" w:type="dxa"/>
              <w:bottom w:w="55" w:type="dxa"/>
              <w:right w:w="55" w:type="dxa"/>
            </w:tcMar>
          </w:tcPr>
          <w:p>
            <w:pPr>
              <w:spacing w:after="40" w:before="40"/>
            </w:pPr>
            <w:r>
              <w:rPr>
                <w:b w:val="0"/>
                <w:sz w:val="21"/>
              </w:rPr>
              <w:t>Accepted-output time, quality and full effort versus manual work</w:t>
            </w:r>
          </w:p>
        </w:tc>
      </w:tr>
      <w:tr>
        <w:trPr>
          <w:cantSplit/>
        </w:trPr>
        <w:tc>
          <w:tcPr>
            <w:tcW w:type="dxa" w:w="1728"/>
            <w:vAlign w:val="center"/>
            <w:tcMar>
              <w:top w:w="55" w:type="dxa"/>
              <w:left w:w="55" w:type="dxa"/>
              <w:bottom w:w="55" w:type="dxa"/>
              <w:right w:w="55" w:type="dxa"/>
            </w:tcMar>
          </w:tcPr>
          <w:p>
            <w:pPr>
              <w:spacing w:after="40" w:before="40"/>
            </w:pPr>
            <w:r>
              <w:rPr>
                <w:b w:val="0"/>
                <w:sz w:val="21"/>
              </w:rPr>
              <w:t>Compatibility</w:t>
            </w:r>
          </w:p>
        </w:tc>
        <w:tc>
          <w:tcPr>
            <w:tcW w:type="dxa" w:w="5040"/>
            <w:vAlign w:val="center"/>
            <w:tcMar>
              <w:top w:w="55" w:type="dxa"/>
              <w:left w:w="55" w:type="dxa"/>
              <w:bottom w:w="55" w:type="dxa"/>
              <w:right w:w="55" w:type="dxa"/>
            </w:tcMar>
          </w:tcPr>
          <w:p>
            <w:pPr>
              <w:spacing w:after="40" w:before="40"/>
            </w:pPr>
            <w:r>
              <w:rPr>
                <w:b w:val="0"/>
                <w:sz w:val="21"/>
              </w:rPr>
              <w:t>Mixed; Canva familiarity does not prove source, image and product-version handoffs.</w:t>
            </w:r>
          </w:p>
        </w:tc>
        <w:tc>
          <w:tcPr>
            <w:tcW w:type="dxa" w:w="3456"/>
            <w:vAlign w:val="center"/>
            <w:tcMar>
              <w:top w:w="55" w:type="dxa"/>
              <w:left w:w="55" w:type="dxa"/>
              <w:bottom w:w="55" w:type="dxa"/>
              <w:right w:w="55" w:type="dxa"/>
            </w:tcMar>
          </w:tcPr>
          <w:p>
            <w:pPr>
              <w:spacing w:after="40" w:before="40"/>
            </w:pPr>
            <w:r>
              <w:rPr>
                <w:b w:val="0"/>
                <w:sz w:val="21"/>
              </w:rPr>
              <w:t>Trace one complete approved product-to-design handoff</w:t>
            </w:r>
          </w:p>
        </w:tc>
      </w:tr>
      <w:tr>
        <w:trPr>
          <w:cantSplit/>
        </w:trPr>
        <w:tc>
          <w:tcPr>
            <w:tcW w:type="dxa" w:w="1728"/>
            <w:vAlign w:val="center"/>
            <w:tcMar>
              <w:top w:w="55" w:type="dxa"/>
              <w:left w:w="55" w:type="dxa"/>
              <w:bottom w:w="55" w:type="dxa"/>
              <w:right w:w="55" w:type="dxa"/>
            </w:tcMar>
          </w:tcPr>
          <w:p>
            <w:pPr>
              <w:spacing w:after="40" w:before="40"/>
            </w:pPr>
            <w:r>
              <w:rPr>
                <w:b w:val="0"/>
                <w:sz w:val="21"/>
              </w:rPr>
              <w:t>Complexity</w:t>
            </w:r>
          </w:p>
        </w:tc>
        <w:tc>
          <w:tcPr>
            <w:tcW w:type="dxa" w:w="5040"/>
            <w:vAlign w:val="center"/>
            <w:tcMar>
              <w:top w:w="55" w:type="dxa"/>
              <w:left w:w="55" w:type="dxa"/>
              <w:bottom w:w="55" w:type="dxa"/>
              <w:right w:w="55" w:type="dxa"/>
            </w:tcMar>
          </w:tcPr>
          <w:p>
            <w:pPr>
              <w:spacing w:after="40" w:before="40"/>
            </w:pPr>
            <w:r>
              <w:rPr>
                <w:b w:val="0"/>
                <w:sz w:val="21"/>
              </w:rPr>
              <w:t>Likely inhibitor; I selected technical claim checking as my main obstacle.</w:t>
            </w:r>
          </w:p>
        </w:tc>
        <w:tc>
          <w:tcPr>
            <w:tcW w:type="dxa" w:w="3456"/>
            <w:vAlign w:val="center"/>
            <w:tcMar>
              <w:top w:w="55" w:type="dxa"/>
              <w:left w:w="55" w:type="dxa"/>
              <w:bottom w:w="55" w:type="dxa"/>
              <w:right w:w="55" w:type="dxa"/>
            </w:tcMar>
          </w:tcPr>
          <w:p>
            <w:pPr>
              <w:spacing w:after="40" w:before="40"/>
            </w:pPr>
            <w:r>
              <w:rPr>
                <w:b w:val="0"/>
                <w:sz w:val="21"/>
              </w:rPr>
              <w:t>Corrections, exceptions and technical-review effort</w:t>
            </w:r>
          </w:p>
        </w:tc>
      </w:tr>
      <w:tr>
        <w:trPr>
          <w:cantSplit/>
        </w:trPr>
        <w:tc>
          <w:tcPr>
            <w:tcW w:type="dxa" w:w="1728"/>
            <w:vAlign w:val="center"/>
            <w:tcMar>
              <w:top w:w="55" w:type="dxa"/>
              <w:left w:w="55" w:type="dxa"/>
              <w:bottom w:w="55" w:type="dxa"/>
              <w:right w:w="55" w:type="dxa"/>
            </w:tcMar>
          </w:tcPr>
          <w:p>
            <w:pPr>
              <w:spacing w:after="40" w:before="40"/>
            </w:pPr>
            <w:r>
              <w:rPr>
                <w:b w:val="0"/>
                <w:sz w:val="21"/>
              </w:rPr>
              <w:t>Trialability</w:t>
            </w:r>
          </w:p>
        </w:tc>
        <w:tc>
          <w:tcPr>
            <w:tcW w:type="dxa" w:w="5040"/>
            <w:vAlign w:val="center"/>
            <w:tcMar>
              <w:top w:w="55" w:type="dxa"/>
              <w:left w:w="55" w:type="dxa"/>
              <w:bottom w:w="55" w:type="dxa"/>
              <w:right w:w="55" w:type="dxa"/>
            </w:tcMar>
          </w:tcPr>
          <w:p>
            <w:pPr>
              <w:spacing w:after="40" w:before="40"/>
            </w:pPr>
            <w:r>
              <w:rPr>
                <w:b w:val="0"/>
                <w:sz w:val="21"/>
              </w:rPr>
              <w:t>Conditional accelerator for reversible, nonpublishing work.</w:t>
            </w:r>
          </w:p>
        </w:tc>
        <w:tc>
          <w:tcPr>
            <w:tcW w:type="dxa" w:w="3456"/>
            <w:vAlign w:val="center"/>
            <w:tcMar>
              <w:top w:w="55" w:type="dxa"/>
              <w:left w:w="55" w:type="dxa"/>
              <w:bottom w:w="55" w:type="dxa"/>
              <w:right w:w="55" w:type="dxa"/>
            </w:tcMar>
          </w:tcPr>
          <w:p>
            <w:pPr>
              <w:spacing w:after="40" w:before="40"/>
            </w:pPr>
            <w:r>
              <w:rPr>
                <w:b w:val="0"/>
                <w:sz w:val="21"/>
              </w:rPr>
              <w:t>Approved materials, protocol, reviewer and scope</w:t>
            </w:r>
          </w:p>
        </w:tc>
      </w:tr>
      <w:tr>
        <w:trPr>
          <w:cantSplit/>
        </w:trPr>
        <w:tc>
          <w:tcPr>
            <w:tcW w:type="dxa" w:w="1728"/>
            <w:vAlign w:val="center"/>
            <w:tcMar>
              <w:top w:w="55" w:type="dxa"/>
              <w:left w:w="55" w:type="dxa"/>
              <w:bottom w:w="55" w:type="dxa"/>
              <w:right w:w="55" w:type="dxa"/>
            </w:tcMar>
          </w:tcPr>
          <w:p>
            <w:pPr>
              <w:spacing w:after="40" w:before="40"/>
            </w:pPr>
            <w:r>
              <w:rPr>
                <w:b w:val="0"/>
                <w:sz w:val="21"/>
              </w:rPr>
              <w:t>Observability</w:t>
            </w:r>
          </w:p>
        </w:tc>
        <w:tc>
          <w:tcPr>
            <w:tcW w:type="dxa" w:w="5040"/>
            <w:vAlign w:val="center"/>
            <w:tcMar>
              <w:top w:w="55" w:type="dxa"/>
              <w:left w:w="55" w:type="dxa"/>
              <w:bottom w:w="55" w:type="dxa"/>
              <w:right w:w="55" w:type="dxa"/>
            </w:tcMar>
          </w:tcPr>
          <w:p>
            <w:pPr>
              <w:spacing w:after="40" w:before="40"/>
            </w:pPr>
            <w:r>
              <w:rPr>
                <w:b w:val="0"/>
                <w:sz w:val="21"/>
              </w:rPr>
              <w:t>Mixed; a visible mockup does not demonstrate net value.</w:t>
            </w:r>
          </w:p>
        </w:tc>
        <w:tc>
          <w:tcPr>
            <w:tcW w:type="dxa" w:w="3456"/>
            <w:vAlign w:val="center"/>
            <w:tcMar>
              <w:top w:w="55" w:type="dxa"/>
              <w:left w:w="55" w:type="dxa"/>
              <w:bottom w:w="55" w:type="dxa"/>
              <w:right w:w="55" w:type="dxa"/>
            </w:tcMar>
          </w:tcPr>
          <w:p>
            <w:pPr>
              <w:spacing w:after="40" w:before="40"/>
            </w:pPr>
            <w:r>
              <w:rPr>
                <w:b w:val="0"/>
                <w:sz w:val="21"/>
              </w:rPr>
              <w:t>Traceable claims, final quality and effort records</w:t>
            </w:r>
          </w:p>
        </w:tc>
      </w:tr>
    </w:tbl>
    <w:p>
      <w:pPr>
        <w:pStyle w:val="Heading1"/>
      </w:pPr>
      <w:r>
        <w:t>C Categories and diffusion forces</w:t>
      </w:r>
    </w:p>
    <w:p>
      <w:r>
        <w:t>Innovators, early adopters, early majority, late majority and laggards describe relative timing within a defined social system. The packet lacks the matched uptake and adoption-time data needed to place this workflow or organization in those categories. Fast follower is a stated posture, not a measured early-majority rank.</w:t>
      </w:r>
    </w:p>
    <w:p>
      <w:r>
        <w:t>The content creator and technical owner are potential change agents. Actual opinion leadership is unverified. Training, approved source libraries and a workable design handoff are proposed complementary assets. No named opinion leader, demonstrated channel effect or relevant interoperability standard was established.</w:t>
      </w:r>
    </w:p>
    <w:p>
      <w:pPr>
        <w:pStyle w:val="Heading1"/>
      </w:pPr>
      <w:r>
        <w:t>D Dated evidence and interpretation</w:t>
      </w:r>
    </w:p>
    <w:p>
      <w:r>
        <w:t>D5 is the strongest checked current signal: the FRED-hosted RPS series reports 40.5% work use among US employed adults aged 18 to 64 in Q3 2026, below 45.2% in Q2, updated 20 October. These nonseasonally-adjusted observations measure people, not complete business workflows. One lower quarter does not establish a durable reversal or statistical significance.</w:t>
      </w:r>
    </w:p>
    <w:p>
      <w:r>
        <w:t>D1 describes earlier historical expansion. D2 concerns broader AI use in a different UK business population. D3 and D4 warn about definition and denominator differences; a question change can break a series. Do not pool those measures or splice them into a synthetic diffusion curve. All sources were checked on 26 October 2026; publication and observation dates differ.</w:t>
      </w:r>
    </w:p>
    <w:p>
      <w:r>
        <w:br w:type="page"/>
      </w:r>
    </w:p>
    <w:p>
      <w:pPr>
        <w:pStyle w:val="Heading1"/>
      </w:pPr>
      <w:r>
        <w:t>D Primary and contrast tests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456"/>
        <w:gridCol w:w="4536"/>
      </w:tblGrid>
      <w:tr>
        <w:trPr>
          <w:cantSplit/>
          <w:tblHeader/>
        </w:trPr>
        <w:tc>
          <w:tcPr>
            <w:tcW w:type="dxa" w:w="2232"/>
            <w:vAlign w:val="center"/>
            <w:tcMar>
              <w:top w:w="55" w:type="dxa"/>
              <w:left w:w="55" w:type="dxa"/>
              <w:bottom w:w="55" w:type="dxa"/>
              <w:right w:w="55" w:type="dxa"/>
            </w:tcMar>
            <w:shd w:fill="E8EDF2"/>
          </w:tcPr>
          <w:p>
            <w:pPr>
              <w:spacing w:after="40" w:before="40"/>
            </w:pPr>
            <w:r>
              <w:rPr>
                <w:b/>
                <w:sz w:val="21"/>
              </w:rPr>
              <w:t>Test</w:t>
            </w:r>
          </w:p>
        </w:tc>
        <w:tc>
          <w:tcPr>
            <w:tcW w:type="dxa" w:w="3456"/>
            <w:vAlign w:val="center"/>
            <w:tcMar>
              <w:top w:w="55" w:type="dxa"/>
              <w:left w:w="55" w:type="dxa"/>
              <w:bottom w:w="55" w:type="dxa"/>
              <w:right w:w="55" w:type="dxa"/>
            </w:tcMar>
            <w:shd w:fill="E8EDF2"/>
          </w:tcPr>
          <w:p>
            <w:pPr>
              <w:spacing w:after="40" w:before="40"/>
            </w:pPr>
            <w:r>
              <w:rPr>
                <w:b/>
                <w:sz w:val="21"/>
              </w:rPr>
              <w:t>What stayed stable</w:t>
            </w:r>
          </w:p>
        </w:tc>
        <w:tc>
          <w:tcPr>
            <w:tcW w:type="dxa" w:w="4536"/>
            <w:vAlign w:val="center"/>
            <w:tcMar>
              <w:top w:w="55" w:type="dxa"/>
              <w:left w:w="55" w:type="dxa"/>
              <w:bottom w:w="55" w:type="dxa"/>
              <w:right w:w="55" w:type="dxa"/>
            </w:tcMar>
            <w:shd w:fill="E8EDF2"/>
          </w:tcPr>
          <w:p>
            <w:pPr>
              <w:spacing w:after="40" w:before="40"/>
            </w:pPr>
            <w:r>
              <w:rPr>
                <w:b/>
                <w:sz w:val="21"/>
              </w:rPr>
              <w:t>What changed</w:t>
            </w:r>
          </w:p>
        </w:tc>
      </w:tr>
      <w:tr>
        <w:trPr>
          <w:cantSplit/>
        </w:trPr>
        <w:tc>
          <w:tcPr>
            <w:tcW w:type="dxa" w:w="2232"/>
            <w:vAlign w:val="center"/>
            <w:tcMar>
              <w:top w:w="55" w:type="dxa"/>
              <w:left w:w="55" w:type="dxa"/>
              <w:bottom w:w="55" w:type="dxa"/>
              <w:right w:w="55" w:type="dxa"/>
            </w:tcMar>
          </w:tcPr>
          <w:p>
            <w:pPr>
              <w:spacing w:after="40" w:before="40"/>
            </w:pPr>
            <w:r>
              <w:rPr>
                <w:b w:val="0"/>
                <w:sz w:val="21"/>
              </w:rPr>
              <w:t>Primary fast follower</w:t>
            </w:r>
          </w:p>
        </w:tc>
        <w:tc>
          <w:tcPr>
            <w:tcW w:type="dxa" w:w="3456"/>
            <w:vAlign w:val="center"/>
            <w:tcMar>
              <w:top w:w="55" w:type="dxa"/>
              <w:left w:w="55" w:type="dxa"/>
              <w:bottom w:w="55" w:type="dxa"/>
              <w:right w:w="55" w:type="dxa"/>
            </w:tcMar>
          </w:tcPr>
          <w:p>
            <w:pPr>
              <w:spacing w:after="40" w:before="40"/>
            </w:pPr>
            <w:r>
              <w:rPr>
                <w:b w:val="0"/>
                <w:sz w:val="21"/>
              </w:rPr>
              <w:t>Broad uneven use; exact workflow spread unknown</w:t>
            </w:r>
          </w:p>
        </w:tc>
        <w:tc>
          <w:tcPr>
            <w:tcW w:type="dxa" w:w="4536"/>
            <w:vAlign w:val="center"/>
            <w:tcMar>
              <w:top w:w="55" w:type="dxa"/>
              <w:left w:w="55" w:type="dxa"/>
              <w:bottom w:w="55" w:type="dxa"/>
              <w:right w:w="55" w:type="dxa"/>
            </w:tcMar>
          </w:tcPr>
          <w:p>
            <w:pPr>
              <w:spacing w:after="40" w:before="40"/>
            </w:pPr>
            <w:r>
              <w:rPr>
                <w:b w:val="0"/>
                <w:sz w:val="21"/>
              </w:rPr>
              <w:t>Prepare approved comparison and seek matched peers</w:t>
            </w:r>
          </w:p>
        </w:tc>
      </w:tr>
      <w:tr>
        <w:trPr>
          <w:cantSplit/>
        </w:trPr>
        <w:tc>
          <w:tcPr>
            <w:tcW w:type="dxa" w:w="2232"/>
            <w:vAlign w:val="center"/>
            <w:tcMar>
              <w:top w:w="55" w:type="dxa"/>
              <w:left w:w="55" w:type="dxa"/>
              <w:bottom w:w="55" w:type="dxa"/>
              <w:right w:w="55" w:type="dxa"/>
            </w:tcMar>
          </w:tcPr>
          <w:p>
            <w:pPr>
              <w:spacing w:after="40" w:before="40"/>
            </w:pPr>
            <w:r>
              <w:rPr>
                <w:b w:val="0"/>
                <w:sz w:val="21"/>
              </w:rPr>
              <w:t>Aggressive posture only</w:t>
            </w:r>
          </w:p>
        </w:tc>
        <w:tc>
          <w:tcPr>
            <w:tcW w:type="dxa" w:w="3456"/>
            <w:vAlign w:val="center"/>
            <w:tcMar>
              <w:top w:w="55" w:type="dxa"/>
              <w:left w:w="55" w:type="dxa"/>
              <w:bottom w:w="55" w:type="dxa"/>
              <w:right w:w="55" w:type="dxa"/>
            </w:tcMar>
          </w:tcPr>
          <w:p>
            <w:pPr>
              <w:spacing w:after="40" w:before="40"/>
            </w:pPr>
            <w:r>
              <w:rPr>
                <w:b w:val="0"/>
                <w:sz w:val="21"/>
              </w:rPr>
              <w:t>Same general evidence</w:t>
            </w:r>
          </w:p>
        </w:tc>
        <w:tc>
          <w:tcPr>
            <w:tcW w:type="dxa" w:w="4536"/>
            <w:vAlign w:val="center"/>
            <w:tcMar>
              <w:top w:w="55" w:type="dxa"/>
              <w:left w:w="55" w:type="dxa"/>
              <w:bottom w:w="55" w:type="dxa"/>
              <w:right w:w="55" w:type="dxa"/>
            </w:tcMar>
          </w:tcPr>
          <w:p>
            <w:pPr>
              <w:spacing w:after="40" w:before="40"/>
            </w:pPr>
            <w:r>
              <w:rPr>
                <w:b w:val="0"/>
                <w:sz w:val="21"/>
              </w:rPr>
              <w:t>Earlier component learning; peer inquiry in parallel</w:t>
            </w:r>
          </w:p>
        </w:tc>
      </w:tr>
      <w:tr>
        <w:trPr>
          <w:cantSplit/>
        </w:trPr>
        <w:tc>
          <w:tcPr>
            <w:tcW w:type="dxa" w:w="2232"/>
            <w:vAlign w:val="center"/>
            <w:tcMar>
              <w:top w:w="55" w:type="dxa"/>
              <w:left w:w="55" w:type="dxa"/>
              <w:bottom w:w="55" w:type="dxa"/>
              <w:right w:w="55" w:type="dxa"/>
            </w:tcMar>
          </w:tcPr>
          <w:p>
            <w:pPr>
              <w:spacing w:after="40" w:before="40"/>
            </w:pPr>
            <w:r>
              <w:rPr>
                <w:b w:val="0"/>
                <w:sz w:val="21"/>
              </w:rPr>
              <w:t>Conservative posture only</w:t>
            </w:r>
          </w:p>
        </w:tc>
        <w:tc>
          <w:tcPr>
            <w:tcW w:type="dxa" w:w="3456"/>
            <w:vAlign w:val="center"/>
            <w:tcMar>
              <w:top w:w="55" w:type="dxa"/>
              <w:left w:w="55" w:type="dxa"/>
              <w:bottom w:w="55" w:type="dxa"/>
              <w:right w:w="55" w:type="dxa"/>
            </w:tcMar>
          </w:tcPr>
          <w:p>
            <w:pPr>
              <w:spacing w:after="40" w:before="40"/>
            </w:pPr>
            <w:r>
              <w:rPr>
                <w:b w:val="0"/>
                <w:sz w:val="21"/>
              </w:rPr>
              <w:t>Same general evidence</w:t>
            </w:r>
          </w:p>
        </w:tc>
        <w:tc>
          <w:tcPr>
            <w:tcW w:type="dxa" w:w="4536"/>
            <w:vAlign w:val="center"/>
            <w:tcMar>
              <w:top w:w="55" w:type="dxa"/>
              <w:left w:w="55" w:type="dxa"/>
              <w:bottom w:w="55" w:type="dxa"/>
              <w:right w:w="55" w:type="dxa"/>
            </w:tcMar>
          </w:tcPr>
          <w:p>
            <w:pPr>
              <w:spacing w:after="40" w:before="40"/>
            </w:pPr>
            <w:r>
              <w:rPr>
                <w:b w:val="0"/>
                <w:sz w:val="21"/>
              </w:rPr>
              <w:t>Credible peer evidence and owner review before live evaluation</w:t>
            </w:r>
          </w:p>
        </w:tc>
      </w:tr>
      <w:tr>
        <w:trPr>
          <w:cantSplit/>
        </w:trPr>
        <w:tc>
          <w:tcPr>
            <w:tcW w:type="dxa" w:w="2232"/>
            <w:vAlign w:val="center"/>
            <w:tcMar>
              <w:top w:w="55" w:type="dxa"/>
              <w:left w:w="55" w:type="dxa"/>
              <w:bottom w:w="55" w:type="dxa"/>
              <w:right w:w="55" w:type="dxa"/>
            </w:tcMar>
          </w:tcPr>
          <w:p>
            <w:pPr>
              <w:spacing w:after="40" w:before="40"/>
            </w:pPr>
            <w:r>
              <w:rPr>
                <w:b w:val="0"/>
                <w:sz w:val="21"/>
              </w:rPr>
              <w:t>Autonomous publication</w:t>
            </w:r>
          </w:p>
        </w:tc>
        <w:tc>
          <w:tcPr>
            <w:tcW w:type="dxa" w:w="3456"/>
            <w:vAlign w:val="center"/>
            <w:tcMar>
              <w:top w:w="55" w:type="dxa"/>
              <w:left w:w="55" w:type="dxa"/>
              <w:bottom w:w="55" w:type="dxa"/>
              <w:right w:w="55" w:type="dxa"/>
            </w:tcMar>
          </w:tcPr>
          <w:p>
            <w:pPr>
              <w:spacing w:after="40" w:before="40"/>
            </w:pPr>
            <w:r>
              <w:rPr>
                <w:b w:val="0"/>
                <w:sz w:val="21"/>
              </w:rPr>
              <w:t>General technology evidence</w:t>
            </w:r>
          </w:p>
        </w:tc>
        <w:tc>
          <w:tcPr>
            <w:tcW w:type="dxa" w:w="4536"/>
            <w:vAlign w:val="center"/>
            <w:tcMar>
              <w:top w:w="55" w:type="dxa"/>
              <w:left w:w="55" w:type="dxa"/>
              <w:bottom w:w="55" w:type="dxa"/>
              <w:right w:w="55" w:type="dxa"/>
            </w:tcMar>
          </w:tcPr>
          <w:p>
            <w:pPr>
              <w:spacing w:after="40" w:before="40"/>
            </w:pPr>
            <w:r>
              <w:rPr>
                <w:b w:val="0"/>
                <w:sz w:val="21"/>
              </w:rPr>
              <w:t>Less favorable compatibility and trialability; no diffusion-based permission for live publishing</w:t>
            </w:r>
          </w:p>
        </w:tc>
      </w:tr>
      <w:tr>
        <w:trPr>
          <w:cantSplit/>
        </w:trPr>
        <w:tc>
          <w:tcPr>
            <w:tcW w:type="dxa" w:w="2232"/>
            <w:vAlign w:val="center"/>
            <w:tcMar>
              <w:top w:w="55" w:type="dxa"/>
              <w:left w:w="55" w:type="dxa"/>
              <w:bottom w:w="55" w:type="dxa"/>
              <w:right w:w="55" w:type="dxa"/>
            </w:tcMar>
          </w:tcPr>
          <w:p>
            <w:pPr>
              <w:spacing w:after="40" w:before="40"/>
            </w:pPr>
            <w:r>
              <w:rPr>
                <w:b w:val="0"/>
                <w:sz w:val="21"/>
              </w:rPr>
              <w:t>Denominator and hype pressure</w:t>
            </w:r>
          </w:p>
        </w:tc>
        <w:tc>
          <w:tcPr>
            <w:tcW w:type="dxa" w:w="3456"/>
            <w:vAlign w:val="center"/>
            <w:tcMar>
              <w:top w:w="55" w:type="dxa"/>
              <w:left w:w="55" w:type="dxa"/>
              <w:bottom w:w="55" w:type="dxa"/>
              <w:right w:w="55" w:type="dxa"/>
            </w:tcMar>
          </w:tcPr>
          <w:p>
            <w:pPr>
              <w:spacing w:after="40" w:before="40"/>
            </w:pPr>
            <w:r>
              <w:rPr>
                <w:b w:val="0"/>
                <w:sz w:val="21"/>
              </w:rPr>
              <w:t>Measured population and scope limits</w:t>
            </w:r>
          </w:p>
        </w:tc>
        <w:tc>
          <w:tcPr>
            <w:tcW w:type="dxa" w:w="4536"/>
            <w:vAlign w:val="center"/>
            <w:tcMar>
              <w:top w:w="55" w:type="dxa"/>
              <w:left w:w="55" w:type="dxa"/>
              <w:bottom w:w="55" w:type="dxa"/>
              <w:right w:w="55" w:type="dxa"/>
            </w:tcMar>
          </w:tcPr>
          <w:p>
            <w:pPr>
              <w:spacing w:after="40" w:before="40"/>
            </w:pPr>
            <w:r>
              <w:rPr>
                <w:b w:val="0"/>
                <w:sz w:val="21"/>
              </w:rPr>
              <w:t>Reject textile early-majority and adopt-now assertions</w:t>
            </w:r>
          </w:p>
        </w:tc>
      </w:tr>
    </w:tbl>
    <w:p>
      <w:pPr>
        <w:pStyle w:val="Heading1"/>
      </w:pPr>
      <w:r>
        <w:t>D Preserved weakness and revision</w:t>
      </w:r>
    </w:p>
    <w:p>
      <w:r>
        <w:t>The first draft passed structural validation but mostly named possible diffusion benefits without specifying evidence status, operational observations or a distinction between potential change agents and verified opinion leaders. Its monitoring triggers were generic. That analytical weakness is preserved in the original response, instructions and packet.</w:t>
      </w:r>
    </w:p>
    <w:p>
      <w:r>
        <w:t>Version 0.2 requires measurement metadata, factor-specific observations, source versus inference labels and concrete qualification rules. A newer quarterly observation also corrects a simple continuing-growth story. Both the source packet and instructions changed, so improvement cannot be attributed to prompt changes alone. The primary organizational facts stayed fixed.</w:t>
      </w:r>
    </w:p>
    <w:p>
      <w:pPr>
        <w:pStyle w:val="Heading1"/>
      </w:pPr>
      <w:r>
        <w:t>D One weak diffusion claim</w:t>
      </w:r>
    </w:p>
    <w:p>
      <w:r>
        <w:t>Rejected claim: a workforce AI-use percentage proves that the textile screenshot-to-Canva workflow is early majority. This changes the unit, industry/geography and application scope without evidence. Missing comparable data does not prove that peers are not using the application. Request repeated-use evidence and relative timing before assigning a stage.</w:t>
      </w:r>
    </w:p>
    <w:p>
      <w:pPr>
        <w:pStyle w:val="Heading1"/>
      </w:pPr>
      <w:r>
        <w:t>D Verification and limitations</w:t>
      </w:r>
    </w:p>
    <w:p>
      <w:r>
        <w:t>The scaffold built separate packets, and ChatGPT with Codex composed the saved responses in this conversation. Revised reasoning was not copied from sibling outputs. Because the same context knew the framework and evaluation goals, these are representative examples rather than blind independent runs or repeatability evidence. Local scripts save and validate JSON; they do not execute a model.</w:t>
      </w:r>
    </w:p>
    <w:p>
      <w:r>
        <w:t>All six saved responses pass the supplied validator and declared structural constraints. Input-isolation checks pass, all five factors appear in every revised response, and the frozen core is intact. Semantic review is manual. No Canva integration or measured saving is claimed. A fresh-context rerun would add evidence.</w:t>
      </w:r>
    </w:p>
    <w:p>
      <w:r>
        <w:br w:type="page"/>
      </w:r>
    </w:p>
    <w:p>
      <w:pPr>
        <w:pStyle w:val="Heading1"/>
      </w:pPr>
      <w:r>
        <w:t>E Independent judgment and timing</w:t>
      </w:r>
    </w:p>
    <w:p>
      <w:r>
        <w:t>My selected priority is checking technical claims, and I prefer a small approved internal comparison. The working diffusion conclusion is broad use with unknown complete-workflow spread. Verification complexity matters most because source checking and corrections may absorb the apparent advantage.</w:t>
      </w:r>
    </w:p>
    <w:p>
      <w:r>
        <w:t>In the proposed learning horizon, prepare a comparison using approved materials and final human review while asking comparable teams about their actual workflows. An aggressive organization may front-load learning; the conservative contrast requires stronger peer evidence first. These are timing implications, not overall adopt, experiment, monitor, defer or reject decisions.</w:t>
      </w:r>
    </w:p>
    <w:p>
      <w:pPr>
        <w:pStyle w:val="Heading1"/>
      </w:pPr>
      <w:r>
        <w:t>E Self reflection based on my recorded input</w:t>
      </w:r>
    </w:p>
    <w:p>
      <w:r>
        <w:t>My original concern was how slowly raw product information and images become marketing content. For this assignment I selected checking technical claims as the main obstacle and a small internal comparison as my preferred next step. That means the useful question for me is whether the entire process becomes easier after I check the numbers, technical meaning, wording and design.</w:t>
      </w:r>
    </w:p>
    <w:p>
      <w:r>
        <w:t>I would also want to know what comparable teams actually use. A person using AI for work does not necessarily mean their company has a complete workflow like mine. Before treating a competitor as evidence, I would ask what they use, how often they use it and whether a person still checks the result. I have not measured the proposed efficiency improvement. My next step would be to compare approved finished content with the manual process, including corrections and final retouches, while gathering more relevant peer evidence.</w:t>
      </w:r>
    </w:p>
    <w:p>
      <w:pPr>
        <w:pStyle w:val="Heading1"/>
      </w:pPr>
      <w:r>
        <w:t>E Handoff abstention and monitoring</w:t>
      </w:r>
    </w:p>
    <w:p>
      <w:r>
        <w:t>Bring the current diffusion signal, verification complexity, context-sensitive timing implication and the preserved weak claim to the team. Adoption Agent caution: a technology-use rate supplies context, not permission to deploy this application. Local value, readiness, risk and accountable approval require their own evidence.</w:t>
      </w:r>
    </w:p>
    <w:p>
      <w:r>
        <w:t>Withhold exact workflow penetration, a universal Rogers stage and claims that this organization leads or lags peers. Reassess after a new survey release, dated comparable-peer sustained-use evidence or a completed local quality/effort comparison. Reference interviews may inform learning but cannot estimate population prevalence without a suitable sampling basis.</w:t>
      </w:r>
    </w:p>
    <w:p>
      <w:pPr>
        <w:pStyle w:val="Heading1"/>
      </w:pPr>
      <w:r>
        <w:t>E AI use and source access</w:t>
      </w:r>
    </w:p>
    <w:p>
      <w:r>
        <w:t>I supplied the workflow, retouch preference, untested goal and willingness to accept smaller reliable gains. I selected technical claim checking and a small approved internal comparison during this assignment. ChatGPT with Codex drafted the specialist, analyses, checks and prose expressing those inputs. The broader diffusion interpretation is AI-assisted analysis for my review; the reflection is not a verbatim quotation. No code authorship, independent experiment or achieved saving is attributed to me.</w:t>
      </w:r>
    </w:p>
    <w:p>
      <w:r>
        <w:t>Direct retrieval of the Census D3 document timed out, so its wording change was cross-checked in official Federal Reserve D4. The publisher page T1 establishes the Rogers book identity; the assigned memo supplies the required framework. No full textbook inspection is claimed. The source register preserves these access limits.</w:t>
      </w:r>
    </w:p>
    <w:p>
      <w:pPr>
        <w:pStyle w:val="Heading1"/>
      </w:pPr>
      <w:r>
        <w:t>Checked sources</w:t>
      </w:r>
    </w:p>
    <w:p>
      <w:pPr>
        <w:spacing w:after="40"/>
      </w:pPr>
      <w:r>
        <w:rPr>
          <w:sz w:val="19"/>
        </w:rPr>
        <w:t xml:space="preserve">D1 | </w:t>
      </w:r>
      <w:hyperlink r:id="rId12">
        <w:r>
          <w:rPr>
            <w:color w:val="000000"/>
            <w:u w:val="single"/>
          </w:rPr>
          <w:t>Original researchers’ historical survey account | September 2026</w:t>
        </w:r>
      </w:hyperlink>
    </w:p>
    <w:p>
      <w:pPr>
        <w:spacing w:after="40"/>
      </w:pPr>
      <w:r>
        <w:rPr>
          <w:sz w:val="19"/>
        </w:rPr>
        <w:t xml:space="preserve">D2 | </w:t>
      </w:r>
      <w:hyperlink r:id="rId13">
        <w:r>
          <w:rPr>
            <w:color w:val="000000"/>
            <w:u w:val="single"/>
          </w:rPr>
          <w:t>ONS business AI analysis | July 2026</w:t>
        </w:r>
      </w:hyperlink>
    </w:p>
    <w:p>
      <w:pPr>
        <w:spacing w:after="40"/>
      </w:pPr>
      <w:r>
        <w:rPr>
          <w:sz w:val="19"/>
        </w:rPr>
        <w:t xml:space="preserve">D3 | </w:t>
      </w:r>
      <w:hyperlink r:id="rId14">
        <w:r>
          <w:rPr>
            <w:color w:val="000000"/>
            <w:u w:val="single"/>
          </w:rPr>
          <w:t>Census question-change document | December 2025; direct access incomplete</w:t>
        </w:r>
      </w:hyperlink>
    </w:p>
    <w:p>
      <w:pPr>
        <w:spacing w:after="40"/>
      </w:pPr>
      <w:r>
        <w:rPr>
          <w:sz w:val="19"/>
        </w:rPr>
        <w:t xml:space="preserve">D4 | </w:t>
      </w:r>
      <w:hyperlink r:id="rId15">
        <w:r>
          <w:rPr>
            <w:color w:val="000000"/>
            <w:u w:val="single"/>
          </w:rPr>
          <w:t>Federal Reserve measurement analysis | April 2026</w:t>
        </w:r>
      </w:hyperlink>
    </w:p>
    <w:p>
      <w:pPr>
        <w:spacing w:after="40"/>
      </w:pPr>
      <w:r>
        <w:rPr>
          <w:sz w:val="19"/>
        </w:rPr>
        <w:t xml:space="preserve">T1 | </w:t>
      </w:r>
      <w:hyperlink r:id="rId16">
        <w:r>
          <w:rPr>
            <w:color w:val="000000"/>
            <w:u w:val="single"/>
          </w:rPr>
          <w:t>Rogers fifth edition | publisher bibliographic page</w:t>
        </w:r>
      </w:hyperlink>
    </w:p>
    <w:p>
      <w:pPr>
        <w:spacing w:after="40"/>
      </w:pPr>
      <w:r>
        <w:rPr>
          <w:sz w:val="19"/>
        </w:rPr>
        <w:t xml:space="preserve">D5 | </w:t>
      </w:r>
      <w:hyperlink r:id="rId17">
        <w:r>
          <w:rPr>
            <w:color w:val="000000"/>
            <w:u w:val="single"/>
          </w:rPr>
          <w:t>RPS work-use series on FRED | updated 20 October 2026</w:t>
        </w:r>
      </w:hyperlink>
    </w:p>
    <w:sectPr w:rsidR="00FC693F" w:rsidRPr="0006063C" w:rsidSect="00034616">
      <w:headerReference w:type="default" r:id="rId9"/>
      <w:footerReference w:type="default" r:id="rId10"/>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Assignment 5 | Candidate 0.2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NYU SPS | MASY1-GC 1800 | Lucy Shen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4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before="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cs5930-lucy/Lucy-MASY1800-Emerging-Technologies/tree/assignment-5-diffusion-agent" TargetMode="External"/><Relationship Id="rId12" Type="http://schemas.openxmlformats.org/officeDocument/2006/relationships/hyperlink" Target="https://www.stlouisfed.org/on-the-economy/2026/sep/what-work-does-generative-ai-do" TargetMode="External"/><Relationship Id="rId13" Type="http://schemas.openxmlformats.org/officeDocument/2006/relationships/hyperlink" Target="https://www.ons.gov.uk/businessindustryandtrade/business/businessservices/articles/artificialintelligenceinukbusinesses/2023to2026" TargetMode="External"/><Relationship Id="rId14" Type="http://schemas.openxmlformats.org/officeDocument/2006/relationships/hyperlink" Target="https://www.census.gov/hfp/btos/downloads/AI%20Question%20Wording%20Updates.pdf" TargetMode="External"/><Relationship Id="rId15" Type="http://schemas.openxmlformats.org/officeDocument/2006/relationships/hyperlink" Target="https://www.federalreserve.gov/econres/notes/feds-notes/monitoring-ai-adoption-in-the-u-s-economy-20260403.html" TargetMode="External"/><Relationship Id="rId16" Type="http://schemas.openxmlformats.org/officeDocument/2006/relationships/hyperlink" Target="https://www.simonandschuster.com/books/Diffusion-of-Innovations-5th-Edition/Everett-M-Rogers/9780743258234" TargetMode="External"/><Relationship Id="rId17" Type="http://schemas.openxmlformats.org/officeDocument/2006/relationships/hyperlink" Target="https://fred.stlouisfed.org/series/RPSGENAIUSAGESHAR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