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Innovation and Disruption Agent Record</w:t>
      </w:r>
    </w:p>
    <w:p>
      <w:pPr>
        <w:jc w:val="center"/>
      </w:pPr>
      <w:r>
        <w:t>Lucy Shen</w:t>
      </w:r>
    </w:p>
    <w:p>
      <w:pPr>
        <w:jc w:val="center"/>
      </w:pPr>
      <w:r>
        <w:t>MASY1-GC 1800 Emerging Technologies | Assignment 3</w:t>
      </w:r>
    </w:p>
    <w:p>
      <w:r>
        <w:t>This record documents the specialist, conditional judgments, test evidence and revision. The working package preserves all supporting files.</w:t>
      </w:r>
    </w:p>
    <w:p>
      <w:pPr>
        <w:pStyle w:val="Heading1"/>
        <w:keepNext/>
        <w:spacing w:before="180" w:after="120"/>
      </w:pPr>
      <w:r>
        <w:t>A Agent and Version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Field</w:t>
            </w:r>
          </w:p>
        </w:tc>
        <w:tc>
          <w:tcPr>
            <w:tcW w:type="dxa" w:w="7488"/>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Student record</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Student / team</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Lucy Shen | Individual submission</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Assignment / specialist agent</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Assignment 3 | Innovation and Disruption Agent | Version 0.2-student</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Date</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October 12, 2026 | America/New_York</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GitHub repository</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https://github.com/cs5930-lucy/Lucy-MASY1800-Emerging-Technologies</w:t>
              <w:br/>
              <w:t>Private repository. Assignment branch and analyzed commit are recorded below.</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Branch</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assignment-3-innovation-disruption</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Commit</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866b6997bc55707b1f2052f9c442a6bd25188377</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Frozen scaffold version</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MASY1800_ET_Agent_Scaffold_v1_0 | Frozen core integrity check passed</w:t>
            </w:r>
          </w:p>
        </w:tc>
      </w:tr>
    </w:tbl>
    <w:p>
      <w:pPr>
        <w:pStyle w:val="Heading1"/>
        <w:keepNext/>
        <w:spacing w:before="180" w:after="120"/>
      </w:pPr>
      <w:r>
        <w:t>B Specialist Purpose and Context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Field</w:t>
            </w:r>
          </w:p>
        </w:tc>
        <w:tc>
          <w:tcPr>
            <w:tcW w:type="dxa" w:w="7488"/>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Student record</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Governing analytical question</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What kind of innovation is this, and what could it create, displace or reshape in this organization’s business model?</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Emerging technology</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Commercially deployed generative AI for marketing text and imagery.</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Intended application</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Proposed model imagery, audience variants, captions and concept demand testing before production.</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Organization / industry</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Hypothetical apparel cases: Linden and Row DTC brand, B2B uniform manufacturer and luxury heritage house.</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Adoption posture</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Moderate/fast-follower in all cases. Assistant-defined test assumption, not observed company behavior.</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Risk / consequence context</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Potential differentiation loss, misleading garment depictions, trust loss and creative-role changes. No measured financial or customer effect is claimed.</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Management question / time horizon</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Business-model exposure over 12 months. Horizon is a test default. The final adoption decision is outside this agent’s scope.</w:t>
            </w:r>
          </w:p>
        </w:tc>
      </w:tr>
    </w:tbl>
    <w:p>
      <w:pPr>
        <w:pStyle w:val="Heading1"/>
        <w:keepNext/>
        <w:pageBreakBefore/>
        <w:spacing w:before="180" w:after="120"/>
      </w:pPr>
      <w:r>
        <w:t>C Three Level Finding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Field</w:t>
            </w:r>
          </w:p>
        </w:tc>
        <w:tc>
          <w:tcPr>
            <w:tcW w:type="dxa" w:w="7488"/>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Student record</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ET generally</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Qualified commercialized breakthrough relative to manual production and template editing. S2 supports the capability and S3 its commercial deployment. “Breakthrough” is an explicit interpretation, with cumulative technical development as an alternative. The general finding remains stable across the same technology and evidence.</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ET for this application</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Proposed process innovation using existing capabilities. Routine drafting is incremental; a connected concept-testing and launch workflow could be more consequential. None of these hypothetical organizations is assumed to have implemented the application.</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ET for this application in this organization</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Linden and Row: High conditional exposure if imitable content production is a major acquisition advantage. Uniform manufacturer: Low under its contract-led assumptions. Luxury house: firm judgment withheld; Moderate for supportive/disclosed use, or High if synthetic craft claims demonstrably erode trust and premium value. No existential conclusion is supported.</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Bounded management implication</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Check whether the threatened advantage affects customer choice and margins. For the primary case, distinguish faster content from faster manufacturing: 8 to 12 week supplier lead times constrain rapid production changes. Pass evidence needs and conditional exposure to the Adoption Agent.</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Confidence / uncertainty</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Moderate confidence in the scoped general classification. Low-to-moderate confidence in the primary exposure; low confidence in luxury severity. All organizations are scenarios. Content-cost share, customer response, supplier flexibility and causal economic effects remain unknown.</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What evidence or condition would change the conclusion</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Stable customer preference alongside lower review-adjusted content cost would weaken the primary High judgment. Evidence of acquisition losses tied to content imitation would strengthen it. For luxury, intended use, disclosure and measured authenticity/premium-price response distinguish the conditional outcomes.</w:t>
            </w:r>
          </w:p>
        </w:tc>
      </w:tr>
    </w:tbl>
    <w:p>
      <w:pPr>
        <w:pStyle w:val="Heading1"/>
        <w:keepNext/>
        <w:pageBreakBefore/>
        <w:spacing w:before="180" w:after="120"/>
      </w:pPr>
      <w:r>
        <w:t>D Evidence and Testing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Field</w:t>
            </w:r>
          </w:p>
        </w:tc>
        <w:tc>
          <w:tcPr>
            <w:tcW w:type="dxa" w:w="7488"/>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Student record</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Most important evidence/source(s)</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r>
            <w:hyperlink r:id="rId12">
              <w:r>
                <w:rPr>
                  <w:color w:val="155A8A"/>
                </w:rPr>
                <w:t>S1 OECD and Eurostat (2018-10-22)</w:t>
              </w:r>
            </w:hyperlink>
          </w:p>
          <w:p>
            <w:pPr>
              <w:spacing w:after="40" w:before="0" w:line="240" w:lineRule="auto"/>
            </w:pPr>
            <w:hyperlink r:id="rId13">
              <w:r>
                <w:rPr>
                  <w:color w:val="155A8A"/>
                </w:rPr>
                <w:t>S2 Ramesh et al., original research paper (2022-04-13)</w:t>
              </w:r>
            </w:hyperlink>
          </w:p>
          <w:p>
            <w:pPr>
              <w:spacing w:after="40" w:before="0" w:line="240" w:lineRule="auto"/>
            </w:pPr>
            <w:hyperlink r:id="rId14">
              <w:r>
                <w:rPr>
                  <w:color w:val="155A8A"/>
                </w:rPr>
                <w:t>S3 OpenAI (2022-09-28)</w:t>
              </w:r>
            </w:hyperlink>
          </w:p>
          <w:p>
            <w:pPr>
              <w:spacing w:after="40" w:before="0" w:line="240" w:lineRule="auto"/>
            </w:pPr>
            <w:hyperlink r:id="rId15">
              <w:r>
                <w:rPr>
                  <w:color w:val="155A8A"/>
                </w:rPr>
                <w:t>S4 H&amp;M Group (2025-07-02)</w:t>
              </w:r>
            </w:hyperlink>
          </w:p>
          <w:p>
            <w:pPr>
              <w:spacing w:after="40" w:before="0" w:line="240" w:lineRule="auto"/>
            </w:pPr>
            <w:r>
              <w:rPr>
                <w:rFonts w:ascii="Calibri" w:hAnsi="Calibri"/>
                <w:b w:val="0"/>
                <w:color w:val="000000"/>
                <w:sz w:val="21"/>
              </w:rPr>
              <w:t>Original pages checked in this session. Source types, claims and limitations are in evidence/source_register.md. No source verifies the case economics.</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Primary test - result</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High conditional exposure. The response links a supplied content-moat premise to possible acquisition and pricing effects, retains a preservation argument and limits the production upside. This is a hypothetical test, not a real-company finding.</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Contrast test - what appropriately stayed stable</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The general classification and proposed-application status remain stable. Technology, application, horizon, posture and source register are held constant.</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Contrast test - what appropriately changed</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The uniform case is Low because content is supporting. The luxury case withholds a firm rating and identifies use-dependent Moderate/High pathways. A fourth case with missing business-model information also withholds judgment.</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Weakness/failure found</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The initial luxury response passed JSON validation but omitted an explicit early-versus-late timing comparison and used a vague authenticity trigger. It is preserved as luxury_v0_1_response.json.</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Revision made and why</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Version 0.2 requires concrete alternative uses, evidence that distinguishes them, explicit timing-risk comparison and observable change triggers. The unchanged luxury input was rerun with all other final cases.</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Remaining limitation / abstention condition</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Four final cases, one response each, evaluated in the same assistant session. No independent or repeated-run reliability test. Missing business-model evidence prevents a firm rating. Schema success establishes structure, not truth.</w:t>
            </w:r>
          </w:p>
        </w:tc>
      </w:tr>
    </w:tbl>
    <w:p>
      <w:pPr>
        <w:pStyle w:val="Heading1"/>
        <w:keepNext/>
        <w:pageBreakBefore/>
        <w:spacing w:before="180" w:after="120"/>
      </w:pPr>
      <w:r>
        <w:t>E Independent Judgment and Handoff</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Field</w:t>
            </w:r>
          </w:p>
        </w:tc>
        <w:tc>
          <w:tcPr>
            <w:tcW w:type="dxa" w:w="7488"/>
            <w:tcMar>
              <w:top w:w="70" w:type="dxa"/>
              <w:start w:w="90" w:type="dxa"/>
              <w:bottom w:w="70" w:type="dxa"/>
              <w:end w:w="90" w:type="dxa"/>
            </w:tcMar>
            <w:vAlign w:val="center"/>
            <w:shd w:fill="E7EEF4"/>
            <w:tcMar>
              <w:top w:w="65" w:type="dxa"/>
              <w:left w:w="90" w:type="dxa"/>
              <w:bottom w:w="65" w:type="dxa"/>
              <w:right w:w="90" w:type="dxa"/>
            </w:tcMar>
          </w:tcPr>
          <w:p>
            <w:pPr>
              <w:spacing w:after="40" w:before="0" w:line="240" w:lineRule="auto"/>
            </w:pPr>
            <w:r>
              <w:rPr>
                <w:rFonts w:ascii="Calibri" w:hAnsi="Calibri"/>
                <w:b/>
                <w:color w:val="000000"/>
                <w:sz w:val="21"/>
              </w:rPr>
              <w:t>Student record</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Is the agent credible enough for team consideration? Why?</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Yes, as a bounded classroom prototype. It preserves the three analytical levels, produces context-sensitive judgments, records contrary interpretations and withholds unsupported ratings. My primary judgment is High conditional exposure under the content-moat premise, with a plausible Moderate alternative if product, community and human taste preserve advantage. It is not ready to make an actual company decision without organizational evidence.</w:t>
            </w:r>
          </w:p>
        </w:tc>
      </w:tr>
      <w:tr>
        <w:trPr>
          <w:cantSplit/>
        </w:trPr>
        <w:tc>
          <w:tcPr>
            <w:tcW w:type="dxa" w:w="2880"/>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Most important recommendation to the team</w:t>
            </w:r>
          </w:p>
        </w:tc>
        <w:tc>
          <w:tcPr>
            <w:tcW w:type="dxa" w:w="7488"/>
            <w:tcMar>
              <w:top w:w="70" w:type="dxa"/>
              <w:start w:w="90" w:type="dxa"/>
              <w:bottom w:w="70" w:type="dxa"/>
              <w:end w:w="90" w:type="dxa"/>
            </w:tcMar>
            <w:vAlign w:val="center"/>
            <w:shd w:fill="F7F8FA"/>
            <w:tcMar>
              <w:top w:w="65" w:type="dxa"/>
              <w:left w:w="90" w:type="dxa"/>
              <w:bottom w:w="65" w:type="dxa"/>
              <w:right w:w="90" w:type="dxa"/>
            </w:tcMar>
          </w:tcPr>
          <w:p>
            <w:pPr>
              <w:spacing w:after="40" w:before="0" w:line="240" w:lineRule="auto"/>
            </w:pPr>
            <w:r>
              <w:rPr>
                <w:rFonts w:ascii="Calibri" w:hAnsi="Calibri"/>
                <w:b w:val="0"/>
                <w:color w:val="000000"/>
                <w:sz w:val="21"/>
              </w:rPr>
              <w:t>Do not equate technological novelty with business impact. Preserve the causal link from advantage to customer choice and economics. Capture revenue logic, content’s role, customer-facing use and supplier constraints in the shared intake. Hand adoption, readiness, diffusion, Promethean significance and current landscape questions to their respective specialists.</w:t>
            </w:r>
          </w:p>
        </w:tc>
      </w:tr>
      <w:tr>
        <w:trPr>
          <w:cantSplit/>
        </w:trPr>
        <w:tc>
          <w:tcPr>
            <w:tcW w:type="dxa" w:w="2880"/>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AI / verification note</w:t>
            </w:r>
          </w:p>
        </w:tc>
        <w:tc>
          <w:tcPr>
            <w:tcW w:type="dxa" w:w="7488"/>
            <w:tcMar>
              <w:top w:w="70" w:type="dxa"/>
              <w:start w:w="90" w:type="dxa"/>
              <w:bottom w:w="70" w:type="dxa"/>
              <w:end w:w="90" w:type="dxa"/>
            </w:tcMar>
            <w:vAlign w:val="center"/>
            <w:shd w:fill="FFFFFF"/>
            <w:tcMar>
              <w:top w:w="65" w:type="dxa"/>
              <w:left w:w="90" w:type="dxa"/>
              <w:bottom w:w="65" w:type="dxa"/>
              <w:right w:w="90" w:type="dxa"/>
            </w:tcMar>
          </w:tcPr>
          <w:p>
            <w:pPr>
              <w:spacing w:after="40" w:before="0" w:line="240" w:lineRule="auto"/>
            </w:pPr>
            <w:r>
              <w:rPr>
                <w:rFonts w:ascii="Calibri" w:hAnsi="Calibri"/>
                <w:b w:val="0"/>
                <w:color w:val="000000"/>
                <w:sz w:val="21"/>
              </w:rPr>
              <w:t>I supplied the design, professional perspective, cases, expected contrasts and boundaries. ChatGPT/Codex developed the specialist instructions and code, checked original source pages, generated and reviewed test outputs, and drafted this record. Extra case details are labeled assumptions. This assistance went beyond proofreading. The outputs are same-session AI-assisted examples, not field research. I remain responsible for reviewing the final submission.</w:t>
            </w:r>
          </w:p>
        </w:tc>
      </w:tr>
    </w:tbl>
    <w:sectPr w:rsidR="00630F3A" w:rsidSect="00034616">
      <w:headerReference w:type="default" r:id="rId8"/>
      <w:footerReference w:type="default" r:id="rId9"/>
      <w:headerReference w:type="first" r:id="rId16"/>
      <w:headerReference w:type="even" r:id="rId17"/>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jc w:val="center"/>
      <w:rPr>
        <w:rFonts w:hint="eastAsia"/>
      </w:rPr>
    </w:pPr>
    <w:r>
      <w:rPr>
        <w:sz w:val="18"/>
      </w:rPr>
      <w:t xml:space="preserve">Lucy Shen | Assignment 3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000000"/>
        <w:sz w:val="16"/>
      </w:rPr>
      <w:t>NYU SPS | MASY1-GC 1800 | EMERGING TECHNOLOGIES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2"/>
    </w:rPr>
  </w:style>
  <w:style w:type="paragraph" w:styleId="Heading1">
    <w:name w:val="heading 1"/>
    <w:basedOn w:val="Normal"/>
    <w:next w:val="Normal"/>
    <w:link w:val="Heading1Char"/>
    <w:uiPriority w:val="9"/>
    <w:qFormat/>
    <w:rsid w:val="00FC693F"/>
    <w:pPr>
      <w:keepNext/>
      <w:keepLines/>
      <w:spacing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00"/>
      <w:outlineLvl w:val="4"/>
    </w:pPr>
    <w:rPr>
      <w:rFonts w:asciiTheme="majorHAnsi" w:eastAsiaTheme="majorEastAsia" w:hAnsiTheme="majorHAnsi" w:cstheme="majorBidi" w:ascii="Calibri" w:hAnsi="Calibri"/>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00"/>
      <w:outlineLvl w:val="5"/>
    </w:pPr>
    <w:rPr>
      <w:rFonts w:asciiTheme="majorHAnsi" w:eastAsiaTheme="majorEastAsia" w:hAnsiTheme="majorHAnsi" w:cstheme="majorBidi" w:ascii="Calibri" w:hAnsi="Calibri"/>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00"/>
      <w:outlineLvl w:val="6"/>
    </w:pPr>
    <w:rPr>
      <w:rFonts w:asciiTheme="majorHAnsi" w:eastAsiaTheme="majorEastAsia" w:hAnsiTheme="majorHAnsi" w:cstheme="majorBidi" w:ascii="Calibri" w:hAnsi="Calibri"/>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00"/>
      <w:outlineLvl w:val="7"/>
    </w:pPr>
    <w:rPr>
      <w:rFonts w:asciiTheme="majorHAnsi" w:eastAsiaTheme="majorEastAsia" w:hAnsiTheme="majorHAnsi" w:cstheme="majorBidi" w:ascii="Calibri" w:hAnsi="Calibri"/>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00"/>
      <w:outlineLvl w:val="8"/>
    </w:pPr>
    <w:rPr>
      <w:rFonts w:asciiTheme="majorHAnsi" w:eastAsiaTheme="majorEastAsia" w:hAnsiTheme="majorHAnsi" w:cstheme="majorBidi" w:ascii="Calibri" w:hAnsi="Calibri"/>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00" w:line="240" w:lineRule="auto"/>
    </w:pPr>
    <w:rPr>
      <w:rFonts w:ascii="Calibri" w:hAnsi="Calibri"/>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Calibri" w:hAnsi="Calibri"/>
      <w:color w:val="000000"/>
      <w:sz w:val="22"/>
    </w:rPr>
  </w:style>
  <w:style w:type="paragraph" w:styleId="BodyText">
    <w:name w:val="Body Text"/>
    <w:basedOn w:val="Normal"/>
    <w:link w:val="BodyTextChar"/>
    <w:uiPriority w:val="99"/>
    <w:unhideWhenUsed/>
    <w:rsid w:val="00AA1D8D"/>
    <w:pPr>
      <w:spacing w:after="100"/>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480" w:lineRule="auto"/>
    </w:pPr>
    <w:rPr>
      <w:rFonts w:ascii="Calibri" w:hAnsi="Calibri"/>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pPr>
    <w:rPr>
      <w:rFonts w:ascii="Calibri" w:hAnsi="Calibri"/>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ind w:left="360" w:hanging="360"/>
      <w:contextualSpacing/>
    </w:pPr>
    <w:rPr>
      <w:rFonts w:ascii="Calibri" w:hAnsi="Calibri"/>
      <w:color w:val="000000"/>
      <w:sz w:val="22"/>
    </w:rPr>
  </w:style>
  <w:style w:type="paragraph" w:styleId="List2">
    <w:name w:val="List 2"/>
    <w:basedOn w:val="Normal"/>
    <w:uiPriority w:val="99"/>
    <w:unhideWhenUsed/>
    <w:rsid w:val="00326F90"/>
    <w:pPr>
      <w:spacing w:after="100"/>
      <w:ind w:left="720" w:hanging="360"/>
      <w:contextualSpacing/>
    </w:pPr>
    <w:rPr>
      <w:rFonts w:ascii="Calibri" w:hAnsi="Calibri"/>
      <w:color w:val="000000"/>
      <w:sz w:val="22"/>
    </w:rPr>
  </w:style>
  <w:style w:type="paragraph" w:styleId="List3">
    <w:name w:val="List 3"/>
    <w:basedOn w:val="Normal"/>
    <w:uiPriority w:val="99"/>
    <w:unhideWhenUsed/>
    <w:rsid w:val="00326F90"/>
    <w:pPr>
      <w:spacing w:after="100"/>
      <w:ind w:left="1080" w:hanging="360"/>
      <w:contextualSpacing/>
    </w:pPr>
    <w:rPr>
      <w:rFonts w:ascii="Calibri" w:hAnsi="Calibri"/>
      <w:color w:val="000000"/>
      <w:sz w:val="22"/>
    </w:rPr>
  </w:style>
  <w:style w:type="paragraph" w:styleId="ListBullet">
    <w:name w:val="List Bullet"/>
    <w:basedOn w:val="Normal"/>
    <w:uiPriority w:val="99"/>
    <w:unhideWhenUsed/>
    <w:rsid w:val="00326F90"/>
    <w:pPr>
      <w:numPr>
        <w:numId w:val="1"/>
      </w:numPr>
      <w:spacing w:after="10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spacing w:after="100"/>
      <w:contextualSpacing/>
    </w:pPr>
    <w:rPr>
      <w:rFonts w:ascii="Calibri" w:hAnsi="Calibri"/>
      <w:color w:val="000000"/>
      <w:sz w:val="22"/>
    </w:rPr>
  </w:style>
  <w:style w:type="paragraph" w:styleId="ListBullet3">
    <w:name w:val="List Bullet 3"/>
    <w:basedOn w:val="Normal"/>
    <w:uiPriority w:val="99"/>
    <w:unhideWhenUsed/>
    <w:rsid w:val="00326F90"/>
    <w:pPr>
      <w:numPr>
        <w:numId w:val="3"/>
      </w:numPr>
      <w:spacing w:after="100"/>
      <w:contextualSpacing/>
    </w:pPr>
    <w:rPr>
      <w:rFonts w:ascii="Calibri" w:hAnsi="Calibri"/>
      <w:color w:val="000000"/>
      <w:sz w:val="22"/>
    </w:rPr>
  </w:style>
  <w:style w:type="paragraph" w:styleId="ListNumber">
    <w:name w:val="List Number"/>
    <w:basedOn w:val="Normal"/>
    <w:uiPriority w:val="99"/>
    <w:unhideWhenUsed/>
    <w:rsid w:val="00326F90"/>
    <w:pPr>
      <w:numPr>
        <w:numId w:val="5"/>
      </w:numPr>
      <w:spacing w:after="10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spacing w:after="100"/>
      <w:contextualSpacing/>
    </w:pPr>
    <w:rPr>
      <w:rFonts w:ascii="Calibri" w:hAnsi="Calibri"/>
      <w:color w:val="000000"/>
      <w:sz w:val="22"/>
    </w:rPr>
  </w:style>
  <w:style w:type="paragraph" w:styleId="ListNumber3">
    <w:name w:val="List Number 3"/>
    <w:basedOn w:val="Normal"/>
    <w:uiPriority w:val="99"/>
    <w:unhideWhenUsed/>
    <w:rsid w:val="0029639D"/>
    <w:pPr>
      <w:numPr>
        <w:numId w:val="7"/>
      </w:numPr>
      <w:spacing w:after="100"/>
      <w:contextualSpacing/>
    </w:pPr>
    <w:rPr>
      <w:rFonts w:ascii="Calibri" w:hAnsi="Calibri"/>
      <w:color w:val="000000"/>
      <w:sz w:val="22"/>
    </w:rPr>
  </w:style>
  <w:style w:type="paragraph" w:styleId="ListContinue">
    <w:name w:val="List Continue"/>
    <w:basedOn w:val="Normal"/>
    <w:uiPriority w:val="99"/>
    <w:unhideWhenUsed/>
    <w:rsid w:val="0029639D"/>
    <w:pPr>
      <w:spacing w:after="100"/>
      <w:ind w:left="360"/>
      <w:contextualSpacing/>
    </w:pPr>
    <w:rPr>
      <w:rFonts w:ascii="Calibri" w:hAnsi="Calibri"/>
      <w:color w:val="000000"/>
      <w:sz w:val="22"/>
    </w:rPr>
  </w:style>
  <w:style w:type="paragraph" w:styleId="ListContinue2">
    <w:name w:val="List Continue 2"/>
    <w:basedOn w:val="Normal"/>
    <w:uiPriority w:val="99"/>
    <w:unhideWhenUsed/>
    <w:rsid w:val="0029639D"/>
    <w:pPr>
      <w:spacing w:after="100"/>
      <w:ind w:left="720"/>
      <w:contextualSpacing/>
    </w:pPr>
    <w:rPr>
      <w:rFonts w:ascii="Calibri" w:hAnsi="Calibri"/>
      <w:color w:val="000000"/>
      <w:sz w:val="22"/>
    </w:rPr>
  </w:style>
  <w:style w:type="paragraph" w:styleId="ListContinue3">
    <w:name w:val="List Continue 3"/>
    <w:basedOn w:val="Normal"/>
    <w:uiPriority w:val="99"/>
    <w:unhideWhenUsed/>
    <w:rsid w:val="0029639D"/>
    <w:pPr>
      <w:spacing w:after="100"/>
      <w:ind w:left="1080"/>
      <w:contextualSpacing/>
    </w:pPr>
    <w:rPr>
      <w:rFonts w:ascii="Calibri" w:hAnsi="Calibri"/>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pPr>
    <w:rPr>
      <w:rFonts w:ascii="Calibri" w:hAnsi="Calibri"/>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pPr>
    <w:rPr>
      <w:rFonts w:ascii="Calibri" w:hAnsi="Calibri"/>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00"/>
      <w:ind w:left="936" w:right="936"/>
    </w:pPr>
    <w:rPr>
      <w:rFonts w:ascii="Calibri" w:hAnsi="Calibri"/>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Calibri" w:hAnsi="Calibri"/>
      <w:color w:val="000000"/>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Calibri" w:hAnsi="Calibri"/>
      <w:color w:val="000000"/>
      <w:sz w:val="22"/>
    </w:rPr>
  </w:style>
  <w:style w:type="paragraph" w:customStyle="1" w:styleId="Callout">
    <w:name w:val="Callout"/>
    <w:pPr>
      <w:spacing w:after="100"/>
    </w:pPr>
    <w:rPr>
      <w:rFonts w:ascii="Calibri" w:hAnsi="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www.oecd.org/en/publications/oslo-manual-2018_9789264304604-en/full-report/component-7.html" TargetMode="External"/><Relationship Id="rId13" Type="http://schemas.openxmlformats.org/officeDocument/2006/relationships/hyperlink" Target="https://arxiv.org/abs/2204.06125" TargetMode="External"/><Relationship Id="rId14" Type="http://schemas.openxmlformats.org/officeDocument/2006/relationships/hyperlink" Target="https://openai.com/index/dall-e-now-available-without-waitlist/" TargetMode="External"/><Relationship Id="rId15" Type="http://schemas.openxmlformats.org/officeDocument/2006/relationships/hyperlink" Target="https://hmgroup.com/news/hm-continues-its-exploration-of-creativity-with-ai/" TargetMode="External"/><Relationship Id="rId16" Type="http://schemas.openxmlformats.org/officeDocument/2006/relationships/header" Target="header2.xml"/><Relationship Id="rId1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