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Promethean Technology Classification Agent</w:t>
      </w:r>
    </w:p>
    <w:p>
      <w:r>
        <w:t>Agent Record | Week 6 Assignment 4 | 20 October 2026</w:t>
      </w:r>
    </w:p>
    <w:p>
      <w:r>
        <w:t>This record separates the technology’s broader potential from the usefulness of my proposed marketing workflow. It preserves the criteria, evidence, tests, judgment and reflection.</w:t>
      </w:r>
    </w:p>
    <w:p>
      <w:pPr>
        <w:pStyle w:val="Heading1"/>
      </w:pPr>
      <w:r>
        <w:t>A Agent and version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tcMar>
              <w:top w:w="55" w:type="dxa"/>
              <w:left w:w="55" w:type="dxa"/>
              <w:bottom w:w="55" w:type="dxa"/>
              <w:right w:w="55" w:type="dxa"/>
            </w:tcMar>
            <w:shd w:fill="E8EDF2"/>
          </w:tcPr>
          <w:p>
            <w:pPr>
              <w:spacing w:after="40" w:before="40"/>
            </w:pPr>
            <w:r>
              <w:rPr>
                <w:b/>
                <w:sz w:val="21"/>
              </w:rPr>
              <w:t>Field</w:t>
            </w:r>
          </w:p>
        </w:tc>
        <w:tc>
          <w:tcPr>
            <w:tcW w:type="dxa" w:w="8208"/>
            <w:vAlign w:val="center"/>
            <w:tcMar>
              <w:top w:w="55" w:type="dxa"/>
              <w:left w:w="55" w:type="dxa"/>
              <w:bottom w:w="55" w:type="dxa"/>
              <w:right w:w="55" w:type="dxa"/>
            </w:tcMar>
            <w:shd w:fill="E8EDF2"/>
          </w:tcPr>
          <w:p>
            <w:pPr>
              <w:spacing w:after="40" w:before="40"/>
            </w:pPr>
            <w:r>
              <w:rPr>
                <w:b/>
                <w:sz w:val="21"/>
              </w:rPr>
              <w:t>Record</w:t>
            </w:r>
          </w:p>
        </w:tc>
      </w:tr>
      <w:tr>
        <w:trPr>
          <w:cantSplit/>
        </w:trPr>
        <w:tc>
          <w:tcPr>
            <w:tcW w:type="dxa" w:w="2016"/>
            <w:vAlign w:val="center"/>
            <w:tcMar>
              <w:top w:w="55" w:type="dxa"/>
              <w:left w:w="55" w:type="dxa"/>
              <w:bottom w:w="55" w:type="dxa"/>
              <w:right w:w="55" w:type="dxa"/>
            </w:tcMar>
          </w:tcPr>
          <w:p>
            <w:pPr>
              <w:spacing w:after="40" w:before="40"/>
            </w:pPr>
            <w:r>
              <w:rPr>
                <w:b w:val="0"/>
                <w:sz w:val="21"/>
              </w:rPr>
              <w:t>Student and specialist</w:t>
            </w:r>
          </w:p>
        </w:tc>
        <w:tc>
          <w:tcPr>
            <w:tcW w:type="dxa" w:w="8208"/>
            <w:vAlign w:val="center"/>
            <w:tcMar>
              <w:top w:w="55" w:type="dxa"/>
              <w:left w:w="55" w:type="dxa"/>
              <w:bottom w:w="55" w:type="dxa"/>
              <w:right w:w="55" w:type="dxa"/>
            </w:tcMar>
          </w:tcPr>
          <w:p>
            <w:pPr>
              <w:spacing w:after="40" w:before="40"/>
            </w:pPr>
            <w:r>
              <w:rPr>
                <w:b w:val="0"/>
                <w:sz w:val="21"/>
              </w:rPr>
              <w:t>Lucy Shen | Individual assignment | Technological significance</w:t>
            </w:r>
          </w:p>
        </w:tc>
      </w:tr>
      <w:tr>
        <w:trPr>
          <w:cantSplit/>
        </w:trPr>
        <w:tc>
          <w:tcPr>
            <w:tcW w:type="dxa" w:w="2016"/>
            <w:vAlign w:val="center"/>
            <w:tcMar>
              <w:top w:w="55" w:type="dxa"/>
              <w:left w:w="55" w:type="dxa"/>
              <w:bottom w:w="55" w:type="dxa"/>
              <w:right w:w="55" w:type="dxa"/>
            </w:tcMar>
          </w:tcPr>
          <w:p>
            <w:pPr>
              <w:spacing w:after="40" w:before="40"/>
            </w:pPr>
            <w:r>
              <w:rPr>
                <w:b w:val="0"/>
                <w:sz w:val="21"/>
              </w:rPr>
              <w:t>Version and scaffold</w:t>
            </w:r>
          </w:p>
        </w:tc>
        <w:tc>
          <w:tcPr>
            <w:tcW w:type="dxa" w:w="8208"/>
            <w:vAlign w:val="center"/>
            <w:tcMar>
              <w:top w:w="55" w:type="dxa"/>
              <w:left w:w="55" w:type="dxa"/>
              <w:bottom w:w="55" w:type="dxa"/>
              <w:right w:w="55" w:type="dxa"/>
            </w:tcMar>
          </w:tcPr>
          <w:p>
            <w:pPr>
              <w:spacing w:after="40" w:before="40"/>
            </w:pPr>
            <w:r>
              <w:rPr>
                <w:b w:val="0"/>
                <w:sz w:val="21"/>
              </w:rPr>
              <w:t>Candidate 0.3 | MASY1800_ET_Agent_Scaffold_v1_0 | Frozen core intact</w:t>
            </w:r>
          </w:p>
        </w:tc>
      </w:tr>
      <w:tr>
        <w:trPr>
          <w:cantSplit/>
        </w:trPr>
        <w:tc>
          <w:tcPr>
            <w:tcW w:type="dxa" w:w="2016"/>
            <w:vAlign w:val="center"/>
            <w:tcMar>
              <w:top w:w="55" w:type="dxa"/>
              <w:left w:w="55" w:type="dxa"/>
              <w:bottom w:w="55" w:type="dxa"/>
              <w:right w:w="55" w:type="dxa"/>
            </w:tcMar>
          </w:tcPr>
          <w:p>
            <w:pPr>
              <w:spacing w:after="40" w:before="40"/>
            </w:pPr>
            <w:r>
              <w:rPr>
                <w:b w:val="0"/>
                <w:sz w:val="21"/>
              </w:rPr>
              <w:t>Branch</w:t>
            </w:r>
          </w:p>
        </w:tc>
        <w:tc>
          <w:tcPr>
            <w:tcW w:type="dxa" w:w="8208"/>
            <w:vAlign w:val="center"/>
            <w:tcMar>
              <w:top w:w="55" w:type="dxa"/>
              <w:left w:w="55" w:type="dxa"/>
              <w:bottom w:w="55" w:type="dxa"/>
              <w:right w:w="55" w:type="dxa"/>
            </w:tcMar>
          </w:tcPr>
          <w:p>
            <w:pPr>
              <w:spacing w:after="40" w:before="40"/>
            </w:pPr>
            <w:r>
              <w:rPr>
                <w:b w:val="0"/>
                <w:sz w:val="21"/>
              </w:rPr>
              <w:t>assignment-4-promethean-agent</w:t>
            </w:r>
          </w:p>
        </w:tc>
      </w:tr>
      <w:tr>
        <w:trPr>
          <w:cantSplit/>
        </w:trPr>
        <w:tc>
          <w:tcPr>
            <w:tcW w:type="dxa" w:w="2016"/>
            <w:vAlign w:val="center"/>
            <w:tcMar>
              <w:top w:w="55" w:type="dxa"/>
              <w:left w:w="55" w:type="dxa"/>
              <w:bottom w:w="55" w:type="dxa"/>
              <w:right w:w="55" w:type="dxa"/>
            </w:tcMar>
          </w:tcPr>
          <w:p>
            <w:pPr>
              <w:spacing w:after="40" w:before="40"/>
            </w:pPr>
            <w:r>
              <w:rPr>
                <w:b w:val="0"/>
                <w:sz w:val="21"/>
              </w:rPr>
              <w:t>Tested candidate commit</w:t>
            </w:r>
          </w:p>
        </w:tc>
        <w:tc>
          <w:tcPr>
            <w:tcW w:type="dxa" w:w="8208"/>
            <w:vAlign w:val="center"/>
            <w:tcMar>
              <w:top w:w="55" w:type="dxa"/>
              <w:left w:w="55" w:type="dxa"/>
              <w:bottom w:w="55" w:type="dxa"/>
              <w:right w:w="55" w:type="dxa"/>
            </w:tcMar>
          </w:tcPr>
          <w:p>
            <w:pPr>
              <w:spacing w:after="40" w:before="40"/>
            </w:pPr>
            <w:r>
              <w:rPr>
                <w:b w:val="0"/>
                <w:sz w:val="21"/>
              </w:rPr>
              <w:t>8816c6a5956afc016fa3c763ce1428c63851ed96</w:t>
            </w:r>
          </w:p>
        </w:tc>
      </w:tr>
    </w:tbl>
    <w:p>
      <w:r>
        <w:t xml:space="preserve">Repository: </w:t>
      </w:r>
      <w:hyperlink r:id="rId11">
        <w:r>
          <w:rPr>
            <w:color w:val="000000"/>
            <w:u w:val="single"/>
          </w:rPr>
          <w:t>Lucy MASY1800 Emerging Technologies</w:t>
        </w:r>
      </w:hyperlink>
    </w:p>
    <w:p>
      <w:pPr>
        <w:pStyle w:val="Heading1"/>
      </w:pPr>
      <w:r>
        <w:t>B Purpose and context</w:t>
      </w:r>
    </w:p>
    <w:p>
      <w:r>
        <w:t>Governing question: is this technology incremental, breakthrough or potentially civilization changing, and how much should that influence the present application decision? The scope here is generative AI as evidenced by foundation language and code models; this record does not generalize to every generative modality.</w:t>
      </w:r>
    </w:p>
    <w:p>
      <w:r>
        <w:t>My application turns product-specification screenshots and raw images into a headline, three specifications, caption, image placement and a visual mockup for Canva retouching for Instagram or YouTube. I retain review of technical meaning, wording and final design. The hypothetical textile marketing team has a moderate fast-follower posture and review capacity. Source controls and a four-week evaluation horizon are test assumptions, not audited company facts.</w:t>
      </w:r>
    </w:p>
    <w:p>
      <w:pPr>
        <w:pStyle w:val="Heading1"/>
      </w:pPr>
      <w:r>
        <w:t>C Explicit significance criteria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336"/>
        <w:gridCol w:w="2448"/>
      </w:tblGrid>
      <w:tr>
        <w:trPr>
          <w:cantSplit/>
          <w:tblHeader/>
        </w:trPr>
        <w:tc>
          <w:tcPr>
            <w:tcW w:type="dxa" w:w="1440"/>
            <w:vAlign w:val="center"/>
            <w:tcMar>
              <w:top w:w="55" w:type="dxa"/>
              <w:left w:w="55" w:type="dxa"/>
              <w:bottom w:w="55" w:type="dxa"/>
              <w:right w:w="55" w:type="dxa"/>
            </w:tcMar>
            <w:shd w:fill="E8EDF2"/>
          </w:tcPr>
          <w:p>
            <w:pPr>
              <w:spacing w:after="40" w:before="40"/>
            </w:pPr>
            <w:r>
              <w:rPr>
                <w:b/>
                <w:sz w:val="21"/>
              </w:rPr>
              <w:t>Criterion</w:t>
            </w:r>
          </w:p>
        </w:tc>
        <w:tc>
          <w:tcPr>
            <w:tcW w:type="dxa" w:w="6336"/>
            <w:vAlign w:val="center"/>
            <w:tcMar>
              <w:top w:w="55" w:type="dxa"/>
              <w:left w:w="55" w:type="dxa"/>
              <w:bottom w:w="55" w:type="dxa"/>
              <w:right w:w="55" w:type="dxa"/>
            </w:tcMar>
            <w:shd w:fill="E8EDF2"/>
          </w:tcPr>
          <w:p>
            <w:pPr>
              <w:spacing w:after="40" w:before="40"/>
            </w:pPr>
            <w:r>
              <w:rPr>
                <w:b/>
                <w:sz w:val="21"/>
              </w:rPr>
              <w:t>Decision role</w:t>
            </w:r>
          </w:p>
        </w:tc>
        <w:tc>
          <w:tcPr>
            <w:tcW w:type="dxa" w:w="2448"/>
            <w:vAlign w:val="center"/>
            <w:tcMar>
              <w:top w:w="55" w:type="dxa"/>
              <w:left w:w="55" w:type="dxa"/>
              <w:bottom w:w="55" w:type="dxa"/>
              <w:right w:w="55" w:type="dxa"/>
            </w:tcMar>
            <w:shd w:fill="E8EDF2"/>
          </w:tcPr>
          <w:p>
            <w:pPr>
              <w:spacing w:after="40" w:before="40"/>
            </w:pPr>
            <w:r>
              <w:rPr>
                <w:b/>
                <w:sz w:val="21"/>
              </w:rPr>
              <w:t>Present assessment</w:t>
            </w:r>
          </w:p>
        </w:tc>
      </w:tr>
      <w:tr>
        <w:trPr>
          <w:cantSplit/>
        </w:trPr>
        <w:tc>
          <w:tcPr>
            <w:tcW w:type="dxa" w:w="1440"/>
            <w:vAlign w:val="center"/>
            <w:tcMar>
              <w:top w:w="55" w:type="dxa"/>
              <w:left w:w="55" w:type="dxa"/>
              <w:bottom w:w="55" w:type="dxa"/>
              <w:right w:w="55" w:type="dxa"/>
            </w:tcMar>
          </w:tcPr>
          <w:p>
            <w:pPr>
              <w:spacing w:after="40" w:before="40"/>
            </w:pPr>
            <w:r>
              <w:rPr>
                <w:b w:val="0"/>
                <w:sz w:val="21"/>
              </w:rPr>
              <w:t>C1 Capability</w:t>
            </w:r>
          </w:p>
        </w:tc>
        <w:tc>
          <w:tcPr>
            <w:tcW w:type="dxa" w:w="6336"/>
            <w:vAlign w:val="center"/>
            <w:tcMar>
              <w:top w:w="55" w:type="dxa"/>
              <w:left w:w="55" w:type="dxa"/>
              <w:bottom w:w="55" w:type="dxa"/>
              <w:right w:w="55" w:type="dxa"/>
            </w:tcMar>
          </w:tcPr>
          <w:p>
            <w:pPr>
              <w:spacing w:after="40" w:before="40"/>
            </w:pPr>
            <w:r>
              <w:rPr>
                <w:b w:val="0"/>
                <w:sz w:val="21"/>
              </w:rPr>
              <w:t>New reusable capability with a technical comparator; speed alone is insufficient.</w:t>
            </w:r>
          </w:p>
        </w:tc>
        <w:tc>
          <w:tcPr>
            <w:tcW w:type="dxa" w:w="2448"/>
            <w:vAlign w:val="center"/>
            <w:tcMar>
              <w:top w:w="55" w:type="dxa"/>
              <w:left w:w="55" w:type="dxa"/>
              <w:bottom w:w="55" w:type="dxa"/>
              <w:right w:w="55" w:type="dxa"/>
            </w:tcMar>
          </w:tcPr>
          <w:p>
            <w:pPr>
              <w:spacing w:after="40" w:before="40"/>
            </w:pPr>
            <w:r>
              <w:rPr>
                <w:b w:val="0"/>
                <w:sz w:val="21"/>
              </w:rPr>
              <w:t>Supported by S8</w:t>
            </w:r>
          </w:p>
        </w:tc>
      </w:tr>
      <w:tr>
        <w:trPr>
          <w:cantSplit/>
        </w:trPr>
        <w:tc>
          <w:tcPr>
            <w:tcW w:type="dxa" w:w="1440"/>
            <w:vAlign w:val="center"/>
            <w:tcMar>
              <w:top w:w="55" w:type="dxa"/>
              <w:left w:w="55" w:type="dxa"/>
              <w:bottom w:w="55" w:type="dxa"/>
              <w:right w:w="55" w:type="dxa"/>
            </w:tcMar>
          </w:tcPr>
          <w:p>
            <w:pPr>
              <w:spacing w:after="40" w:before="40"/>
            </w:pPr>
            <w:r>
              <w:rPr>
                <w:b w:val="0"/>
                <w:sz w:val="21"/>
              </w:rPr>
              <w:t>C2 Breadth</w:t>
            </w:r>
          </w:p>
        </w:tc>
        <w:tc>
          <w:tcPr>
            <w:tcW w:type="dxa" w:w="6336"/>
            <w:vAlign w:val="center"/>
            <w:tcMar>
              <w:top w:w="55" w:type="dxa"/>
              <w:left w:w="55" w:type="dxa"/>
              <w:bottom w:w="55" w:type="dxa"/>
              <w:right w:w="55" w:type="dxa"/>
            </w:tcMar>
          </w:tcPr>
          <w:p>
            <w:pPr>
              <w:spacing w:after="40" w:before="40"/>
            </w:pPr>
            <w:r>
              <w:rPr>
                <w:b w:val="0"/>
                <w:sz w:val="21"/>
              </w:rPr>
              <w:t>Reusable mechanism in materially different activities. Two domains are a screening convention.</w:t>
            </w:r>
          </w:p>
        </w:tc>
        <w:tc>
          <w:tcPr>
            <w:tcW w:type="dxa" w:w="2448"/>
            <w:vAlign w:val="center"/>
            <w:tcMar>
              <w:top w:w="55" w:type="dxa"/>
              <w:left w:w="55" w:type="dxa"/>
              <w:bottom w:w="55" w:type="dxa"/>
              <w:right w:w="55" w:type="dxa"/>
            </w:tcMar>
          </w:tcPr>
          <w:p>
            <w:pPr>
              <w:spacing w:after="40" w:before="40"/>
            </w:pPr>
            <w:r>
              <w:rPr>
                <w:b w:val="0"/>
                <w:sz w:val="21"/>
              </w:rPr>
              <w:t>Writing and coding support in S1 and S6</w:t>
            </w:r>
          </w:p>
        </w:tc>
      </w:tr>
      <w:tr>
        <w:trPr>
          <w:cantSplit/>
        </w:trPr>
        <w:tc>
          <w:tcPr>
            <w:tcW w:type="dxa" w:w="1440"/>
            <w:vAlign w:val="center"/>
            <w:tcMar>
              <w:top w:w="55" w:type="dxa"/>
              <w:left w:w="55" w:type="dxa"/>
              <w:bottom w:w="55" w:type="dxa"/>
              <w:right w:w="55" w:type="dxa"/>
            </w:tcMar>
          </w:tcPr>
          <w:p>
            <w:pPr>
              <w:spacing w:after="40" w:before="40"/>
            </w:pPr>
            <w:r>
              <w:rPr>
                <w:b w:val="0"/>
                <w:sz w:val="21"/>
              </w:rPr>
              <w:t>C3 Societal pathway</w:t>
            </w:r>
          </w:p>
        </w:tc>
        <w:tc>
          <w:tcPr>
            <w:tcW w:type="dxa" w:w="6336"/>
            <w:vAlign w:val="center"/>
            <w:tcMar>
              <w:top w:w="55" w:type="dxa"/>
              <w:left w:w="55" w:type="dxa"/>
              <w:bottom w:w="55" w:type="dxa"/>
              <w:right w:w="55" w:type="dxa"/>
            </w:tcMar>
          </w:tcPr>
          <w:p>
            <w:pPr>
              <w:spacing w:after="40" w:before="40"/>
            </w:pPr>
            <w:r>
              <w:rPr>
                <w:b w:val="0"/>
                <w:sz w:val="21"/>
              </w:rPr>
              <w:t>Specific links from capability to durable production, knowledge access or institutional change.</w:t>
            </w:r>
          </w:p>
        </w:tc>
        <w:tc>
          <w:tcPr>
            <w:tcW w:type="dxa" w:w="2448"/>
            <w:vAlign w:val="center"/>
            <w:tcMar>
              <w:top w:w="55" w:type="dxa"/>
              <w:left w:w="55" w:type="dxa"/>
              <w:bottom w:w="55" w:type="dxa"/>
              <w:right w:w="55" w:type="dxa"/>
            </w:tcMar>
          </w:tcPr>
          <w:p>
            <w:pPr>
              <w:spacing w:after="40" w:before="40"/>
            </w:pPr>
            <w:r>
              <w:rPr>
                <w:b w:val="0"/>
                <w:sz w:val="21"/>
              </w:rPr>
              <w:t>Partial; later links are inference</w:t>
            </w:r>
          </w:p>
        </w:tc>
      </w:tr>
      <w:tr>
        <w:trPr>
          <w:cantSplit/>
        </w:trPr>
        <w:tc>
          <w:tcPr>
            <w:tcW w:type="dxa" w:w="1440"/>
            <w:vAlign w:val="center"/>
            <w:tcMar>
              <w:top w:w="55" w:type="dxa"/>
              <w:left w:w="55" w:type="dxa"/>
              <w:bottom w:w="55" w:type="dxa"/>
              <w:right w:w="55" w:type="dxa"/>
            </w:tcMar>
          </w:tcPr>
          <w:p>
            <w:pPr>
              <w:spacing w:after="40" w:before="40"/>
            </w:pPr>
            <w:r>
              <w:rPr>
                <w:b w:val="0"/>
                <w:sz w:val="21"/>
              </w:rPr>
              <w:t>C4 Constraints</w:t>
            </w:r>
          </w:p>
        </w:tc>
        <w:tc>
          <w:tcPr>
            <w:tcW w:type="dxa" w:w="6336"/>
            <w:vAlign w:val="center"/>
            <w:tcMar>
              <w:top w:w="55" w:type="dxa"/>
              <w:left w:w="55" w:type="dxa"/>
              <w:bottom w:w="55" w:type="dxa"/>
              <w:right w:w="55" w:type="dxa"/>
            </w:tcMar>
          </w:tcPr>
          <w:p>
            <w:pPr>
              <w:spacing w:after="40" w:before="40"/>
            </w:pPr>
            <w:r>
              <w:rPr>
                <w:b w:val="0"/>
                <w:sz w:val="21"/>
              </w:rPr>
              <w:t>Reliability, skills, data, infrastructure, access and governance bottlenecks.</w:t>
            </w:r>
          </w:p>
        </w:tc>
        <w:tc>
          <w:tcPr>
            <w:tcW w:type="dxa" w:w="2448"/>
            <w:vAlign w:val="center"/>
            <w:tcMar>
              <w:top w:w="55" w:type="dxa"/>
              <w:left w:w="55" w:type="dxa"/>
              <w:bottom w:w="55" w:type="dxa"/>
              <w:right w:w="55" w:type="dxa"/>
            </w:tcMar>
          </w:tcPr>
          <w:p>
            <w:pPr>
              <w:spacing w:after="40" w:before="40"/>
            </w:pPr>
            <w:r>
              <w:rPr>
                <w:b w:val="0"/>
                <w:sz w:val="21"/>
              </w:rPr>
              <w:t>Partial; important unknowns remain</w:t>
            </w:r>
          </w:p>
        </w:tc>
      </w:tr>
    </w:tbl>
    <w:p>
      <w:r>
        <w:br w:type="page"/>
      </w:r>
    </w:p>
    <w:p>
      <w:pPr>
        <w:pStyle w:val="Heading1"/>
      </w:pPr>
      <w:r>
        <w:t>C Three level finding and decision rule</w:t>
      </w:r>
    </w:p>
    <w:p>
      <w:r>
        <w:t>Incremental means an evidenced improvement within an existing process without an established new capability class. Breakthrough requires credible C1 support. Potentially Promethean additionally requires credible breadth and a specific societal pathway supported at its upstream links, with unresolved constraints exposed. Actual civilization-level change is a stronger claim than potential. These are operational definitions based on the assignment; detailed lecture terminology was not supplied.</w:t>
      </w:r>
    </w:p>
    <w:p>
      <w:r>
        <w:t>ET generally: a conditional pathway is credible enough for a provisional higher label. Reusable text and code generation could reduce some knowledge-production costs, broaden participation in those activities and change how work is organized. Only the upstream task links have direct support here. Durability and later institutional effects remain inferred. A skeptical reviewer could reasonably retain breakthrough while qualifying the upper possibility.</w:t>
      </w:r>
    </w:p>
    <w:p>
      <w:r>
        <w:t>ET for this application: an operational improvement with unmeasured benefit. RAG alone does not establish screenshot extraction, product-image matching, mockup design or Canva transfer. ET in this organization: consider a controlled comparison using approved evidence; defer performance claims where source ownership or technical review is absent.</w:t>
      </w:r>
    </w:p>
    <w:p>
      <w:pPr>
        <w:pStyle w:val="Heading1"/>
      </w:pPr>
      <w:r>
        <w:t>D Evidence for and against</w:t>
      </w:r>
    </w:p>
    <w:p>
      <w:r>
        <w:t>For the higher label, S8 supports a reusable capability distinction. S1’s writing experiment reported 40% lower task time; S6’s assigned programming task reported 55.8% faster completion. These different studies support upstream links, not a pooled productivity estimate, durable societal transformation or this complete workflow.</w:t>
      </w:r>
    </w:p>
    <w:p>
      <w:r>
        <w:t>The strongest opposing interpretation is that gains remain uneven and costly to integrate. S7 found 19% longer completion time across 246 tasks involving 16 experienced developers. Its authors’ S9 update warns against treating the older estimate as a universal current rate. S3 challenges claims of already-realized broad economic effects, but cannot disprove long-run potential. Its full methods remain unverified here. Incomparable outcomes are not averaged.</w:t>
      </w:r>
    </w:p>
    <w:p>
      <w:pPr>
        <w:pStyle w:val="Heading1"/>
      </w:pPr>
      <w:r>
        <w:t>D Source register and verification</w:t>
      </w:r>
    </w:p>
    <w:p>
      <w:pPr>
        <w:spacing w:after="60"/>
      </w:pPr>
      <w:r>
        <w:rPr>
          <w:sz w:val="19"/>
        </w:rPr>
        <w:t xml:space="preserve">S1 | </w:t>
      </w:r>
      <w:hyperlink r:id="rId12">
        <w:r>
          <w:rPr>
            <w:color w:val="000000"/>
            <w:u w:val="single"/>
          </w:rPr>
          <w:t>Writing experiment | 2023</w:t>
        </w:r>
      </w:hyperlink>
    </w:p>
    <w:p>
      <w:pPr>
        <w:spacing w:after="60"/>
      </w:pPr>
      <w:r>
        <w:rPr>
          <w:sz w:val="19"/>
        </w:rPr>
        <w:t xml:space="preserve">S2 | </w:t>
      </w:r>
      <w:hyperlink r:id="rId13">
        <w:r>
          <w:rPr>
            <w:color w:val="000000"/>
            <w:u w:val="single"/>
          </w:rPr>
          <w:t>Customer-support field study | published 2025</w:t>
        </w:r>
      </w:hyperlink>
    </w:p>
    <w:p>
      <w:pPr>
        <w:spacing w:after="60"/>
      </w:pPr>
      <w:r>
        <w:rPr>
          <w:sz w:val="19"/>
        </w:rPr>
        <w:t xml:space="preserve">S3 | </w:t>
      </w:r>
      <w:hyperlink r:id="rId14">
        <w:r>
          <w:rPr>
            <w:color w:val="000000"/>
            <w:u w:val="single"/>
          </w:rPr>
          <w:t>Danish labor-market author account | 6 October 2026</w:t>
        </w:r>
      </w:hyperlink>
    </w:p>
    <w:p>
      <w:pPr>
        <w:spacing w:after="60"/>
      </w:pPr>
      <w:r>
        <w:rPr>
          <w:sz w:val="19"/>
        </w:rPr>
        <w:t xml:space="preserve">S4 | </w:t>
      </w:r>
      <w:hyperlink r:id="rId15">
        <w:r>
          <w:rPr>
            <w:color w:val="000000"/>
            <w:u w:val="single"/>
          </w:rPr>
          <w:t>NIST Generative AI Profile | July 2024</w:t>
        </w:r>
      </w:hyperlink>
    </w:p>
    <w:p>
      <w:pPr>
        <w:spacing w:after="60"/>
      </w:pPr>
      <w:r>
        <w:rPr>
          <w:sz w:val="19"/>
        </w:rPr>
        <w:t xml:space="preserve">S5 | </w:t>
      </w:r>
      <w:hyperlink r:id="rId16">
        <w:r>
          <w:rPr>
            <w:color w:val="000000"/>
            <w:u w:val="single"/>
          </w:rPr>
          <w:t>Original RAG research | 2020 with 2021 revision</w:t>
        </w:r>
      </w:hyperlink>
    </w:p>
    <w:p>
      <w:pPr>
        <w:spacing w:after="60"/>
      </w:pPr>
      <w:r>
        <w:rPr>
          <w:sz w:val="19"/>
        </w:rPr>
        <w:t xml:space="preserve">S6 | </w:t>
      </w:r>
      <w:hyperlink r:id="rId17">
        <w:r>
          <w:rPr>
            <w:color w:val="000000"/>
            <w:u w:val="single"/>
          </w:rPr>
          <w:t>Controlled programming experiment | 2023</w:t>
        </w:r>
      </w:hyperlink>
    </w:p>
    <w:p>
      <w:pPr>
        <w:spacing w:after="60"/>
      </w:pPr>
      <w:r>
        <w:rPr>
          <w:sz w:val="19"/>
        </w:rPr>
        <w:t xml:space="preserve">S7 | </w:t>
      </w:r>
      <w:hyperlink r:id="rId18">
        <w:r>
          <w:rPr>
            <w:color w:val="000000"/>
            <w:u w:val="single"/>
          </w:rPr>
          <w:t>METR experienced-developer trial | early 2025 tools</w:t>
        </w:r>
      </w:hyperlink>
    </w:p>
    <w:p>
      <w:pPr>
        <w:spacing w:after="60"/>
      </w:pPr>
      <w:r>
        <w:rPr>
          <w:sz w:val="19"/>
        </w:rPr>
        <w:t xml:space="preserve">S8 | </w:t>
      </w:r>
      <w:hyperlink r:id="rId19">
        <w:r>
          <w:rPr>
            <w:color w:val="000000"/>
            <w:u w:val="single"/>
          </w:rPr>
          <w:t>Few-shot language-model study | 2020</w:t>
        </w:r>
      </w:hyperlink>
    </w:p>
    <w:p>
      <w:pPr>
        <w:spacing w:after="60"/>
      </w:pPr>
      <w:r>
        <w:rPr>
          <w:sz w:val="19"/>
        </w:rPr>
        <w:t xml:space="preserve">S9 | </w:t>
      </w:r>
      <w:hyperlink r:id="rId20">
        <w:r>
          <w:rPr>
            <w:color w:val="000000"/>
            <w:u w:val="single"/>
          </w:rPr>
          <w:t>METR measurement update | 24 February 2026</w:t>
        </w:r>
      </w:hyperlink>
    </w:p>
    <w:p>
      <w:r>
        <w:t>S1 to S5 were checked on 19 October; S6 to S9 on 20 October 2026. Dates describe the studies, not current universal performance. Full URLs, source limitations and method locations are in source_register.json. S3 is an original researcher account because direct full-paper access failed.</w:t>
      </w:r>
    </w:p>
    <w:p>
      <w:r>
        <w:br w:type="page"/>
      </w:r>
    </w:p>
    <w:p>
      <w:pPr>
        <w:pStyle w:val="Heading1"/>
      </w:pPr>
      <w:r>
        <w:t>D Primary and contrast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024"/>
        <w:gridCol w:w="5184"/>
      </w:tblGrid>
      <w:tr>
        <w:trPr>
          <w:cantSplit/>
          <w:tblHeader/>
        </w:trPr>
        <w:tc>
          <w:tcPr>
            <w:tcW w:type="dxa" w:w="2016"/>
            <w:vAlign w:val="center"/>
            <w:tcMar>
              <w:top w:w="55" w:type="dxa"/>
              <w:left w:w="55" w:type="dxa"/>
              <w:bottom w:w="55" w:type="dxa"/>
              <w:right w:w="55" w:type="dxa"/>
            </w:tcMar>
            <w:shd w:fill="E8EDF2"/>
          </w:tcPr>
          <w:p>
            <w:pPr>
              <w:spacing w:after="40" w:before="40"/>
            </w:pPr>
            <w:r>
              <w:rPr>
                <w:b/>
                <w:sz w:val="21"/>
              </w:rPr>
              <w:t>Case</w:t>
            </w:r>
          </w:p>
        </w:tc>
        <w:tc>
          <w:tcPr>
            <w:tcW w:type="dxa" w:w="3024"/>
            <w:vAlign w:val="center"/>
            <w:tcMar>
              <w:top w:w="55" w:type="dxa"/>
              <w:left w:w="55" w:type="dxa"/>
              <w:bottom w:w="55" w:type="dxa"/>
              <w:right w:w="55" w:type="dxa"/>
            </w:tcMar>
            <w:shd w:fill="E8EDF2"/>
          </w:tcPr>
          <w:p>
            <w:pPr>
              <w:spacing w:after="40" w:before="40"/>
            </w:pPr>
            <w:r>
              <w:rPr>
                <w:b/>
                <w:sz w:val="21"/>
              </w:rPr>
              <w:t>Broad finding</w:t>
            </w:r>
          </w:p>
        </w:tc>
        <w:tc>
          <w:tcPr>
            <w:tcW w:type="dxa" w:w="5184"/>
            <w:vAlign w:val="center"/>
            <w:tcMar>
              <w:top w:w="55" w:type="dxa"/>
              <w:left w:w="55" w:type="dxa"/>
              <w:bottom w:w="55" w:type="dxa"/>
              <w:right w:w="55" w:type="dxa"/>
            </w:tcMar>
            <w:shd w:fill="E8EDF2"/>
          </w:tcPr>
          <w:p>
            <w:pPr>
              <w:spacing w:after="40" w:before="40"/>
            </w:pPr>
            <w:r>
              <w:rPr>
                <w:b/>
                <w:sz w:val="21"/>
              </w:rPr>
              <w:t>Bounded implication</w:t>
            </w:r>
          </w:p>
        </w:tc>
      </w:tr>
      <w:tr>
        <w:trPr>
          <w:cantSplit/>
        </w:trPr>
        <w:tc>
          <w:tcPr>
            <w:tcW w:type="dxa" w:w="2016"/>
            <w:vAlign w:val="center"/>
            <w:tcMar>
              <w:top w:w="55" w:type="dxa"/>
              <w:left w:w="55" w:type="dxa"/>
              <w:bottom w:w="55" w:type="dxa"/>
              <w:right w:w="55" w:type="dxa"/>
            </w:tcMar>
          </w:tcPr>
          <w:p>
            <w:pPr>
              <w:spacing w:after="40" w:before="40"/>
            </w:pPr>
            <w:r>
              <w:rPr>
                <w:b w:val="0"/>
                <w:sz w:val="21"/>
              </w:rPr>
              <w:t>Primary textile team</w:t>
            </w:r>
          </w:p>
        </w:tc>
        <w:tc>
          <w:tcPr>
            <w:tcW w:type="dxa" w:w="3024"/>
            <w:vAlign w:val="center"/>
            <w:tcMar>
              <w:top w:w="55" w:type="dxa"/>
              <w:left w:w="55" w:type="dxa"/>
              <w:bottom w:w="55" w:type="dxa"/>
              <w:right w:w="55" w:type="dxa"/>
            </w:tcMar>
          </w:tcPr>
          <w:p>
            <w:pPr>
              <w:spacing w:after="40" w:before="40"/>
            </w:pPr>
            <w:r>
              <w:rPr>
                <w:b w:val="0"/>
                <w:sz w:val="21"/>
              </w:rPr>
              <w:t>Potentially Promethean, provisional</w:t>
            </w:r>
          </w:p>
        </w:tc>
        <w:tc>
          <w:tcPr>
            <w:tcW w:type="dxa" w:w="5184"/>
            <w:vAlign w:val="center"/>
            <w:tcMar>
              <w:top w:w="55" w:type="dxa"/>
              <w:left w:w="55" w:type="dxa"/>
              <w:bottom w:w="55" w:type="dxa"/>
              <w:right w:w="55" w:type="dxa"/>
            </w:tcMar>
          </w:tcPr>
          <w:p>
            <w:pPr>
              <w:spacing w:after="40" w:before="40"/>
            </w:pPr>
            <w:r>
              <w:rPr>
                <w:b w:val="0"/>
                <w:sz w:val="21"/>
              </w:rPr>
              <w:t>Consider approved internal comparison</w:t>
            </w:r>
          </w:p>
        </w:tc>
      </w:tr>
      <w:tr>
        <w:trPr>
          <w:cantSplit/>
        </w:trPr>
        <w:tc>
          <w:tcPr>
            <w:tcW w:type="dxa" w:w="2016"/>
            <w:vAlign w:val="center"/>
            <w:tcMar>
              <w:top w:w="55" w:type="dxa"/>
              <w:left w:w="55" w:type="dxa"/>
              <w:bottom w:w="55" w:type="dxa"/>
              <w:right w:w="55" w:type="dxa"/>
            </w:tcMar>
          </w:tcPr>
          <w:p>
            <w:pPr>
              <w:spacing w:after="40" w:before="40"/>
            </w:pPr>
            <w:r>
              <w:rPr>
                <w:b w:val="0"/>
                <w:sz w:val="21"/>
              </w:rPr>
              <w:t>Safety supplier</w:t>
            </w:r>
          </w:p>
        </w:tc>
        <w:tc>
          <w:tcPr>
            <w:tcW w:type="dxa" w:w="3024"/>
            <w:vAlign w:val="center"/>
            <w:tcMar>
              <w:top w:w="55" w:type="dxa"/>
              <w:left w:w="55" w:type="dxa"/>
              <w:bottom w:w="55" w:type="dxa"/>
              <w:right w:w="55" w:type="dxa"/>
            </w:tcMar>
          </w:tcPr>
          <w:p>
            <w:pPr>
              <w:spacing w:after="40" w:before="40"/>
            </w:pPr>
            <w:r>
              <w:rPr>
                <w:b w:val="0"/>
                <w:sz w:val="21"/>
              </w:rPr>
              <w:t>Same qualified significance</w:t>
            </w:r>
          </w:p>
        </w:tc>
        <w:tc>
          <w:tcPr>
            <w:tcW w:type="dxa" w:w="5184"/>
            <w:vAlign w:val="center"/>
            <w:tcMar>
              <w:top w:w="55" w:type="dxa"/>
              <w:left w:w="55" w:type="dxa"/>
              <w:bottom w:w="55" w:type="dxa"/>
              <w:right w:w="55" w:type="dxa"/>
            </w:tcMar>
          </w:tcPr>
          <w:p>
            <w:pPr>
              <w:spacing w:after="40" w:before="40"/>
            </w:pPr>
            <w:r>
              <w:rPr>
                <w:b w:val="0"/>
                <w:sz w:val="21"/>
              </w:rPr>
              <w:t>Defer performance claims until source controls and technical review exist</w:t>
            </w:r>
          </w:p>
        </w:tc>
      </w:tr>
      <w:tr>
        <w:trPr>
          <w:cantSplit/>
        </w:trPr>
        <w:tc>
          <w:tcPr>
            <w:tcW w:type="dxa" w:w="2016"/>
            <w:vAlign w:val="center"/>
            <w:tcMar>
              <w:top w:w="55" w:type="dxa"/>
              <w:left w:w="55" w:type="dxa"/>
              <w:bottom w:w="55" w:type="dxa"/>
              <w:right w:w="55" w:type="dxa"/>
            </w:tcMar>
          </w:tcPr>
          <w:p>
            <w:pPr>
              <w:spacing w:after="40" w:before="40"/>
            </w:pPr>
            <w:r>
              <w:rPr>
                <w:b w:val="0"/>
                <w:sz w:val="21"/>
              </w:rPr>
              <w:t>Posture only</w:t>
            </w:r>
          </w:p>
        </w:tc>
        <w:tc>
          <w:tcPr>
            <w:tcW w:type="dxa" w:w="3024"/>
            <w:vAlign w:val="center"/>
            <w:tcMar>
              <w:top w:w="55" w:type="dxa"/>
              <w:left w:w="55" w:type="dxa"/>
              <w:bottom w:w="55" w:type="dxa"/>
              <w:right w:w="55" w:type="dxa"/>
            </w:tcMar>
          </w:tcPr>
          <w:p>
            <w:pPr>
              <w:spacing w:after="40" w:before="40"/>
            </w:pPr>
            <w:r>
              <w:rPr>
                <w:b w:val="0"/>
                <w:sz w:val="21"/>
              </w:rPr>
              <w:t>Same qualified significance</w:t>
            </w:r>
          </w:p>
        </w:tc>
        <w:tc>
          <w:tcPr>
            <w:tcW w:type="dxa" w:w="5184"/>
            <w:vAlign w:val="center"/>
            <w:tcMar>
              <w:top w:w="55" w:type="dxa"/>
              <w:left w:w="55" w:type="dxa"/>
              <w:bottom w:w="55" w:type="dxa"/>
              <w:right w:w="55" w:type="dxa"/>
            </w:tcMar>
          </w:tcPr>
          <w:p>
            <w:pPr>
              <w:spacing w:after="40" w:before="40"/>
            </w:pPr>
            <w:r>
              <w:rPr>
                <w:b w:val="0"/>
                <w:sz w:val="21"/>
              </w:rPr>
              <w:t>Earlier learning may be considered; approval standards stay</w:t>
            </w:r>
          </w:p>
        </w:tc>
      </w:tr>
      <w:tr>
        <w:trPr>
          <w:cantSplit/>
        </w:trPr>
        <w:tc>
          <w:tcPr>
            <w:tcW w:type="dxa" w:w="2016"/>
            <w:vAlign w:val="center"/>
            <w:tcMar>
              <w:top w:w="55" w:type="dxa"/>
              <w:left w:w="55" w:type="dxa"/>
              <w:bottom w:w="55" w:type="dxa"/>
              <w:right w:w="55" w:type="dxa"/>
            </w:tcMar>
          </w:tcPr>
          <w:p>
            <w:pPr>
              <w:spacing w:after="40" w:before="40"/>
            </w:pPr>
            <w:r>
              <w:rPr>
                <w:b w:val="0"/>
                <w:sz w:val="21"/>
              </w:rPr>
              <w:t>Hype only</w:t>
            </w:r>
          </w:p>
        </w:tc>
        <w:tc>
          <w:tcPr>
            <w:tcW w:type="dxa" w:w="3024"/>
            <w:vAlign w:val="center"/>
            <w:tcMar>
              <w:top w:w="55" w:type="dxa"/>
              <w:left w:w="55" w:type="dxa"/>
              <w:bottom w:w="55" w:type="dxa"/>
              <w:right w:w="55" w:type="dxa"/>
            </w:tcMar>
          </w:tcPr>
          <w:p>
            <w:pPr>
              <w:spacing w:after="40" w:before="40"/>
            </w:pPr>
            <w:r>
              <w:rPr>
                <w:b w:val="0"/>
                <w:sz w:val="21"/>
              </w:rPr>
              <w:t>Same qualified significance</w:t>
            </w:r>
          </w:p>
        </w:tc>
        <w:tc>
          <w:tcPr>
            <w:tcW w:type="dxa" w:w="5184"/>
            <w:vAlign w:val="center"/>
            <w:tcMar>
              <w:top w:w="55" w:type="dxa"/>
              <w:left w:w="55" w:type="dxa"/>
              <w:bottom w:w="55" w:type="dxa"/>
              <w:right w:w="55" w:type="dxa"/>
            </w:tcMar>
          </w:tcPr>
          <w:p>
            <w:pPr>
              <w:spacing w:after="40" w:before="40"/>
            </w:pPr>
            <w:r>
              <w:rPr>
                <w:b w:val="0"/>
                <w:sz w:val="21"/>
              </w:rPr>
              <w:t>Refuse automatic publication</w:t>
            </w:r>
          </w:p>
        </w:tc>
      </w:tr>
      <w:tr>
        <w:trPr>
          <w:cantSplit/>
        </w:trPr>
        <w:tc>
          <w:tcPr>
            <w:tcW w:type="dxa" w:w="2016"/>
            <w:vAlign w:val="center"/>
            <w:tcMar>
              <w:top w:w="55" w:type="dxa"/>
              <w:left w:w="55" w:type="dxa"/>
              <w:bottom w:w="55" w:type="dxa"/>
              <w:right w:w="55" w:type="dxa"/>
            </w:tcMar>
          </w:tcPr>
          <w:p>
            <w:pPr>
              <w:spacing w:after="40" w:before="40"/>
            </w:pPr>
            <w:r>
              <w:rPr>
                <w:b w:val="0"/>
                <w:sz w:val="21"/>
              </w:rPr>
              <w:t>Undefined technology</w:t>
            </w:r>
          </w:p>
        </w:tc>
        <w:tc>
          <w:tcPr>
            <w:tcW w:type="dxa" w:w="3024"/>
            <w:vAlign w:val="center"/>
            <w:tcMar>
              <w:top w:w="55" w:type="dxa"/>
              <w:left w:w="55" w:type="dxa"/>
              <w:bottom w:w="55" w:type="dxa"/>
              <w:right w:w="55" w:type="dxa"/>
            </w:tcMar>
          </w:tcPr>
          <w:p>
            <w:pPr>
              <w:spacing w:after="40" w:before="40"/>
            </w:pPr>
            <w:r>
              <w:rPr>
                <w:b w:val="0"/>
                <w:sz w:val="21"/>
              </w:rPr>
              <w:t>Abstain on all labels</w:t>
            </w:r>
          </w:p>
        </w:tc>
        <w:tc>
          <w:tcPr>
            <w:tcW w:type="dxa" w:w="5184"/>
            <w:vAlign w:val="center"/>
            <w:tcMar>
              <w:top w:w="55" w:type="dxa"/>
              <w:left w:w="55" w:type="dxa"/>
              <w:bottom w:w="55" w:type="dxa"/>
              <w:right w:w="55" w:type="dxa"/>
            </w:tcMar>
          </w:tcPr>
          <w:p>
            <w:pPr>
              <w:spacing w:after="40" w:before="40"/>
            </w:pPr>
            <w:r>
              <w:rPr>
                <w:b w:val="0"/>
                <w:sz w:val="21"/>
              </w:rPr>
              <w:t>Request mechanism, comparator and original evidence</w:t>
            </w:r>
          </w:p>
        </w:tc>
      </w:tr>
      <w:tr>
        <w:trPr>
          <w:cantSplit/>
        </w:trPr>
        <w:tc>
          <w:tcPr>
            <w:tcW w:type="dxa" w:w="2016"/>
            <w:vAlign w:val="center"/>
            <w:tcMar>
              <w:top w:w="55" w:type="dxa"/>
              <w:left w:w="55" w:type="dxa"/>
              <w:bottom w:w="55" w:type="dxa"/>
              <w:right w:w="55" w:type="dxa"/>
            </w:tcMar>
          </w:tcPr>
          <w:p>
            <w:pPr>
              <w:spacing w:after="40" w:before="40"/>
            </w:pPr>
            <w:r>
              <w:rPr>
                <w:b w:val="0"/>
                <w:sz w:val="21"/>
              </w:rPr>
              <w:t>Fixed template control</w:t>
            </w:r>
          </w:p>
        </w:tc>
        <w:tc>
          <w:tcPr>
            <w:tcW w:type="dxa" w:w="3024"/>
            <w:vAlign w:val="center"/>
            <w:tcMar>
              <w:top w:w="55" w:type="dxa"/>
              <w:left w:w="55" w:type="dxa"/>
              <w:bottom w:w="55" w:type="dxa"/>
              <w:right w:w="55" w:type="dxa"/>
            </w:tcMar>
          </w:tcPr>
          <w:p>
            <w:pPr>
              <w:spacing w:after="40" w:before="40"/>
            </w:pPr>
            <w:r>
              <w:rPr>
                <w:b w:val="0"/>
                <w:sz w:val="21"/>
              </w:rPr>
              <w:t>Incremental under synthetic premises</w:t>
            </w:r>
          </w:p>
        </w:tc>
        <w:tc>
          <w:tcPr>
            <w:tcW w:type="dxa" w:w="5184"/>
            <w:vAlign w:val="center"/>
            <w:tcMar>
              <w:top w:w="55" w:type="dxa"/>
              <w:left w:w="55" w:type="dxa"/>
              <w:bottom w:w="55" w:type="dxa"/>
              <w:right w:w="55" w:type="dxa"/>
            </w:tcMar>
          </w:tcPr>
          <w:p>
            <w:pPr>
              <w:spacing w:after="40" w:before="40"/>
            </w:pPr>
            <w:r>
              <w:rPr>
                <w:b w:val="0"/>
                <w:sz w:val="21"/>
              </w:rPr>
              <w:t>Consider a simpler comparator; no real saving is claimed</w:t>
            </w:r>
          </w:p>
        </w:tc>
      </w:tr>
    </w:tbl>
    <w:p>
      <w:r>
        <w:t>What stayed stable: the same technology and evidence produced a semantically consistent broad classification across four contexts. What changed: missing evidence controls and higher consequences justified local deferral. The posture-only and hype-only cases each change one field, so they isolate those influences. The safety contrast changes several factors and cannot identify a posture effect by itself.</w:t>
      </w:r>
    </w:p>
    <w:p>
      <w:pPr>
        <w:pStyle w:val="Heading1"/>
      </w:pPr>
      <w:r>
        <w:t>D Preserved failure and revision</w:t>
      </w:r>
    </w:p>
    <w:p>
      <w:r>
        <w:t>Version 0.1 used vague breadth and task evidence for a moderately confident higher label. Version 0.2 improved caution, but its breakthrough rule remained too broad; it also coupled posture with hype and derived contrast outputs from a shared response. That weakened the earlier behavioral evidence.</w:t>
      </w:r>
    </w:p>
    <w:p>
      <w:r>
        <w:t>Version 0.3 distinguishes capability from speed, adds technical and conflicting evidence, clarifies potential versus realized impact and separates the contrasts. Expected labels remain in evaluator notes rather than model-facing cases. Sources and definitions changed together, so the result cannot be attributed to prompt revision alone. All earlier records are preserved.</w:t>
      </w:r>
    </w:p>
    <w:p>
      <w:pPr>
        <w:pStyle w:val="Heading1"/>
      </w:pPr>
      <w:r>
        <w:t>D Verification and limitations</w:t>
      </w:r>
    </w:p>
    <w:p>
      <w:r>
        <w:t>Six new representative responses were composed from separate packets in this ChatGPT/Codex conversation. Reasoning is distinct, but the assistant context already knew the framework and review goals. These are not blind independent runs or repeatability evidence. Local scripts build packets and validate saved JSON; they do not call a model.</w:t>
      </w:r>
    </w:p>
    <w:p>
      <w:r>
        <w:t>All eleven saved responses pass the basic validator and declared structural constraints. Current input-isolation checks pass; the frozen core is intact. Semantic review is manual. No Canva implementation or measured saving is claimed. A fresh-context rerun would add evidence.</w:t>
      </w:r>
    </w:p>
    <w:p>
      <w:pPr>
        <w:pStyle w:val="Heading1"/>
      </w:pPr>
      <w:r>
        <w:t>D Abstention and reassessment</w:t>
      </w:r>
    </w:p>
    <w:p>
      <w:r>
        <w:t>Abstain when scope, mechanism, comparator or usable evidence is absent. Withhold a higher label when only a vague scenario exists. Strengthen potential on durable cross-setting outcomes; weaken it on repeated failures to transfer capability or on integration barriers that defeat the pathway. Local reassessment requires accepted-output quality and total effort.</w:t>
      </w:r>
    </w:p>
    <w:p>
      <w:r>
        <w:br w:type="page"/>
      </w:r>
    </w:p>
    <w:p>
      <w:pPr>
        <w:pStyle w:val="Heading1"/>
      </w:pPr>
      <w:r>
        <w:t>E Independent professional judgment</w:t>
      </w:r>
    </w:p>
    <w:p>
      <w:r>
        <w:t>I classify the technology as potentially Promethean with qualification. I am highly confident that the selected studies demonstrate useful capabilities, moderately to weakly confident in their eventual societal reach, and uncertain about the value of my own proposed application. These are qualitative judgments, not calibrated probabilities.</w:t>
      </w:r>
    </w:p>
    <w:p>
      <w:r>
        <w:t>I would give broad significance limited weight in the decision today: it supports monitoring and a bounded opportunity to learn. It cannot justify bypassing product evidence, technical review or final approval. My 80% efficiency goal remains aspirational and its metric needs to be defined. I would accept smaller savings if results are reliable and the required retouches remain manageable.</w:t>
      </w:r>
    </w:p>
    <w:p>
      <w:pPr>
        <w:pStyle w:val="Heading1"/>
      </w:pPr>
      <w:r>
        <w:t>E Self reflection</w:t>
      </w:r>
    </w:p>
    <w:p>
      <w:r>
        <w:t>My initial goal was to increase efficiency by 80% because moving raw specifications and images into marketing content takes effort. The lesson for me is that a faster first draft is not enough to establish that the workflow saves time. I still have to check technical meaning, revise wording and retouch the design. I would accept a smaller improvement if the result is reliable and those corrections remain manageable.</w:t>
      </w:r>
    </w:p>
    <w:p>
      <w:r>
        <w:t>I chose potentially Promethean as my broader judgment, while keeping its long-term effects uncertain. For my own work, I would compare the time and quality of finished content rather than judge the tool by how quickly its first draft appears. I also need to define what my 80% target means before using it to evaluate a result. That changes the question I would ask in a trial: how much work does the tool remove by the time I approve the final content?</w:t>
      </w:r>
    </w:p>
    <w:p>
      <w:pPr>
        <w:pStyle w:val="Heading1"/>
      </w:pPr>
      <w:r>
        <w:t>E Team handoff and management rule</w:t>
      </w:r>
    </w:p>
    <w:p>
      <w:r>
        <w:t>Bring the agent, criteria, strongest opposing evidence and preserved failures to the workshop. Integrated-system rule: no significance label supplies adoption permission. Require application evidence, acceptable consequences and accountable approval. Refer readiness, security, legal compliance and risk acceptance to their owners.</w:t>
      </w:r>
    </w:p>
    <w:p>
      <w:r>
        <w:t>A proposed local comparison should count preparation, checking, failed drafts, transfer and final retouching through accepted content. Agree the quality standard and what the efficiency target means before testing. No minimum saving is invented here; the owner should weigh measured savings against correction effort and consequences.</w:t>
      </w:r>
    </w:p>
    <w:p>
      <w:pPr>
        <w:pStyle w:val="Heading1"/>
      </w:pPr>
      <w:r>
        <w:t>E AI use and verification note</w:t>
      </w:r>
    </w:p>
    <w:p>
      <w:r>
        <w:t>I supplied the workflow, desired output and retouch preference. During this review I selected potentially Promethean, evidence before efficiency, and willingness to accept smaller reliable gains. ChatGPT with Codex helped draft the specialist, criteria, analyses and wording expressing those recorded inputs, checked original or official sources, and saved validation results. The prose is AI-assisted, not a verbatim quotation of my answers. No code authorship or independent experiment is attributed to me. S3 full-methods access and any more-specific lecture definition remain limitations.</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Assignment 4 | Candidate 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NYU SPS | MASY1-GC 1800 | Lucy Shen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s5930-lucy/Lucy-MASY1800-Emerging-Technologies/tree/assignment-4-promethean-agent" TargetMode="External"/><Relationship Id="rId12" Type="http://schemas.openxmlformats.org/officeDocument/2006/relationships/hyperlink" Target="https://shakkednoy.com/Noy%20Zhang%20NBER%20SI.pdf" TargetMode="External"/><Relationship Id="rId13" Type="http://schemas.openxmlformats.org/officeDocument/2006/relationships/hyperlink" Target="https://academic.oup.com/qje/article/140/2/889/7990658" TargetMode="External"/><Relationship Id="rId14" Type="http://schemas.openxmlformats.org/officeDocument/2006/relationships/hyperlink" Target="https://www.brookings.edu/articles/still-waters-rapid-currents-early-labor-market-transformation-under-generative-ai/" TargetMode="External"/><Relationship Id="rId15" Type="http://schemas.openxmlformats.org/officeDocument/2006/relationships/hyperlink" Target="https://nvlpubs.nist.gov/nistpubs/ai/NIST.AI.600-1.pdf" TargetMode="External"/><Relationship Id="rId16" Type="http://schemas.openxmlformats.org/officeDocument/2006/relationships/hyperlink" Target="https://arxiv.org/abs/2005.11401" TargetMode="External"/><Relationship Id="rId17" Type="http://schemas.openxmlformats.org/officeDocument/2006/relationships/hyperlink" Target="https://arxiv.org/abs/2302.06590" TargetMode="External"/><Relationship Id="rId18" Type="http://schemas.openxmlformats.org/officeDocument/2006/relationships/hyperlink" Target="https://metr.org/Early_2025_AI_Experienced_OS_Devs_Study-paper.pdf" TargetMode="External"/><Relationship Id="rId19" Type="http://schemas.openxmlformats.org/officeDocument/2006/relationships/hyperlink" Target="https://arxiv.org/abs/2005.14165" TargetMode="External"/><Relationship Id="rId20" Type="http://schemas.openxmlformats.org/officeDocument/2006/relationships/hyperlink" Target="https://metr.org/blog/2026-02-24-uplift-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