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t>Innovation and Disruption Agent Record</w:t>
      </w:r>
    </w:p>
    <w:p>
      <w:pPr>
        <w:jc w:val="center"/>
      </w:pPr>
      <w:r>
        <w:t>Lucy Shen</w:t>
      </w:r>
    </w:p>
    <w:p>
      <w:pPr>
        <w:jc w:val="center"/>
      </w:pPr>
      <w:r>
        <w:t>MASY1-GC 1800 Emerging Technologies | Assignment 3</w:t>
      </w:r>
    </w:p>
    <w:p>
      <w:r>
        <w:t>This record documents the specialist, conditional judgments, test evidence and revision. The working package preserves all supporting files.</w:t>
      </w:r>
    </w:p>
    <w:p>
      <w:pPr>
        <w:pStyle w:val="Heading1"/>
        <w:keepNext/>
        <w:spacing w:before="180" w:after="120"/>
      </w:pPr>
      <w:r>
        <w:t>A Agent and Version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7488"/>
      </w:tblGrid>
      <w:tr>
        <w:trPr>
          <w:cantSplit/>
          <w:tblHeader/>
        </w:trPr>
        <w:tc>
          <w:tcPr>
            <w:tcW w:type="dxa" w:w="2880"/>
            <w:tcMar>
              <w:top w:w="70" w:type="dxa"/>
              <w:start w:w="90" w:type="dxa"/>
              <w:bottom w:w="70" w:type="dxa"/>
              <w:end w:w="90" w:type="dxa"/>
            </w:tcMar>
            <w:vAlign w:val="center"/>
            <w:shd w:fill="E7EEF4"/>
            <w:tcMar>
              <w:top w:w="65" w:type="dxa"/>
              <w:left w:w="90" w:type="dxa"/>
              <w:bottom w:w="65" w:type="dxa"/>
              <w:right w:w="90" w:type="dxa"/>
            </w:tcMar>
          </w:tcPr>
          <w:p>
            <w:pPr>
              <w:spacing w:after="40" w:before="0" w:line="240" w:lineRule="auto"/>
            </w:pPr>
            <w:r>
              <w:rPr>
                <w:rFonts w:ascii="Calibri" w:hAnsi="Calibri"/>
                <w:b/>
                <w:color w:val="000000"/>
                <w:sz w:val="21"/>
              </w:rPr>
              <w:t>Field</w:t>
            </w:r>
          </w:p>
        </w:tc>
        <w:tc>
          <w:tcPr>
            <w:tcW w:type="dxa" w:w="7488"/>
            <w:tcMar>
              <w:top w:w="70" w:type="dxa"/>
              <w:start w:w="90" w:type="dxa"/>
              <w:bottom w:w="70" w:type="dxa"/>
              <w:end w:w="90" w:type="dxa"/>
            </w:tcMar>
            <w:vAlign w:val="center"/>
            <w:shd w:fill="E7EEF4"/>
            <w:tcMar>
              <w:top w:w="65" w:type="dxa"/>
              <w:left w:w="90" w:type="dxa"/>
              <w:bottom w:w="65" w:type="dxa"/>
              <w:right w:w="90" w:type="dxa"/>
            </w:tcMar>
          </w:tcPr>
          <w:p>
            <w:pPr>
              <w:spacing w:after="40" w:before="0" w:line="240" w:lineRule="auto"/>
            </w:pPr>
            <w:r>
              <w:rPr>
                <w:rFonts w:ascii="Calibri" w:hAnsi="Calibri"/>
                <w:b/>
                <w:color w:val="000000"/>
                <w:sz w:val="21"/>
              </w:rPr>
              <w:t>Student record</w:t>
            </w:r>
          </w:p>
        </w:tc>
      </w:tr>
      <w:tr>
        <w:trPr>
          <w:cantSplit/>
        </w:trPr>
        <w:tc>
          <w:tcPr>
            <w:tcW w:type="dxa" w:w="2880"/>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Student / team</w:t>
            </w:r>
          </w:p>
        </w:tc>
        <w:tc>
          <w:tcPr>
            <w:tcW w:type="dxa" w:w="7488"/>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Lucy Shen | Individual submission</w:t>
            </w:r>
          </w:p>
        </w:tc>
      </w:tr>
      <w:tr>
        <w:trPr>
          <w:cantSplit/>
        </w:trPr>
        <w:tc>
          <w:tcPr>
            <w:tcW w:type="dxa" w:w="2880"/>
            <w:tcMar>
              <w:top w:w="70" w:type="dxa"/>
              <w:start w:w="90" w:type="dxa"/>
              <w:bottom w:w="70" w:type="dxa"/>
              <w:end w:w="90" w:type="dxa"/>
            </w:tcMar>
            <w:vAlign w:val="center"/>
            <w:shd w:fill="F7F8FA"/>
            <w:tcMar>
              <w:top w:w="65" w:type="dxa"/>
              <w:left w:w="90" w:type="dxa"/>
              <w:bottom w:w="65" w:type="dxa"/>
              <w:right w:w="90" w:type="dxa"/>
            </w:tcMar>
          </w:tcPr>
          <w:p>
            <w:pPr>
              <w:spacing w:after="40" w:before="0" w:line="240" w:lineRule="auto"/>
            </w:pPr>
            <w:r>
              <w:rPr>
                <w:rFonts w:ascii="Calibri" w:hAnsi="Calibri"/>
                <w:b w:val="0"/>
                <w:color w:val="000000"/>
                <w:sz w:val="21"/>
              </w:rPr>
              <w:t>Assignment / specialist agent</w:t>
            </w:r>
          </w:p>
        </w:tc>
        <w:tc>
          <w:tcPr>
            <w:tcW w:type="dxa" w:w="7488"/>
            <w:tcMar>
              <w:top w:w="70" w:type="dxa"/>
              <w:start w:w="90" w:type="dxa"/>
              <w:bottom w:w="70" w:type="dxa"/>
              <w:end w:w="90" w:type="dxa"/>
            </w:tcMar>
            <w:vAlign w:val="center"/>
            <w:shd w:fill="F7F8FA"/>
            <w:tcMar>
              <w:top w:w="65" w:type="dxa"/>
              <w:left w:w="90" w:type="dxa"/>
              <w:bottom w:w="65" w:type="dxa"/>
              <w:right w:w="90" w:type="dxa"/>
            </w:tcMar>
          </w:tcPr>
          <w:p>
            <w:pPr>
              <w:spacing w:after="40" w:before="0" w:line="240" w:lineRule="auto"/>
            </w:pPr>
            <w:r>
              <w:rPr>
                <w:rFonts w:ascii="Calibri" w:hAnsi="Calibri"/>
                <w:b w:val="0"/>
                <w:color w:val="000000"/>
                <w:sz w:val="21"/>
              </w:rPr>
              <w:t>Assignment 3 | Innovation and Disruption Agent | Version 0.2-student</w:t>
            </w:r>
          </w:p>
        </w:tc>
      </w:tr>
      <w:tr>
        <w:trPr>
          <w:cantSplit/>
        </w:trPr>
        <w:tc>
          <w:tcPr>
            <w:tcW w:type="dxa" w:w="2880"/>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Date</w:t>
            </w:r>
          </w:p>
        </w:tc>
        <w:tc>
          <w:tcPr>
            <w:tcW w:type="dxa" w:w="7488"/>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October 12, 2026 | America/New_York</w:t>
            </w:r>
          </w:p>
        </w:tc>
      </w:tr>
      <w:tr>
        <w:trPr>
          <w:cantSplit/>
        </w:trPr>
        <w:tc>
          <w:tcPr>
            <w:tcW w:type="dxa" w:w="2880"/>
            <w:tcMar>
              <w:top w:w="70" w:type="dxa"/>
              <w:start w:w="90" w:type="dxa"/>
              <w:bottom w:w="70" w:type="dxa"/>
              <w:end w:w="90" w:type="dxa"/>
            </w:tcMar>
            <w:vAlign w:val="center"/>
            <w:shd w:fill="F7F8FA"/>
            <w:tcMar>
              <w:top w:w="65" w:type="dxa"/>
              <w:left w:w="90" w:type="dxa"/>
              <w:bottom w:w="65" w:type="dxa"/>
              <w:right w:w="90" w:type="dxa"/>
            </w:tcMar>
          </w:tcPr>
          <w:p>
            <w:pPr>
              <w:spacing w:after="40" w:before="0" w:line="240" w:lineRule="auto"/>
            </w:pPr>
            <w:r>
              <w:rPr>
                <w:rFonts w:ascii="Calibri" w:hAnsi="Calibri"/>
                <w:b w:val="0"/>
                <w:color w:val="000000"/>
                <w:sz w:val="21"/>
              </w:rPr>
              <w:t>GitHub repository</w:t>
            </w:r>
          </w:p>
        </w:tc>
        <w:tc>
          <w:tcPr>
            <w:tcW w:type="dxa" w:w="7488"/>
            <w:tcMar>
              <w:top w:w="70" w:type="dxa"/>
              <w:start w:w="90" w:type="dxa"/>
              <w:bottom w:w="70" w:type="dxa"/>
              <w:end w:w="90" w:type="dxa"/>
            </w:tcMar>
            <w:vAlign w:val="center"/>
            <w:shd w:fill="F7F8FA"/>
            <w:tcMar>
              <w:top w:w="65" w:type="dxa"/>
              <w:left w:w="90" w:type="dxa"/>
              <w:bottom w:w="65" w:type="dxa"/>
              <w:right w:w="90" w:type="dxa"/>
            </w:tcMar>
          </w:tcPr>
          <w:p>
            <w:pPr>
              <w:spacing w:after="40" w:before="0" w:line="240" w:lineRule="auto"/>
            </w:pPr>
            <w:r>
              <w:rPr>
                <w:rFonts w:ascii="Calibri" w:hAnsi="Calibri"/>
                <w:b w:val="0"/>
                <w:color w:val="000000"/>
                <w:sz w:val="21"/>
              </w:rPr>
              <w:t>https://github.com/cs5930-lucy/Lucy-MASY1800-Emerging-Technologies</w:t>
              <w:br/>
              <w:t>Private repository. Assignment branch and analyzed commit are recorded below.</w:t>
            </w:r>
          </w:p>
        </w:tc>
      </w:tr>
      <w:tr>
        <w:trPr>
          <w:cantSplit/>
        </w:trPr>
        <w:tc>
          <w:tcPr>
            <w:tcW w:type="dxa" w:w="2880"/>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Branch</w:t>
            </w:r>
          </w:p>
        </w:tc>
        <w:tc>
          <w:tcPr>
            <w:tcW w:type="dxa" w:w="7488"/>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assignment-3-innovation-disruption</w:t>
            </w:r>
          </w:p>
        </w:tc>
      </w:tr>
      <w:tr>
        <w:trPr>
          <w:cantSplit/>
        </w:trPr>
        <w:tc>
          <w:tcPr>
            <w:tcW w:type="dxa" w:w="2880"/>
            <w:tcMar>
              <w:top w:w="70" w:type="dxa"/>
              <w:start w:w="90" w:type="dxa"/>
              <w:bottom w:w="70" w:type="dxa"/>
              <w:end w:w="90" w:type="dxa"/>
            </w:tcMar>
            <w:vAlign w:val="center"/>
            <w:shd w:fill="F7F8FA"/>
            <w:tcMar>
              <w:top w:w="65" w:type="dxa"/>
              <w:left w:w="90" w:type="dxa"/>
              <w:bottom w:w="65" w:type="dxa"/>
              <w:right w:w="90" w:type="dxa"/>
            </w:tcMar>
          </w:tcPr>
          <w:p>
            <w:pPr>
              <w:spacing w:after="40" w:before="0" w:line="240" w:lineRule="auto"/>
            </w:pPr>
            <w:r>
              <w:rPr>
                <w:rFonts w:ascii="Calibri" w:hAnsi="Calibri"/>
                <w:b w:val="0"/>
                <w:color w:val="000000"/>
                <w:sz w:val="21"/>
              </w:rPr>
              <w:t>Commit</w:t>
            </w:r>
          </w:p>
        </w:tc>
        <w:tc>
          <w:tcPr>
            <w:tcW w:type="dxa" w:w="7488"/>
            <w:tcMar>
              <w:top w:w="70" w:type="dxa"/>
              <w:start w:w="90" w:type="dxa"/>
              <w:bottom w:w="70" w:type="dxa"/>
              <w:end w:w="90" w:type="dxa"/>
            </w:tcMar>
            <w:vAlign w:val="center"/>
            <w:shd w:fill="F7F8FA"/>
            <w:tcMar>
              <w:top w:w="65" w:type="dxa"/>
              <w:left w:w="90" w:type="dxa"/>
              <w:bottom w:w="65" w:type="dxa"/>
              <w:right w:w="90" w:type="dxa"/>
            </w:tcMar>
          </w:tcPr>
          <w:p>
            <w:pPr>
              <w:spacing w:after="40" w:before="0" w:line="240" w:lineRule="auto"/>
            </w:pPr>
            <w:r>
              <w:rPr>
                <w:rFonts w:ascii="Calibri" w:hAnsi="Calibri"/>
                <w:b w:val="0"/>
                <w:color w:val="000000"/>
                <w:sz w:val="21"/>
              </w:rPr>
              <w:t>866b6997bc55707b1f2052f9c442a6bd25188377</w:t>
            </w:r>
          </w:p>
        </w:tc>
      </w:tr>
      <w:tr>
        <w:trPr>
          <w:cantSplit/>
        </w:trPr>
        <w:tc>
          <w:tcPr>
            <w:tcW w:type="dxa" w:w="2880"/>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Frozen scaffold version</w:t>
            </w:r>
          </w:p>
        </w:tc>
        <w:tc>
          <w:tcPr>
            <w:tcW w:type="dxa" w:w="7488"/>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MASY1800_ET_Agent_Scaffold_v1_0 | Frozen core integrity check passed</w:t>
            </w:r>
          </w:p>
        </w:tc>
      </w:tr>
    </w:tbl>
    <w:p>
      <w:pPr>
        <w:pStyle w:val="Heading1"/>
        <w:keepNext/>
        <w:spacing w:before="180" w:after="120"/>
      </w:pPr>
      <w:r>
        <w:t>B Specialist Purpose and Context</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7488"/>
      </w:tblGrid>
      <w:tr>
        <w:trPr>
          <w:cantSplit/>
          <w:tblHeader/>
        </w:trPr>
        <w:tc>
          <w:tcPr>
            <w:tcW w:type="dxa" w:w="2880"/>
            <w:tcMar>
              <w:top w:w="70" w:type="dxa"/>
              <w:start w:w="90" w:type="dxa"/>
              <w:bottom w:w="70" w:type="dxa"/>
              <w:end w:w="90" w:type="dxa"/>
            </w:tcMar>
            <w:vAlign w:val="center"/>
            <w:shd w:fill="E7EEF4"/>
            <w:tcMar>
              <w:top w:w="65" w:type="dxa"/>
              <w:left w:w="90" w:type="dxa"/>
              <w:bottom w:w="65" w:type="dxa"/>
              <w:right w:w="90" w:type="dxa"/>
            </w:tcMar>
          </w:tcPr>
          <w:p>
            <w:pPr>
              <w:spacing w:after="40" w:before="0" w:line="240" w:lineRule="auto"/>
            </w:pPr>
            <w:r>
              <w:rPr>
                <w:rFonts w:ascii="Calibri" w:hAnsi="Calibri"/>
                <w:b/>
                <w:color w:val="000000"/>
                <w:sz w:val="21"/>
              </w:rPr>
              <w:t>Field</w:t>
            </w:r>
          </w:p>
        </w:tc>
        <w:tc>
          <w:tcPr>
            <w:tcW w:type="dxa" w:w="7488"/>
            <w:tcMar>
              <w:top w:w="70" w:type="dxa"/>
              <w:start w:w="90" w:type="dxa"/>
              <w:bottom w:w="70" w:type="dxa"/>
              <w:end w:w="90" w:type="dxa"/>
            </w:tcMar>
            <w:vAlign w:val="center"/>
            <w:shd w:fill="E7EEF4"/>
            <w:tcMar>
              <w:top w:w="65" w:type="dxa"/>
              <w:left w:w="90" w:type="dxa"/>
              <w:bottom w:w="65" w:type="dxa"/>
              <w:right w:w="90" w:type="dxa"/>
            </w:tcMar>
          </w:tcPr>
          <w:p>
            <w:pPr>
              <w:spacing w:after="40" w:before="0" w:line="240" w:lineRule="auto"/>
            </w:pPr>
            <w:r>
              <w:rPr>
                <w:rFonts w:ascii="Calibri" w:hAnsi="Calibri"/>
                <w:b/>
                <w:color w:val="000000"/>
                <w:sz w:val="21"/>
              </w:rPr>
              <w:t>Student record</w:t>
            </w:r>
          </w:p>
        </w:tc>
      </w:tr>
      <w:tr>
        <w:trPr>
          <w:cantSplit/>
        </w:trPr>
        <w:tc>
          <w:tcPr>
            <w:tcW w:type="dxa" w:w="2880"/>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Governing analytical question</w:t>
            </w:r>
          </w:p>
        </w:tc>
        <w:tc>
          <w:tcPr>
            <w:tcW w:type="dxa" w:w="7488"/>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What kind of innovation is this, and what could it create, displace or reshape in this organization’s business model?</w:t>
            </w:r>
          </w:p>
        </w:tc>
      </w:tr>
      <w:tr>
        <w:trPr>
          <w:cantSplit/>
        </w:trPr>
        <w:tc>
          <w:tcPr>
            <w:tcW w:type="dxa" w:w="2880"/>
            <w:tcMar>
              <w:top w:w="70" w:type="dxa"/>
              <w:start w:w="90" w:type="dxa"/>
              <w:bottom w:w="70" w:type="dxa"/>
              <w:end w:w="90" w:type="dxa"/>
            </w:tcMar>
            <w:vAlign w:val="center"/>
            <w:shd w:fill="F7F8FA"/>
            <w:tcMar>
              <w:top w:w="65" w:type="dxa"/>
              <w:left w:w="90" w:type="dxa"/>
              <w:bottom w:w="65" w:type="dxa"/>
              <w:right w:w="90" w:type="dxa"/>
            </w:tcMar>
          </w:tcPr>
          <w:p>
            <w:pPr>
              <w:spacing w:after="40" w:before="0" w:line="240" w:lineRule="auto"/>
            </w:pPr>
            <w:r>
              <w:rPr>
                <w:rFonts w:ascii="Calibri" w:hAnsi="Calibri"/>
                <w:b w:val="0"/>
                <w:color w:val="000000"/>
                <w:sz w:val="21"/>
              </w:rPr>
              <w:t>Emerging technology</w:t>
            </w:r>
          </w:p>
        </w:tc>
        <w:tc>
          <w:tcPr>
            <w:tcW w:type="dxa" w:w="7488"/>
            <w:tcMar>
              <w:top w:w="70" w:type="dxa"/>
              <w:start w:w="90" w:type="dxa"/>
              <w:bottom w:w="70" w:type="dxa"/>
              <w:end w:w="90" w:type="dxa"/>
            </w:tcMar>
            <w:vAlign w:val="center"/>
            <w:shd w:fill="F7F8FA"/>
            <w:tcMar>
              <w:top w:w="65" w:type="dxa"/>
              <w:left w:w="90" w:type="dxa"/>
              <w:bottom w:w="65" w:type="dxa"/>
              <w:right w:w="90" w:type="dxa"/>
            </w:tcMar>
          </w:tcPr>
          <w:p>
            <w:pPr>
              <w:spacing w:after="40" w:before="0" w:line="240" w:lineRule="auto"/>
            </w:pPr>
            <w:r>
              <w:rPr>
                <w:rFonts w:ascii="Calibri" w:hAnsi="Calibri"/>
                <w:b w:val="0"/>
                <w:color w:val="000000"/>
                <w:sz w:val="21"/>
              </w:rPr>
              <w:t>Commercially deployed generative AI for marketing text and imagery.</w:t>
            </w:r>
          </w:p>
        </w:tc>
      </w:tr>
      <w:tr>
        <w:trPr>
          <w:cantSplit/>
        </w:trPr>
        <w:tc>
          <w:tcPr>
            <w:tcW w:type="dxa" w:w="2880"/>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Intended application</w:t>
            </w:r>
          </w:p>
        </w:tc>
        <w:tc>
          <w:tcPr>
            <w:tcW w:type="dxa" w:w="7488"/>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Proposed model imagery, audience variants, captions and concept demand testing before production.</w:t>
            </w:r>
          </w:p>
        </w:tc>
      </w:tr>
      <w:tr>
        <w:trPr>
          <w:cantSplit/>
        </w:trPr>
        <w:tc>
          <w:tcPr>
            <w:tcW w:type="dxa" w:w="2880"/>
            <w:tcMar>
              <w:top w:w="70" w:type="dxa"/>
              <w:start w:w="90" w:type="dxa"/>
              <w:bottom w:w="70" w:type="dxa"/>
              <w:end w:w="90" w:type="dxa"/>
            </w:tcMar>
            <w:vAlign w:val="center"/>
            <w:shd w:fill="F7F8FA"/>
            <w:tcMar>
              <w:top w:w="65" w:type="dxa"/>
              <w:left w:w="90" w:type="dxa"/>
              <w:bottom w:w="65" w:type="dxa"/>
              <w:right w:w="90" w:type="dxa"/>
            </w:tcMar>
          </w:tcPr>
          <w:p>
            <w:pPr>
              <w:spacing w:after="40" w:before="0" w:line="240" w:lineRule="auto"/>
            </w:pPr>
            <w:r>
              <w:rPr>
                <w:rFonts w:ascii="Calibri" w:hAnsi="Calibri"/>
                <w:b w:val="0"/>
                <w:color w:val="000000"/>
                <w:sz w:val="21"/>
              </w:rPr>
              <w:t>Organization / industry</w:t>
            </w:r>
          </w:p>
        </w:tc>
        <w:tc>
          <w:tcPr>
            <w:tcW w:type="dxa" w:w="7488"/>
            <w:tcMar>
              <w:top w:w="70" w:type="dxa"/>
              <w:start w:w="90" w:type="dxa"/>
              <w:bottom w:w="70" w:type="dxa"/>
              <w:end w:w="90" w:type="dxa"/>
            </w:tcMar>
            <w:vAlign w:val="center"/>
            <w:shd w:fill="F7F8FA"/>
            <w:tcMar>
              <w:top w:w="65" w:type="dxa"/>
              <w:left w:w="90" w:type="dxa"/>
              <w:bottom w:w="65" w:type="dxa"/>
              <w:right w:w="90" w:type="dxa"/>
            </w:tcMar>
          </w:tcPr>
          <w:p>
            <w:pPr>
              <w:spacing w:after="40" w:before="0" w:line="240" w:lineRule="auto"/>
            </w:pPr>
            <w:r>
              <w:rPr>
                <w:rFonts w:ascii="Calibri" w:hAnsi="Calibri"/>
                <w:b w:val="0"/>
                <w:color w:val="000000"/>
                <w:sz w:val="21"/>
              </w:rPr>
              <w:t>Hypothetical apparel cases: Linden and Row DTC brand, B2B uniform manufacturer and luxury heritage house.</w:t>
            </w:r>
          </w:p>
        </w:tc>
      </w:tr>
      <w:tr>
        <w:trPr>
          <w:cantSplit/>
        </w:trPr>
        <w:tc>
          <w:tcPr>
            <w:tcW w:type="dxa" w:w="2880"/>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Adoption posture</w:t>
            </w:r>
          </w:p>
        </w:tc>
        <w:tc>
          <w:tcPr>
            <w:tcW w:type="dxa" w:w="7488"/>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Moderate/fast-follower in all cases. Assistant-defined test assumption, not observed company behavior.</w:t>
            </w:r>
          </w:p>
        </w:tc>
      </w:tr>
      <w:tr>
        <w:trPr>
          <w:cantSplit/>
        </w:trPr>
        <w:tc>
          <w:tcPr>
            <w:tcW w:type="dxa" w:w="2880"/>
            <w:tcMar>
              <w:top w:w="70" w:type="dxa"/>
              <w:start w:w="90" w:type="dxa"/>
              <w:bottom w:w="70" w:type="dxa"/>
              <w:end w:w="90" w:type="dxa"/>
            </w:tcMar>
            <w:vAlign w:val="center"/>
            <w:shd w:fill="F7F8FA"/>
            <w:tcMar>
              <w:top w:w="65" w:type="dxa"/>
              <w:left w:w="90" w:type="dxa"/>
              <w:bottom w:w="65" w:type="dxa"/>
              <w:right w:w="90" w:type="dxa"/>
            </w:tcMar>
          </w:tcPr>
          <w:p>
            <w:pPr>
              <w:spacing w:after="40" w:before="0" w:line="240" w:lineRule="auto"/>
            </w:pPr>
            <w:r>
              <w:rPr>
                <w:rFonts w:ascii="Calibri" w:hAnsi="Calibri"/>
                <w:b w:val="0"/>
                <w:color w:val="000000"/>
                <w:sz w:val="21"/>
              </w:rPr>
              <w:t>Risk / consequence context</w:t>
            </w:r>
          </w:p>
        </w:tc>
        <w:tc>
          <w:tcPr>
            <w:tcW w:type="dxa" w:w="7488"/>
            <w:tcMar>
              <w:top w:w="70" w:type="dxa"/>
              <w:start w:w="90" w:type="dxa"/>
              <w:bottom w:w="70" w:type="dxa"/>
              <w:end w:w="90" w:type="dxa"/>
            </w:tcMar>
            <w:vAlign w:val="center"/>
            <w:shd w:fill="F7F8FA"/>
            <w:tcMar>
              <w:top w:w="65" w:type="dxa"/>
              <w:left w:w="90" w:type="dxa"/>
              <w:bottom w:w="65" w:type="dxa"/>
              <w:right w:w="90" w:type="dxa"/>
            </w:tcMar>
          </w:tcPr>
          <w:p>
            <w:pPr>
              <w:spacing w:after="40" w:before="0" w:line="240" w:lineRule="auto"/>
            </w:pPr>
            <w:r>
              <w:rPr>
                <w:rFonts w:ascii="Calibri" w:hAnsi="Calibri"/>
                <w:b w:val="0"/>
                <w:color w:val="000000"/>
                <w:sz w:val="21"/>
              </w:rPr>
              <w:t>Potential differentiation loss, misleading garment depictions, trust loss and creative-role changes. No measured financial or customer effect is claimed.</w:t>
            </w:r>
          </w:p>
        </w:tc>
      </w:tr>
      <w:tr>
        <w:trPr>
          <w:cantSplit/>
        </w:trPr>
        <w:tc>
          <w:tcPr>
            <w:tcW w:type="dxa" w:w="2880"/>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Management question / time horizon</w:t>
            </w:r>
          </w:p>
        </w:tc>
        <w:tc>
          <w:tcPr>
            <w:tcW w:type="dxa" w:w="7488"/>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Business-model exposure over 12 months. Horizon is a test default. The final adoption decision is outside this agent’s scope.</w:t>
            </w:r>
          </w:p>
        </w:tc>
      </w:tr>
    </w:tbl>
    <w:p>
      <w:pPr>
        <w:pStyle w:val="Heading1"/>
        <w:keepNext/>
        <w:pageBreakBefore/>
        <w:spacing w:before="180" w:after="120"/>
      </w:pPr>
      <w:r>
        <w:t>C Three Level Finding</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7488"/>
      </w:tblGrid>
      <w:tr>
        <w:trPr>
          <w:cantSplit/>
          <w:tblHeader/>
        </w:trPr>
        <w:tc>
          <w:tcPr>
            <w:tcW w:type="dxa" w:w="2880"/>
            <w:tcMar>
              <w:top w:w="70" w:type="dxa"/>
              <w:start w:w="90" w:type="dxa"/>
              <w:bottom w:w="70" w:type="dxa"/>
              <w:end w:w="90" w:type="dxa"/>
            </w:tcMar>
            <w:vAlign w:val="center"/>
            <w:shd w:fill="E7EEF4"/>
            <w:tcMar>
              <w:top w:w="65" w:type="dxa"/>
              <w:left w:w="90" w:type="dxa"/>
              <w:bottom w:w="65" w:type="dxa"/>
              <w:right w:w="90" w:type="dxa"/>
            </w:tcMar>
          </w:tcPr>
          <w:p>
            <w:pPr>
              <w:spacing w:after="40" w:before="0" w:line="240" w:lineRule="auto"/>
            </w:pPr>
            <w:r>
              <w:rPr>
                <w:rFonts w:ascii="Calibri" w:hAnsi="Calibri"/>
                <w:b/>
                <w:color w:val="000000"/>
                <w:sz w:val="21"/>
              </w:rPr>
              <w:t>Field</w:t>
            </w:r>
          </w:p>
        </w:tc>
        <w:tc>
          <w:tcPr>
            <w:tcW w:type="dxa" w:w="7488"/>
            <w:tcMar>
              <w:top w:w="70" w:type="dxa"/>
              <w:start w:w="90" w:type="dxa"/>
              <w:bottom w:w="70" w:type="dxa"/>
              <w:end w:w="90" w:type="dxa"/>
            </w:tcMar>
            <w:vAlign w:val="center"/>
            <w:shd w:fill="E7EEF4"/>
            <w:tcMar>
              <w:top w:w="65" w:type="dxa"/>
              <w:left w:w="90" w:type="dxa"/>
              <w:bottom w:w="65" w:type="dxa"/>
              <w:right w:w="90" w:type="dxa"/>
            </w:tcMar>
          </w:tcPr>
          <w:p>
            <w:pPr>
              <w:spacing w:after="40" w:before="0" w:line="240" w:lineRule="auto"/>
            </w:pPr>
            <w:r>
              <w:rPr>
                <w:rFonts w:ascii="Calibri" w:hAnsi="Calibri"/>
                <w:b/>
                <w:color w:val="000000"/>
                <w:sz w:val="21"/>
              </w:rPr>
              <w:t>Student record</w:t>
            </w:r>
          </w:p>
        </w:tc>
      </w:tr>
      <w:tr>
        <w:trPr>
          <w:cantSplit/>
        </w:trPr>
        <w:tc>
          <w:tcPr>
            <w:tcW w:type="dxa" w:w="2880"/>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ET generally</w:t>
            </w:r>
          </w:p>
        </w:tc>
        <w:tc>
          <w:tcPr>
            <w:tcW w:type="dxa" w:w="7488"/>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Qualified commercialized breakthrough relative to manual production and template editing. S2 supports the capability and S3 its commercial deployment. “Breakthrough” is an explicit interpretation, with cumulative technical development as an alternative. The general finding remains stable across the same technology and evidence.</w:t>
            </w:r>
          </w:p>
        </w:tc>
      </w:tr>
      <w:tr>
        <w:trPr>
          <w:cantSplit/>
        </w:trPr>
        <w:tc>
          <w:tcPr>
            <w:tcW w:type="dxa" w:w="2880"/>
            <w:tcMar>
              <w:top w:w="70" w:type="dxa"/>
              <w:start w:w="90" w:type="dxa"/>
              <w:bottom w:w="70" w:type="dxa"/>
              <w:end w:w="90" w:type="dxa"/>
            </w:tcMar>
            <w:vAlign w:val="center"/>
            <w:shd w:fill="F7F8FA"/>
            <w:tcMar>
              <w:top w:w="65" w:type="dxa"/>
              <w:left w:w="90" w:type="dxa"/>
              <w:bottom w:w="65" w:type="dxa"/>
              <w:right w:w="90" w:type="dxa"/>
            </w:tcMar>
          </w:tcPr>
          <w:p>
            <w:pPr>
              <w:spacing w:after="40" w:before="0" w:line="240" w:lineRule="auto"/>
            </w:pPr>
            <w:r>
              <w:rPr>
                <w:rFonts w:ascii="Calibri" w:hAnsi="Calibri"/>
                <w:b w:val="0"/>
                <w:color w:val="000000"/>
                <w:sz w:val="21"/>
              </w:rPr>
              <w:t>ET for this application</w:t>
            </w:r>
          </w:p>
        </w:tc>
        <w:tc>
          <w:tcPr>
            <w:tcW w:type="dxa" w:w="7488"/>
            <w:tcMar>
              <w:top w:w="70" w:type="dxa"/>
              <w:start w:w="90" w:type="dxa"/>
              <w:bottom w:w="70" w:type="dxa"/>
              <w:end w:w="90" w:type="dxa"/>
            </w:tcMar>
            <w:vAlign w:val="center"/>
            <w:shd w:fill="F7F8FA"/>
            <w:tcMar>
              <w:top w:w="65" w:type="dxa"/>
              <w:left w:w="90" w:type="dxa"/>
              <w:bottom w:w="65" w:type="dxa"/>
              <w:right w:w="90" w:type="dxa"/>
            </w:tcMar>
          </w:tcPr>
          <w:p>
            <w:pPr>
              <w:spacing w:after="40" w:before="0" w:line="240" w:lineRule="auto"/>
            </w:pPr>
            <w:r>
              <w:rPr>
                <w:rFonts w:ascii="Calibri" w:hAnsi="Calibri"/>
                <w:b w:val="0"/>
                <w:color w:val="000000"/>
                <w:sz w:val="21"/>
              </w:rPr>
              <w:t>Proposed process innovation using existing capabilities. Routine drafting is incremental; a connected concept-testing and launch workflow could be more consequential. None of these hypothetical organizations is assumed to have implemented the application.</w:t>
            </w:r>
          </w:p>
        </w:tc>
      </w:tr>
      <w:tr>
        <w:trPr>
          <w:cantSplit/>
        </w:trPr>
        <w:tc>
          <w:tcPr>
            <w:tcW w:type="dxa" w:w="2880"/>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ET for this application in this organization</w:t>
            </w:r>
          </w:p>
        </w:tc>
        <w:tc>
          <w:tcPr>
            <w:tcW w:type="dxa" w:w="7488"/>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Linden and Row: High conditional exposure if imitable content production is a major acquisition advantage. Uniform manufacturer: Low under its contract-led assumptions. Luxury house: firm judgment withheld; Moderate for supportive/disclosed use, or High if synthetic craft claims demonstrably erode trust and premium value. No existential conclusion is supported.</w:t>
            </w:r>
          </w:p>
        </w:tc>
      </w:tr>
      <w:tr>
        <w:trPr>
          <w:cantSplit/>
        </w:trPr>
        <w:tc>
          <w:tcPr>
            <w:tcW w:type="dxa" w:w="2880"/>
            <w:tcMar>
              <w:top w:w="70" w:type="dxa"/>
              <w:start w:w="90" w:type="dxa"/>
              <w:bottom w:w="70" w:type="dxa"/>
              <w:end w:w="90" w:type="dxa"/>
            </w:tcMar>
            <w:vAlign w:val="center"/>
            <w:shd w:fill="F7F8FA"/>
            <w:tcMar>
              <w:top w:w="65" w:type="dxa"/>
              <w:left w:w="90" w:type="dxa"/>
              <w:bottom w:w="65" w:type="dxa"/>
              <w:right w:w="90" w:type="dxa"/>
            </w:tcMar>
          </w:tcPr>
          <w:p>
            <w:pPr>
              <w:spacing w:after="40" w:before="0" w:line="240" w:lineRule="auto"/>
            </w:pPr>
            <w:r>
              <w:rPr>
                <w:rFonts w:ascii="Calibri" w:hAnsi="Calibri"/>
                <w:b w:val="0"/>
                <w:color w:val="000000"/>
                <w:sz w:val="21"/>
              </w:rPr>
              <w:t>Bounded management implication</w:t>
            </w:r>
          </w:p>
        </w:tc>
        <w:tc>
          <w:tcPr>
            <w:tcW w:type="dxa" w:w="7488"/>
            <w:tcMar>
              <w:top w:w="70" w:type="dxa"/>
              <w:start w:w="90" w:type="dxa"/>
              <w:bottom w:w="70" w:type="dxa"/>
              <w:end w:w="90" w:type="dxa"/>
            </w:tcMar>
            <w:vAlign w:val="center"/>
            <w:shd w:fill="F7F8FA"/>
            <w:tcMar>
              <w:top w:w="65" w:type="dxa"/>
              <w:left w:w="90" w:type="dxa"/>
              <w:bottom w:w="65" w:type="dxa"/>
              <w:right w:w="90" w:type="dxa"/>
            </w:tcMar>
          </w:tcPr>
          <w:p>
            <w:pPr>
              <w:spacing w:after="40" w:before="0" w:line="240" w:lineRule="auto"/>
            </w:pPr>
            <w:r>
              <w:rPr>
                <w:rFonts w:ascii="Calibri" w:hAnsi="Calibri"/>
                <w:b w:val="0"/>
                <w:color w:val="000000"/>
                <w:sz w:val="21"/>
              </w:rPr>
              <w:t>Check whether the threatened advantage affects customer choice and margins. For the primary case, distinguish faster content from faster manufacturing: 8 to 12 week supplier lead times constrain rapid production changes. Pass evidence needs and conditional exposure to the Adoption Agent.</w:t>
            </w:r>
          </w:p>
        </w:tc>
      </w:tr>
      <w:tr>
        <w:trPr>
          <w:cantSplit/>
        </w:trPr>
        <w:tc>
          <w:tcPr>
            <w:tcW w:type="dxa" w:w="2880"/>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Confidence / uncertainty</w:t>
            </w:r>
          </w:p>
        </w:tc>
        <w:tc>
          <w:tcPr>
            <w:tcW w:type="dxa" w:w="7488"/>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Moderate confidence in the scoped general classification. Low-to-moderate confidence in the primary exposure; low confidence in luxury severity. All organizations are scenarios. Content-cost share, customer response, supplier flexibility and causal economic effects remain unknown.</w:t>
            </w:r>
          </w:p>
        </w:tc>
      </w:tr>
      <w:tr>
        <w:trPr>
          <w:cantSplit/>
        </w:trPr>
        <w:tc>
          <w:tcPr>
            <w:tcW w:type="dxa" w:w="2880"/>
            <w:tcMar>
              <w:top w:w="70" w:type="dxa"/>
              <w:start w:w="90" w:type="dxa"/>
              <w:bottom w:w="70" w:type="dxa"/>
              <w:end w:w="90" w:type="dxa"/>
            </w:tcMar>
            <w:vAlign w:val="center"/>
            <w:shd w:fill="F7F8FA"/>
            <w:tcMar>
              <w:top w:w="65" w:type="dxa"/>
              <w:left w:w="90" w:type="dxa"/>
              <w:bottom w:w="65" w:type="dxa"/>
              <w:right w:w="90" w:type="dxa"/>
            </w:tcMar>
          </w:tcPr>
          <w:p>
            <w:pPr>
              <w:spacing w:after="40" w:before="0" w:line="240" w:lineRule="auto"/>
            </w:pPr>
            <w:r>
              <w:rPr>
                <w:rFonts w:ascii="Calibri" w:hAnsi="Calibri"/>
                <w:b w:val="0"/>
                <w:color w:val="000000"/>
                <w:sz w:val="21"/>
              </w:rPr>
              <w:t>What evidence or condition would change the conclusion</w:t>
            </w:r>
          </w:p>
        </w:tc>
        <w:tc>
          <w:tcPr>
            <w:tcW w:type="dxa" w:w="7488"/>
            <w:tcMar>
              <w:top w:w="70" w:type="dxa"/>
              <w:start w:w="90" w:type="dxa"/>
              <w:bottom w:w="70" w:type="dxa"/>
              <w:end w:w="90" w:type="dxa"/>
            </w:tcMar>
            <w:vAlign w:val="center"/>
            <w:shd w:fill="F7F8FA"/>
            <w:tcMar>
              <w:top w:w="65" w:type="dxa"/>
              <w:left w:w="90" w:type="dxa"/>
              <w:bottom w:w="65" w:type="dxa"/>
              <w:right w:w="90" w:type="dxa"/>
            </w:tcMar>
          </w:tcPr>
          <w:p>
            <w:pPr>
              <w:spacing w:after="40" w:before="0" w:line="240" w:lineRule="auto"/>
            </w:pPr>
            <w:r>
              <w:rPr>
                <w:rFonts w:ascii="Calibri" w:hAnsi="Calibri"/>
                <w:b w:val="0"/>
                <w:color w:val="000000"/>
                <w:sz w:val="21"/>
              </w:rPr>
              <w:t>Stable customer preference alongside lower review-adjusted content cost would weaken the primary High judgment. Evidence of acquisition losses tied to content imitation would strengthen it. For luxury, intended use, disclosure and measured authenticity/premium-price response distinguish the conditional outcomes.</w:t>
            </w:r>
          </w:p>
        </w:tc>
      </w:tr>
    </w:tbl>
    <w:p>
      <w:pPr>
        <w:pStyle w:val="Heading1"/>
        <w:keepNext/>
        <w:pageBreakBefore/>
        <w:spacing w:before="180" w:after="120"/>
      </w:pPr>
      <w:r>
        <w:t>D Evidence and Testing</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7488"/>
      </w:tblGrid>
      <w:tr>
        <w:trPr>
          <w:cantSplit/>
          <w:tblHeader/>
        </w:trPr>
        <w:tc>
          <w:tcPr>
            <w:tcW w:type="dxa" w:w="2880"/>
            <w:tcMar>
              <w:top w:w="70" w:type="dxa"/>
              <w:start w:w="90" w:type="dxa"/>
              <w:bottom w:w="70" w:type="dxa"/>
              <w:end w:w="90" w:type="dxa"/>
            </w:tcMar>
            <w:vAlign w:val="center"/>
            <w:shd w:fill="E7EEF4"/>
            <w:tcMar>
              <w:top w:w="65" w:type="dxa"/>
              <w:left w:w="90" w:type="dxa"/>
              <w:bottom w:w="65" w:type="dxa"/>
              <w:right w:w="90" w:type="dxa"/>
            </w:tcMar>
          </w:tcPr>
          <w:p>
            <w:pPr>
              <w:spacing w:after="40" w:before="0" w:line="240" w:lineRule="auto"/>
            </w:pPr>
            <w:r>
              <w:rPr>
                <w:rFonts w:ascii="Calibri" w:hAnsi="Calibri"/>
                <w:b/>
                <w:color w:val="000000"/>
                <w:sz w:val="21"/>
              </w:rPr>
              <w:t>Field</w:t>
            </w:r>
          </w:p>
        </w:tc>
        <w:tc>
          <w:tcPr>
            <w:tcW w:type="dxa" w:w="7488"/>
            <w:tcMar>
              <w:top w:w="70" w:type="dxa"/>
              <w:start w:w="90" w:type="dxa"/>
              <w:bottom w:w="70" w:type="dxa"/>
              <w:end w:w="90" w:type="dxa"/>
            </w:tcMar>
            <w:vAlign w:val="center"/>
            <w:shd w:fill="E7EEF4"/>
            <w:tcMar>
              <w:top w:w="65" w:type="dxa"/>
              <w:left w:w="90" w:type="dxa"/>
              <w:bottom w:w="65" w:type="dxa"/>
              <w:right w:w="90" w:type="dxa"/>
            </w:tcMar>
          </w:tcPr>
          <w:p>
            <w:pPr>
              <w:spacing w:after="40" w:before="0" w:line="240" w:lineRule="auto"/>
            </w:pPr>
            <w:r>
              <w:rPr>
                <w:rFonts w:ascii="Calibri" w:hAnsi="Calibri"/>
                <w:b/>
                <w:color w:val="000000"/>
                <w:sz w:val="21"/>
              </w:rPr>
              <w:t>Student record</w:t>
            </w:r>
          </w:p>
        </w:tc>
      </w:tr>
      <w:tr>
        <w:trPr>
          <w:cantSplit/>
        </w:trPr>
        <w:tc>
          <w:tcPr>
            <w:tcW w:type="dxa" w:w="2880"/>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Most important evidence/source(s)</w:t>
            </w:r>
          </w:p>
        </w:tc>
        <w:tc>
          <w:tcPr>
            <w:tcW w:type="dxa" w:w="7488"/>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r>
            <w:hyperlink r:id="rId12">
              <w:r>
                <w:rPr>
                  <w:color w:val="155A8A"/>
                </w:rPr>
                <w:t>S1 OECD and Eurostat (2018-10-22)</w:t>
              </w:r>
            </w:hyperlink>
          </w:p>
          <w:p>
            <w:pPr>
              <w:spacing w:after="40" w:before="0" w:line="240" w:lineRule="auto"/>
            </w:pPr>
            <w:hyperlink r:id="rId13">
              <w:r>
                <w:rPr>
                  <w:color w:val="155A8A"/>
                </w:rPr>
                <w:t>S2 Ramesh et al., original research paper (2022-04-13)</w:t>
              </w:r>
            </w:hyperlink>
          </w:p>
          <w:p>
            <w:pPr>
              <w:spacing w:after="40" w:before="0" w:line="240" w:lineRule="auto"/>
            </w:pPr>
            <w:hyperlink r:id="rId14">
              <w:r>
                <w:rPr>
                  <w:color w:val="155A8A"/>
                </w:rPr>
                <w:t>S3 OpenAI (2022-09-28)</w:t>
              </w:r>
            </w:hyperlink>
          </w:p>
          <w:p>
            <w:pPr>
              <w:spacing w:after="40" w:before="0" w:line="240" w:lineRule="auto"/>
            </w:pPr>
            <w:hyperlink r:id="rId15">
              <w:r>
                <w:rPr>
                  <w:color w:val="155A8A"/>
                </w:rPr>
                <w:t>S4 H&amp;M Group (2025-07-02)</w:t>
              </w:r>
            </w:hyperlink>
          </w:p>
          <w:p>
            <w:pPr>
              <w:spacing w:after="40" w:before="0" w:line="240" w:lineRule="auto"/>
            </w:pPr>
            <w:r>
              <w:rPr>
                <w:rFonts w:ascii="Calibri" w:hAnsi="Calibri"/>
                <w:b w:val="0"/>
                <w:color w:val="000000"/>
                <w:sz w:val="21"/>
              </w:rPr>
              <w:t>Original pages checked in this session. Source types, claims and limitations are in evidence/source_register.md. No source verifies the case economics.</w:t>
            </w:r>
          </w:p>
        </w:tc>
      </w:tr>
      <w:tr>
        <w:trPr>
          <w:cantSplit/>
        </w:trPr>
        <w:tc>
          <w:tcPr>
            <w:tcW w:type="dxa" w:w="2880"/>
            <w:tcMar>
              <w:top w:w="70" w:type="dxa"/>
              <w:start w:w="90" w:type="dxa"/>
              <w:bottom w:w="70" w:type="dxa"/>
              <w:end w:w="90" w:type="dxa"/>
            </w:tcMar>
            <w:vAlign w:val="center"/>
            <w:shd w:fill="F7F8FA"/>
            <w:tcMar>
              <w:top w:w="65" w:type="dxa"/>
              <w:left w:w="90" w:type="dxa"/>
              <w:bottom w:w="65" w:type="dxa"/>
              <w:right w:w="90" w:type="dxa"/>
            </w:tcMar>
          </w:tcPr>
          <w:p>
            <w:pPr>
              <w:spacing w:after="40" w:before="0" w:line="240" w:lineRule="auto"/>
            </w:pPr>
            <w:r>
              <w:rPr>
                <w:rFonts w:ascii="Calibri" w:hAnsi="Calibri"/>
                <w:b w:val="0"/>
                <w:color w:val="000000"/>
                <w:sz w:val="21"/>
              </w:rPr>
              <w:t>Primary test - result</w:t>
            </w:r>
          </w:p>
        </w:tc>
        <w:tc>
          <w:tcPr>
            <w:tcW w:type="dxa" w:w="7488"/>
            <w:tcMar>
              <w:top w:w="70" w:type="dxa"/>
              <w:start w:w="90" w:type="dxa"/>
              <w:bottom w:w="70" w:type="dxa"/>
              <w:end w:w="90" w:type="dxa"/>
            </w:tcMar>
            <w:vAlign w:val="center"/>
            <w:shd w:fill="F7F8FA"/>
            <w:tcMar>
              <w:top w:w="65" w:type="dxa"/>
              <w:left w:w="90" w:type="dxa"/>
              <w:bottom w:w="65" w:type="dxa"/>
              <w:right w:w="90" w:type="dxa"/>
            </w:tcMar>
          </w:tcPr>
          <w:p>
            <w:pPr>
              <w:spacing w:after="40" w:before="0" w:line="240" w:lineRule="auto"/>
            </w:pPr>
            <w:r>
              <w:rPr>
                <w:rFonts w:ascii="Calibri" w:hAnsi="Calibri"/>
                <w:b w:val="0"/>
                <w:color w:val="000000"/>
                <w:sz w:val="21"/>
              </w:rPr>
              <w:t>High conditional exposure. The response links a supplied content-moat premise to possible acquisition and pricing effects, retains a preservation argument and limits the production upside. This is a hypothetical test, not a real-company finding.</w:t>
            </w:r>
          </w:p>
        </w:tc>
      </w:tr>
      <w:tr>
        <w:trPr>
          <w:cantSplit/>
        </w:trPr>
        <w:tc>
          <w:tcPr>
            <w:tcW w:type="dxa" w:w="2880"/>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Contrast test - what appropriately stayed stable</w:t>
            </w:r>
          </w:p>
        </w:tc>
        <w:tc>
          <w:tcPr>
            <w:tcW w:type="dxa" w:w="7488"/>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The general classification and proposed-application status remain stable. Technology, application, horizon, posture and source register are held constant.</w:t>
            </w:r>
          </w:p>
        </w:tc>
      </w:tr>
      <w:tr>
        <w:trPr>
          <w:cantSplit/>
        </w:trPr>
        <w:tc>
          <w:tcPr>
            <w:tcW w:type="dxa" w:w="2880"/>
            <w:tcMar>
              <w:top w:w="70" w:type="dxa"/>
              <w:start w:w="90" w:type="dxa"/>
              <w:bottom w:w="70" w:type="dxa"/>
              <w:end w:w="90" w:type="dxa"/>
            </w:tcMar>
            <w:vAlign w:val="center"/>
            <w:shd w:fill="F7F8FA"/>
            <w:tcMar>
              <w:top w:w="65" w:type="dxa"/>
              <w:left w:w="90" w:type="dxa"/>
              <w:bottom w:w="65" w:type="dxa"/>
              <w:right w:w="90" w:type="dxa"/>
            </w:tcMar>
          </w:tcPr>
          <w:p>
            <w:pPr>
              <w:spacing w:after="40" w:before="0" w:line="240" w:lineRule="auto"/>
            </w:pPr>
            <w:r>
              <w:rPr>
                <w:rFonts w:ascii="Calibri" w:hAnsi="Calibri"/>
                <w:b w:val="0"/>
                <w:color w:val="000000"/>
                <w:sz w:val="21"/>
              </w:rPr>
              <w:t>Contrast test - what appropriately changed</w:t>
            </w:r>
          </w:p>
        </w:tc>
        <w:tc>
          <w:tcPr>
            <w:tcW w:type="dxa" w:w="7488"/>
            <w:tcMar>
              <w:top w:w="70" w:type="dxa"/>
              <w:start w:w="90" w:type="dxa"/>
              <w:bottom w:w="70" w:type="dxa"/>
              <w:end w:w="90" w:type="dxa"/>
            </w:tcMar>
            <w:vAlign w:val="center"/>
            <w:shd w:fill="F7F8FA"/>
            <w:tcMar>
              <w:top w:w="65" w:type="dxa"/>
              <w:left w:w="90" w:type="dxa"/>
              <w:bottom w:w="65" w:type="dxa"/>
              <w:right w:w="90" w:type="dxa"/>
            </w:tcMar>
          </w:tcPr>
          <w:p>
            <w:pPr>
              <w:spacing w:after="40" w:before="0" w:line="240" w:lineRule="auto"/>
            </w:pPr>
            <w:r>
              <w:rPr>
                <w:rFonts w:ascii="Calibri" w:hAnsi="Calibri"/>
                <w:b w:val="0"/>
                <w:color w:val="000000"/>
                <w:sz w:val="21"/>
              </w:rPr>
              <w:t>The uniform case is Low because content is supporting. The luxury case withholds a firm rating and identifies use-dependent Moderate/High pathways. A fourth case with missing business-model information also withholds judgment.</w:t>
            </w:r>
          </w:p>
        </w:tc>
      </w:tr>
      <w:tr>
        <w:trPr>
          <w:cantSplit/>
        </w:trPr>
        <w:tc>
          <w:tcPr>
            <w:tcW w:type="dxa" w:w="2880"/>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Weakness/failure found</w:t>
            </w:r>
          </w:p>
        </w:tc>
        <w:tc>
          <w:tcPr>
            <w:tcW w:type="dxa" w:w="7488"/>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The initial luxury response passed JSON validation but omitted an explicit early-versus-late timing comparison and used a vague authenticity trigger. It is preserved as luxury_v0_1_response.json.</w:t>
            </w:r>
          </w:p>
        </w:tc>
      </w:tr>
      <w:tr>
        <w:trPr>
          <w:cantSplit/>
        </w:trPr>
        <w:tc>
          <w:tcPr>
            <w:tcW w:type="dxa" w:w="2880"/>
            <w:tcMar>
              <w:top w:w="70" w:type="dxa"/>
              <w:start w:w="90" w:type="dxa"/>
              <w:bottom w:w="70" w:type="dxa"/>
              <w:end w:w="90" w:type="dxa"/>
            </w:tcMar>
            <w:vAlign w:val="center"/>
            <w:shd w:fill="F7F8FA"/>
            <w:tcMar>
              <w:top w:w="65" w:type="dxa"/>
              <w:left w:w="90" w:type="dxa"/>
              <w:bottom w:w="65" w:type="dxa"/>
              <w:right w:w="90" w:type="dxa"/>
            </w:tcMar>
          </w:tcPr>
          <w:p>
            <w:pPr>
              <w:spacing w:after="40" w:before="0" w:line="240" w:lineRule="auto"/>
            </w:pPr>
            <w:r>
              <w:rPr>
                <w:rFonts w:ascii="Calibri" w:hAnsi="Calibri"/>
                <w:b w:val="0"/>
                <w:color w:val="000000"/>
                <w:sz w:val="21"/>
              </w:rPr>
              <w:t>Revision made and why</w:t>
            </w:r>
          </w:p>
        </w:tc>
        <w:tc>
          <w:tcPr>
            <w:tcW w:type="dxa" w:w="7488"/>
            <w:tcMar>
              <w:top w:w="70" w:type="dxa"/>
              <w:start w:w="90" w:type="dxa"/>
              <w:bottom w:w="70" w:type="dxa"/>
              <w:end w:w="90" w:type="dxa"/>
            </w:tcMar>
            <w:vAlign w:val="center"/>
            <w:shd w:fill="F7F8FA"/>
            <w:tcMar>
              <w:top w:w="65" w:type="dxa"/>
              <w:left w:w="90" w:type="dxa"/>
              <w:bottom w:w="65" w:type="dxa"/>
              <w:right w:w="90" w:type="dxa"/>
            </w:tcMar>
          </w:tcPr>
          <w:p>
            <w:pPr>
              <w:spacing w:after="40" w:before="0" w:line="240" w:lineRule="auto"/>
            </w:pPr>
            <w:r>
              <w:rPr>
                <w:rFonts w:ascii="Calibri" w:hAnsi="Calibri"/>
                <w:b w:val="0"/>
                <w:color w:val="000000"/>
                <w:sz w:val="21"/>
              </w:rPr>
              <w:t>Version 0.2 requires concrete alternative uses, evidence that distinguishes them, explicit timing-risk comparison and observable change triggers. The unchanged luxury input was rerun with all other final cases.</w:t>
            </w:r>
          </w:p>
        </w:tc>
      </w:tr>
      <w:tr>
        <w:trPr>
          <w:cantSplit/>
        </w:trPr>
        <w:tc>
          <w:tcPr>
            <w:tcW w:type="dxa" w:w="2880"/>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Remaining limitation / abstention condition</w:t>
            </w:r>
          </w:p>
        </w:tc>
        <w:tc>
          <w:tcPr>
            <w:tcW w:type="dxa" w:w="7488"/>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Four final cases, one response each, evaluated in the same assistant session. No independent or repeated-run reliability test. Missing business-model evidence prevents a firm rating. Schema success establishes structure, not truth.</w:t>
            </w:r>
          </w:p>
        </w:tc>
      </w:tr>
    </w:tbl>
    <w:p>
      <w:pPr>
        <w:pStyle w:val="Heading1"/>
        <w:keepNext/>
        <w:pageBreakBefore/>
        <w:spacing w:before="180" w:after="120"/>
      </w:pPr>
      <w:r>
        <w:t>E Independent Judgment and Handoff</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7488"/>
      </w:tblGrid>
      <w:tr>
        <w:trPr>
          <w:cantSplit/>
          <w:tblHeader/>
        </w:trPr>
        <w:tc>
          <w:tcPr>
            <w:tcW w:type="dxa" w:w="2880"/>
            <w:tcMar>
              <w:top w:w="70" w:type="dxa"/>
              <w:start w:w="90" w:type="dxa"/>
              <w:bottom w:w="70" w:type="dxa"/>
              <w:end w:w="90" w:type="dxa"/>
            </w:tcMar>
            <w:vAlign w:val="center"/>
            <w:shd w:fill="E7EEF4"/>
            <w:tcMar>
              <w:top w:w="65" w:type="dxa"/>
              <w:left w:w="90" w:type="dxa"/>
              <w:bottom w:w="65" w:type="dxa"/>
              <w:right w:w="90" w:type="dxa"/>
            </w:tcMar>
          </w:tcPr>
          <w:p>
            <w:pPr>
              <w:spacing w:after="40" w:before="0" w:line="240" w:lineRule="auto"/>
            </w:pPr>
            <w:r>
              <w:rPr>
                <w:rFonts w:ascii="Calibri" w:hAnsi="Calibri"/>
                <w:b/>
                <w:color w:val="000000"/>
                <w:sz w:val="21"/>
              </w:rPr>
              <w:t>Field</w:t>
            </w:r>
          </w:p>
        </w:tc>
        <w:tc>
          <w:tcPr>
            <w:tcW w:type="dxa" w:w="7488"/>
            <w:tcMar>
              <w:top w:w="70" w:type="dxa"/>
              <w:start w:w="90" w:type="dxa"/>
              <w:bottom w:w="70" w:type="dxa"/>
              <w:end w:w="90" w:type="dxa"/>
            </w:tcMar>
            <w:vAlign w:val="center"/>
            <w:shd w:fill="E7EEF4"/>
            <w:tcMar>
              <w:top w:w="65" w:type="dxa"/>
              <w:left w:w="90" w:type="dxa"/>
              <w:bottom w:w="65" w:type="dxa"/>
              <w:right w:w="90" w:type="dxa"/>
            </w:tcMar>
          </w:tcPr>
          <w:p>
            <w:pPr>
              <w:spacing w:after="40" w:before="0" w:line="240" w:lineRule="auto"/>
            </w:pPr>
            <w:r>
              <w:rPr>
                <w:rFonts w:ascii="Calibri" w:hAnsi="Calibri"/>
                <w:b/>
                <w:color w:val="000000"/>
                <w:sz w:val="21"/>
              </w:rPr>
              <w:t>Student record</w:t>
            </w:r>
          </w:p>
        </w:tc>
      </w:tr>
      <w:tr>
        <w:trPr>
          <w:cantSplit/>
        </w:trPr>
        <w:tc>
          <w:tcPr>
            <w:tcW w:type="dxa" w:w="2880"/>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Is the agent credible enough for team consideration? Why?</w:t>
            </w:r>
          </w:p>
        </w:tc>
        <w:tc>
          <w:tcPr>
            <w:tcW w:type="dxa" w:w="7488"/>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Yes, as a bounded classroom prototype. It preserves the three analytical levels, produces context-sensitive judgments, records contrary interpretations and withholds unsupported ratings. My primary judgment is High conditional exposure under the content-moat premise, with a plausible Moderate alternative if product, community and human taste preserve advantage. It is not ready to make an actual company decision without organizational evidence.</w:t>
            </w:r>
          </w:p>
        </w:tc>
      </w:tr>
      <w:tr>
        <w:trPr>
          <w:cantSplit/>
        </w:trPr>
        <w:tc>
          <w:tcPr>
            <w:tcW w:type="dxa" w:w="2880"/>
            <w:tcMar>
              <w:top w:w="70" w:type="dxa"/>
              <w:start w:w="90" w:type="dxa"/>
              <w:bottom w:w="70" w:type="dxa"/>
              <w:end w:w="90" w:type="dxa"/>
            </w:tcMar>
            <w:vAlign w:val="center"/>
            <w:shd w:fill="F7F8FA"/>
            <w:tcMar>
              <w:top w:w="65" w:type="dxa"/>
              <w:left w:w="90" w:type="dxa"/>
              <w:bottom w:w="65" w:type="dxa"/>
              <w:right w:w="90" w:type="dxa"/>
            </w:tcMar>
          </w:tcPr>
          <w:p>
            <w:pPr>
              <w:spacing w:after="40" w:before="0" w:line="240" w:lineRule="auto"/>
            </w:pPr>
            <w:r>
              <w:rPr>
                <w:rFonts w:ascii="Calibri" w:hAnsi="Calibri"/>
                <w:b w:val="0"/>
                <w:color w:val="000000"/>
                <w:sz w:val="21"/>
              </w:rPr>
              <w:t>Most important recommendation to the team</w:t>
            </w:r>
          </w:p>
        </w:tc>
        <w:tc>
          <w:tcPr>
            <w:tcW w:type="dxa" w:w="7488"/>
            <w:tcMar>
              <w:top w:w="70" w:type="dxa"/>
              <w:start w:w="90" w:type="dxa"/>
              <w:bottom w:w="70" w:type="dxa"/>
              <w:end w:w="90" w:type="dxa"/>
            </w:tcMar>
            <w:vAlign w:val="center"/>
            <w:shd w:fill="F7F8FA"/>
            <w:tcMar>
              <w:top w:w="65" w:type="dxa"/>
              <w:left w:w="90" w:type="dxa"/>
              <w:bottom w:w="65" w:type="dxa"/>
              <w:right w:w="90" w:type="dxa"/>
            </w:tcMar>
          </w:tcPr>
          <w:p>
            <w:pPr>
              <w:spacing w:after="40" w:before="0" w:line="240" w:lineRule="auto"/>
            </w:pPr>
            <w:r>
              <w:rPr>
                <w:rFonts w:ascii="Calibri" w:hAnsi="Calibri"/>
                <w:b w:val="0"/>
                <w:color w:val="000000"/>
                <w:sz w:val="21"/>
              </w:rPr>
              <w:t>Do not equate technological novelty with business impact. Preserve the causal link from advantage to customer choice and economics. Capture revenue logic, content’s role, customer-facing use and supplier constraints in the shared intake. Hand adoption, readiness, diffusion, Promethean significance and current landscape questions to their respective specialists.</w:t>
            </w:r>
          </w:p>
        </w:tc>
      </w:tr>
      <w:tr>
        <w:trPr>
          <w:cantSplit/>
        </w:trPr>
        <w:tc>
          <w:tcPr>
            <w:tcW w:type="dxa" w:w="2880"/>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AI / verification note</w:t>
            </w:r>
          </w:p>
        </w:tc>
        <w:tc>
          <w:tcPr>
            <w:tcW w:type="dxa" w:w="7488"/>
            <w:tcMar>
              <w:top w:w="70" w:type="dxa"/>
              <w:start w:w="90" w:type="dxa"/>
              <w:bottom w:w="70" w:type="dxa"/>
              <w:end w:w="90" w:type="dxa"/>
            </w:tcMar>
            <w:vAlign w:val="center"/>
            <w:shd w:fill="FFFFFF"/>
            <w:tcMar>
              <w:top w:w="65" w:type="dxa"/>
              <w:left w:w="90" w:type="dxa"/>
              <w:bottom w:w="65" w:type="dxa"/>
              <w:right w:w="90" w:type="dxa"/>
            </w:tcMar>
          </w:tcPr>
          <w:p>
            <w:pPr>
              <w:spacing w:after="40" w:before="0" w:line="240" w:lineRule="auto"/>
            </w:pPr>
            <w:r>
              <w:rPr>
                <w:rFonts w:ascii="Calibri" w:hAnsi="Calibri"/>
                <w:b w:val="0"/>
                <w:color w:val="000000"/>
                <w:sz w:val="21"/>
              </w:rPr>
              <w:t>I developed the agent concept and initial analytical logic, selected the fashion use case and organizational contrasts, and steered its direction and boundaries. My contributions included the content-as-the-moat hypothesis, operational constraints and timing risks. ChatGPT/Codex implemented my design in specialist instructions and code within the course-provided scaffold, checked original sources, generated and reviewed test outputs, and drafted the documentation. Added case details are labeled assumptions; outputs are same-session AI-assisted examples. I remain responsible for reviewing the final submission.</w:t>
            </w:r>
          </w:p>
        </w:tc>
      </w:tr>
    </w:tbl>
    <w:sectPr w:rsidR="00630F3A" w:rsidSect="00034616">
      <w:headerReference w:type="default" r:id="rId8"/>
      <w:footerReference w:type="default" r:id="rId9"/>
      <w:headerReference w:type="first" r:id="rId16"/>
      <w:headerReference w:type="even" r:id="rId17"/>
      <w:pgSz w:w="12240" w:h="15840"/>
      <w:pgMar w:top="936" w:right="936" w:bottom="936"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834FE" w:rsidRDefault="00F834FE">
      <w:pPr>
        <w:spacing w:after="0" w:line="240" w:lineRule="auto"/>
        <w:rPr>
          <w:rFonts w:hint="eastAsia"/>
        </w:rPr>
      </w:pPr>
      <w:r>
        <w:separator/>
      </w:r>
    </w:p>
  </w:endnote>
  <w:endnote w:type="continuationSeparator" w:id="0">
    <w:p w:rsidR="00F834FE" w:rsidRDefault="00F834F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0F3A" w:rsidRDefault="00000000">
    <w:pPr>
      <w:jc w:val="center"/>
      <w:rPr>
        <w:rFonts w:hint="eastAsia"/>
      </w:rPr>
    </w:pPr>
    <w:r>
      <w:rPr>
        <w:sz w:val="18"/>
      </w:rPr>
      <w:t xml:space="preserve">Lucy Shen | Assignment 3 |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834FE" w:rsidRDefault="00F834FE">
      <w:pPr>
        <w:spacing w:after="0" w:line="240" w:lineRule="auto"/>
        <w:rPr>
          <w:rFonts w:hint="eastAsia"/>
        </w:rPr>
      </w:pPr>
      <w:r>
        <w:separator/>
      </w:r>
    </w:p>
  </w:footnote>
  <w:footnote w:type="continuationSeparator" w:id="0">
    <w:p w:rsidR="00F834FE" w:rsidRDefault="00F834F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0F3A" w:rsidRDefault="00000000">
    <w:pPr>
      <w:pStyle w:val="Header"/>
      <w:jc w:val="right"/>
      <w:rPr>
        <w:rFonts w:hint="eastAsia"/>
      </w:rPr>
    </w:pPr>
    <w:r>
      <w:rPr>
        <w:b/>
        <w:color w:val="000000"/>
        <w:sz w:val="16"/>
      </w:rPr>
      <w:t>NYU SPS | MASY1-GC 1800 | EMERGING TECHNOLOGIES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2544149">
    <w:abstractNumId w:val="8"/>
  </w:num>
  <w:num w:numId="2" w16cid:durableId="1931616119">
    <w:abstractNumId w:val="6"/>
  </w:num>
  <w:num w:numId="3" w16cid:durableId="1238203996">
    <w:abstractNumId w:val="5"/>
  </w:num>
  <w:num w:numId="4" w16cid:durableId="1845591355">
    <w:abstractNumId w:val="4"/>
  </w:num>
  <w:num w:numId="5" w16cid:durableId="203055673">
    <w:abstractNumId w:val="7"/>
  </w:num>
  <w:num w:numId="6" w16cid:durableId="921061524">
    <w:abstractNumId w:val="3"/>
  </w:num>
  <w:num w:numId="7" w16cid:durableId="291711437">
    <w:abstractNumId w:val="2"/>
  </w:num>
  <w:num w:numId="8" w16cid:durableId="1521776730">
    <w:abstractNumId w:val="1"/>
  </w:num>
  <w:num w:numId="9" w16cid:durableId="14424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14B14"/>
    <w:rsid w:val="0029639D"/>
    <w:rsid w:val="00326F90"/>
    <w:rsid w:val="00630F3A"/>
    <w:rsid w:val="006E721C"/>
    <w:rsid w:val="00AA1D8D"/>
    <w:rsid w:val="00B47730"/>
    <w:rsid w:val="00CB0664"/>
    <w:rsid w:val="00F834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DC0CD959-1D97-D94F-BA39-D34FFBA87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sz w:val="22"/>
    </w:rPr>
  </w:style>
  <w:style w:type="paragraph" w:styleId="Heading1">
    <w:name w:val="heading 1"/>
    <w:basedOn w:val="Normal"/>
    <w:next w:val="Normal"/>
    <w:link w:val="Heading1Char"/>
    <w:uiPriority w:val="9"/>
    <w:qFormat/>
    <w:rsid w:val="00FC693F"/>
    <w:pPr>
      <w:keepNext/>
      <w:keepLines/>
      <w:spacing w:after="10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80" w:after="10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ascii="Calibri" w:hAnsi="Calibri"/>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100"/>
      <w:outlineLvl w:val="4"/>
    </w:pPr>
    <w:rPr>
      <w:rFonts w:asciiTheme="majorHAnsi" w:eastAsiaTheme="majorEastAsia" w:hAnsiTheme="majorHAnsi" w:cstheme="majorBidi" w:ascii="Calibri" w:hAnsi="Calibri"/>
      <w:color w:val="000000"/>
      <w:sz w:val="22"/>
    </w:rPr>
  </w:style>
  <w:style w:type="paragraph" w:styleId="Heading6">
    <w:name w:val="heading 6"/>
    <w:basedOn w:val="Normal"/>
    <w:next w:val="Normal"/>
    <w:link w:val="Heading6Char"/>
    <w:uiPriority w:val="9"/>
    <w:semiHidden/>
    <w:unhideWhenUsed/>
    <w:qFormat/>
    <w:rsid w:val="00FC693F"/>
    <w:pPr>
      <w:keepNext/>
      <w:keepLines/>
      <w:spacing w:before="200" w:after="100"/>
      <w:outlineLvl w:val="5"/>
    </w:pPr>
    <w:rPr>
      <w:rFonts w:asciiTheme="majorHAnsi" w:eastAsiaTheme="majorEastAsia" w:hAnsiTheme="majorHAnsi" w:cstheme="majorBidi" w:ascii="Calibri" w:hAnsi="Calibri"/>
      <w:i/>
      <w:iCs/>
      <w:color w:val="000000"/>
      <w:sz w:val="22"/>
    </w:rPr>
  </w:style>
  <w:style w:type="paragraph" w:styleId="Heading7">
    <w:name w:val="heading 7"/>
    <w:basedOn w:val="Normal"/>
    <w:next w:val="Normal"/>
    <w:link w:val="Heading7Char"/>
    <w:uiPriority w:val="9"/>
    <w:semiHidden/>
    <w:unhideWhenUsed/>
    <w:qFormat/>
    <w:rsid w:val="00FC693F"/>
    <w:pPr>
      <w:keepNext/>
      <w:keepLines/>
      <w:spacing w:before="200" w:after="100"/>
      <w:outlineLvl w:val="6"/>
    </w:pPr>
    <w:rPr>
      <w:rFonts w:asciiTheme="majorHAnsi" w:eastAsiaTheme="majorEastAsia" w:hAnsiTheme="majorHAnsi" w:cstheme="majorBidi" w:ascii="Calibri" w:hAnsi="Calibri"/>
      <w:i/>
      <w:iCs/>
      <w:color w:val="000000"/>
      <w:sz w:val="22"/>
    </w:rPr>
  </w:style>
  <w:style w:type="paragraph" w:styleId="Heading8">
    <w:name w:val="heading 8"/>
    <w:basedOn w:val="Normal"/>
    <w:next w:val="Normal"/>
    <w:link w:val="Heading8Char"/>
    <w:uiPriority w:val="9"/>
    <w:semiHidden/>
    <w:unhideWhenUsed/>
    <w:qFormat/>
    <w:rsid w:val="00FC693F"/>
    <w:pPr>
      <w:keepNext/>
      <w:keepLines/>
      <w:spacing w:before="200" w:after="100"/>
      <w:outlineLvl w:val="7"/>
    </w:pPr>
    <w:rPr>
      <w:rFonts w:asciiTheme="majorHAnsi" w:eastAsiaTheme="majorEastAsia" w:hAnsiTheme="majorHAnsi" w:cstheme="majorBidi" w:ascii="Calibri" w:hAnsi="Calibri"/>
      <w:color w:val="000000"/>
      <w:sz w:val="22"/>
      <w:szCs w:val="20"/>
    </w:rPr>
  </w:style>
  <w:style w:type="paragraph" w:styleId="Heading9">
    <w:name w:val="heading 9"/>
    <w:basedOn w:val="Normal"/>
    <w:next w:val="Normal"/>
    <w:link w:val="Heading9Char"/>
    <w:uiPriority w:val="9"/>
    <w:semiHidden/>
    <w:unhideWhenUsed/>
    <w:qFormat/>
    <w:rsid w:val="00FC693F"/>
    <w:pPr>
      <w:keepNext/>
      <w:keepLines/>
      <w:spacing w:before="200" w:after="100"/>
      <w:outlineLvl w:val="8"/>
    </w:pPr>
    <w:rPr>
      <w:rFonts w:asciiTheme="majorHAnsi" w:eastAsiaTheme="majorEastAsia" w:hAnsiTheme="majorHAnsi" w:cstheme="majorBidi" w:ascii="Calibri" w:hAnsi="Calibri"/>
      <w:i/>
      <w:iCs/>
      <w:color w:val="000000"/>
      <w:sz w:val="22"/>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100" w:line="240" w:lineRule="auto"/>
    </w:pPr>
    <w:rPr>
      <w:rFonts w:ascii="Calibri" w:hAnsi="Calibri"/>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00" w:line="240" w:lineRule="auto"/>
    </w:pPr>
    <w:rPr>
      <w:rFonts w:ascii="Calibri" w:hAnsi="Calibri"/>
      <w:color w:val="000000"/>
      <w:sz w:val="22"/>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100" w:line="240" w:lineRule="auto"/>
    </w:pPr>
    <w:rPr>
      <w:rFonts w:ascii="Calibri" w:hAnsi="Calibri"/>
      <w:color w:val="000000"/>
      <w:sz w:val="22"/>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Calibri" w:hAnsi="Calibr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00"/>
      <w:ind w:left="720"/>
      <w:contextualSpacing/>
    </w:pPr>
    <w:rPr>
      <w:rFonts w:ascii="Calibri" w:hAnsi="Calibri"/>
      <w:color w:val="000000"/>
      <w:sz w:val="22"/>
    </w:rPr>
  </w:style>
  <w:style w:type="paragraph" w:styleId="BodyText">
    <w:name w:val="Body Text"/>
    <w:basedOn w:val="Normal"/>
    <w:link w:val="BodyTextChar"/>
    <w:uiPriority w:val="99"/>
    <w:unhideWhenUsed/>
    <w:rsid w:val="00AA1D8D"/>
    <w:pPr>
      <w:spacing w:after="100"/>
    </w:pPr>
    <w:rPr>
      <w:rFonts w:ascii="Calibri" w:hAnsi="Calibri"/>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00" w:line="480" w:lineRule="auto"/>
    </w:pPr>
    <w:rPr>
      <w:rFonts w:ascii="Calibri" w:hAnsi="Calibri"/>
      <w:color w:val="000000"/>
      <w:sz w:val="22"/>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00"/>
    </w:pPr>
    <w:rPr>
      <w:rFonts w:ascii="Calibri" w:hAnsi="Calibri"/>
      <w:color w:val="000000"/>
      <w:sz w:val="22"/>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100"/>
      <w:ind w:left="360" w:hanging="360"/>
      <w:contextualSpacing/>
    </w:pPr>
    <w:rPr>
      <w:rFonts w:ascii="Calibri" w:hAnsi="Calibri"/>
      <w:color w:val="000000"/>
      <w:sz w:val="22"/>
    </w:rPr>
  </w:style>
  <w:style w:type="paragraph" w:styleId="List2">
    <w:name w:val="List 2"/>
    <w:basedOn w:val="Normal"/>
    <w:uiPriority w:val="99"/>
    <w:unhideWhenUsed/>
    <w:rsid w:val="00326F90"/>
    <w:pPr>
      <w:spacing w:after="100"/>
      <w:ind w:left="720" w:hanging="360"/>
      <w:contextualSpacing/>
    </w:pPr>
    <w:rPr>
      <w:rFonts w:ascii="Calibri" w:hAnsi="Calibri"/>
      <w:color w:val="000000"/>
      <w:sz w:val="22"/>
    </w:rPr>
  </w:style>
  <w:style w:type="paragraph" w:styleId="List3">
    <w:name w:val="List 3"/>
    <w:basedOn w:val="Normal"/>
    <w:uiPriority w:val="99"/>
    <w:unhideWhenUsed/>
    <w:rsid w:val="00326F90"/>
    <w:pPr>
      <w:spacing w:after="100"/>
      <w:ind w:left="1080" w:hanging="360"/>
      <w:contextualSpacing/>
    </w:pPr>
    <w:rPr>
      <w:rFonts w:ascii="Calibri" w:hAnsi="Calibri"/>
      <w:color w:val="000000"/>
      <w:sz w:val="22"/>
    </w:rPr>
  </w:style>
  <w:style w:type="paragraph" w:styleId="ListBullet">
    <w:name w:val="List Bullet"/>
    <w:basedOn w:val="Normal"/>
    <w:uiPriority w:val="99"/>
    <w:unhideWhenUsed/>
    <w:rsid w:val="00326F90"/>
    <w:pPr>
      <w:numPr>
        <w:numId w:val="1"/>
      </w:numPr>
      <w:spacing w:after="100"/>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spacing w:after="100"/>
      <w:contextualSpacing/>
    </w:pPr>
    <w:rPr>
      <w:rFonts w:ascii="Calibri" w:hAnsi="Calibri"/>
      <w:color w:val="000000"/>
      <w:sz w:val="22"/>
    </w:rPr>
  </w:style>
  <w:style w:type="paragraph" w:styleId="ListBullet3">
    <w:name w:val="List Bullet 3"/>
    <w:basedOn w:val="Normal"/>
    <w:uiPriority w:val="99"/>
    <w:unhideWhenUsed/>
    <w:rsid w:val="00326F90"/>
    <w:pPr>
      <w:numPr>
        <w:numId w:val="3"/>
      </w:numPr>
      <w:spacing w:after="100"/>
      <w:contextualSpacing/>
    </w:pPr>
    <w:rPr>
      <w:rFonts w:ascii="Calibri" w:hAnsi="Calibri"/>
      <w:color w:val="000000"/>
      <w:sz w:val="22"/>
    </w:rPr>
  </w:style>
  <w:style w:type="paragraph" w:styleId="ListNumber">
    <w:name w:val="List Number"/>
    <w:basedOn w:val="Normal"/>
    <w:uiPriority w:val="99"/>
    <w:unhideWhenUsed/>
    <w:rsid w:val="00326F90"/>
    <w:pPr>
      <w:numPr>
        <w:numId w:val="5"/>
      </w:numPr>
      <w:spacing w:after="100"/>
      <w:contextualSpacing/>
    </w:pPr>
    <w:rPr>
      <w:rFonts w:ascii="Calibri" w:hAnsi="Calibri"/>
      <w:color w:val="000000"/>
      <w:sz w:val="22"/>
    </w:rPr>
  </w:style>
  <w:style w:type="paragraph" w:styleId="ListNumber2">
    <w:name w:val="List Number 2"/>
    <w:basedOn w:val="Normal"/>
    <w:uiPriority w:val="99"/>
    <w:unhideWhenUsed/>
    <w:rsid w:val="0029639D"/>
    <w:pPr>
      <w:numPr>
        <w:numId w:val="6"/>
      </w:numPr>
      <w:spacing w:after="100"/>
      <w:contextualSpacing/>
    </w:pPr>
    <w:rPr>
      <w:rFonts w:ascii="Calibri" w:hAnsi="Calibri"/>
      <w:color w:val="000000"/>
      <w:sz w:val="22"/>
    </w:rPr>
  </w:style>
  <w:style w:type="paragraph" w:styleId="ListNumber3">
    <w:name w:val="List Number 3"/>
    <w:basedOn w:val="Normal"/>
    <w:uiPriority w:val="99"/>
    <w:unhideWhenUsed/>
    <w:rsid w:val="0029639D"/>
    <w:pPr>
      <w:numPr>
        <w:numId w:val="7"/>
      </w:numPr>
      <w:spacing w:after="100"/>
      <w:contextualSpacing/>
    </w:pPr>
    <w:rPr>
      <w:rFonts w:ascii="Calibri" w:hAnsi="Calibri"/>
      <w:color w:val="000000"/>
      <w:sz w:val="22"/>
    </w:rPr>
  </w:style>
  <w:style w:type="paragraph" w:styleId="ListContinue">
    <w:name w:val="List Continue"/>
    <w:basedOn w:val="Normal"/>
    <w:uiPriority w:val="99"/>
    <w:unhideWhenUsed/>
    <w:rsid w:val="0029639D"/>
    <w:pPr>
      <w:spacing w:after="100"/>
      <w:ind w:left="360"/>
      <w:contextualSpacing/>
    </w:pPr>
    <w:rPr>
      <w:rFonts w:ascii="Calibri" w:hAnsi="Calibri"/>
      <w:color w:val="000000"/>
      <w:sz w:val="22"/>
    </w:rPr>
  </w:style>
  <w:style w:type="paragraph" w:styleId="ListContinue2">
    <w:name w:val="List Continue 2"/>
    <w:basedOn w:val="Normal"/>
    <w:uiPriority w:val="99"/>
    <w:unhideWhenUsed/>
    <w:rsid w:val="0029639D"/>
    <w:pPr>
      <w:spacing w:after="100"/>
      <w:ind w:left="720"/>
      <w:contextualSpacing/>
    </w:pPr>
    <w:rPr>
      <w:rFonts w:ascii="Calibri" w:hAnsi="Calibri"/>
      <w:color w:val="000000"/>
      <w:sz w:val="22"/>
    </w:rPr>
  </w:style>
  <w:style w:type="paragraph" w:styleId="ListContinue3">
    <w:name w:val="List Continue 3"/>
    <w:basedOn w:val="Normal"/>
    <w:uiPriority w:val="99"/>
    <w:unhideWhenUsed/>
    <w:rsid w:val="0029639D"/>
    <w:pPr>
      <w:spacing w:after="100"/>
      <w:ind w:left="1080"/>
      <w:contextualSpacing/>
    </w:pPr>
    <w:rPr>
      <w:rFonts w:ascii="Calibri" w:hAnsi="Calibri"/>
      <w:color w:val="000000"/>
      <w:sz w:val="22"/>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100"/>
    </w:pPr>
    <w:rPr>
      <w:rFonts w:ascii="Calibri" w:hAnsi="Calibri"/>
      <w:color w:val="000000"/>
      <w:sz w:val="22"/>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00"/>
    </w:pPr>
    <w:rPr>
      <w:rFonts w:ascii="Calibri" w:hAnsi="Calibri"/>
      <w:i/>
      <w:iCs/>
      <w:color w:val="000000"/>
      <w:sz w:val="22"/>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00"/>
    </w:pPr>
    <w:rPr>
      <w:rFonts w:ascii="Calibri" w:hAnsi="Calibri"/>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100"/>
      <w:ind w:left="936" w:right="936"/>
    </w:pPr>
    <w:rPr>
      <w:rFonts w:ascii="Calibri" w:hAnsi="Calibri"/>
      <w:b/>
      <w:bCs/>
      <w:i/>
      <w:iCs/>
      <w:color w:val="000000"/>
      <w:sz w:val="22"/>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00"/>
      <w:outlineLvl w:val="9"/>
    </w:pPr>
    <w:rPr>
      <w:rFonts w:ascii="Calibri" w:hAnsi="Calibri"/>
      <w:color w:val="000000"/>
      <w:sz w:val="22"/>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100"/>
    </w:pPr>
    <w:rPr>
      <w:rFonts w:ascii="Calibri" w:hAnsi="Calibri"/>
      <w:color w:val="000000"/>
      <w:sz w:val="22"/>
    </w:rPr>
  </w:style>
  <w:style w:type="paragraph" w:customStyle="1" w:styleId="Callout">
    <w:name w:val="Callout"/>
    <w:pPr>
      <w:spacing w:after="100"/>
    </w:pPr>
    <w:rPr>
      <w:rFonts w:ascii="Calibri" w:hAnsi="Calibri"/>
      <w:b/>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www.oecd.org/en/publications/oslo-manual-2018_9789264304604-en/full-report/component-7.html" TargetMode="External"/><Relationship Id="rId13" Type="http://schemas.openxmlformats.org/officeDocument/2006/relationships/hyperlink" Target="https://arxiv.org/abs/2204.06125" TargetMode="External"/><Relationship Id="rId14" Type="http://schemas.openxmlformats.org/officeDocument/2006/relationships/hyperlink" Target="https://openai.com/index/dall-e-now-available-without-waitlist/" TargetMode="External"/><Relationship Id="rId15" Type="http://schemas.openxmlformats.org/officeDocument/2006/relationships/hyperlink" Target="https://hmgroup.com/news/hm-continues-its-exploration-of-creativity-with-ai/" TargetMode="External"/><Relationship Id="rId16" Type="http://schemas.openxmlformats.org/officeDocument/2006/relationships/header" Target="header2.xml"/><Relationship Id="rId17"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7921</Words>
  <Characters>45155</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Technologies - Specialist Agent Record Template</dc:title>
  <dc:subject>Student instructions for weekly individual assignments</dc:subject>
  <dc:creator>Andres Fortino</dc:creator>
  <cp:keywords>Advanced Business Informatics, weekly assignments, professional practice, AI, judgment, proof of concept</cp:keywords>
  <dc:description>generated by python-docx</dc:description>
  <cp:lastModifiedBy>Andres Fortino</cp:lastModifiedBy>
  <cp:revision>2</cp:revision>
  <dcterms:created xsi:type="dcterms:W3CDTF">2026-08-13T19:48:00Z</dcterms:created>
  <dcterms:modified xsi:type="dcterms:W3CDTF">2026-08-13T19:48:00Z</dcterms:modified>
  <cp:category/>
</cp:coreProperties>
</file>