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American College of Emergency Physicians Clinical Policies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"https://www.acep.org/patient-care/clinical-policies"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https://www.acep.org/patient-care/clinical-policies</w:t>
      </w:r>
      <w:r>
        <w:rPr/>
        <w:fldChar w:fldCharType="end" w:fldLock="0"/>
      </w:r>
      <w:r>
        <w:rPr>
          <w:rtl w:val="0"/>
        </w:rPr>
        <w:t xml:space="preserve">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“</w:t>
      </w:r>
      <w:r>
        <w:rPr>
          <w:rtl w:val="0"/>
        </w:rPr>
        <w:t>ACEP</w:t>
      </w:r>
      <w:r>
        <w:rPr>
          <w:rtl w:val="1"/>
        </w:rPr>
        <w:t>’</w:t>
      </w:r>
      <w:r>
        <w:rPr>
          <w:rtl w:val="0"/>
        </w:rPr>
        <w:t>s clinical policies are developed by the Clinical Policies Committee, guided by processes in accordance with national guideline-development standards. The policies are approved by the ACEP Board of Directors to provide guidance on the clinical management of emergency department patients. These ACEP Board-approved documents describe ACEP's policies on the clinical management of emergency department patients.</w:t>
      </w:r>
      <w:r>
        <w:rPr>
          <w:rtl w:val="0"/>
        </w:rPr>
        <w:t>”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