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Learning objective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Clustering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refers to a set of specific  algorithms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spark most commonly uses k-means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classes of clustering algorithms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eg hierarchical clustering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eg statistical clustering (k-means)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combination of the two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visualization tools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140200" cx="5943600"/>
            <wp:effectExtent t="0" b="0" r="0" l="0"/>
            <wp:docPr id="1" name="image01.gif" descr="HClst.8.gif"/>
            <a:graphic>
              <a:graphicData uri="http://schemas.openxmlformats.org/drawingml/2006/picture">
                <pic:pic>
                  <pic:nvPicPr>
                    <pic:cNvPr id="0" name="image01.gif" descr="HClst.8.gif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140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typical application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remove duplicates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https://spark.apache.org/docs/1.1.0/mllib-clustering.html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Machine Learning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refers to a set of algorithms and conceptual  frameworks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algorithms 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https://spark.apache.org/docs/1.1.0/mllib-guide.html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conceptual  frameworks supervised. semi-supervised, …. in the end comes down to a mathematical domain for the conceptual basis of the algorithm.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Data Science and Analysis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refers to a set of algorithms and conceptual  frameworks and tools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Spark in context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327400" cx="5943600"/>
            <wp:effectExtent t="0" b="0" r="0" l="0"/>
            <wp:docPr id="2" name="image03.png" descr="SparkInContext.PNG"/>
            <a:graphic>
              <a:graphicData uri="http://schemas.openxmlformats.org/drawingml/2006/picture">
                <pic:pic>
                  <pic:nvPicPr>
                    <pic:cNvPr id="0" name="image03.png" descr="SparkInContext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327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Summary Objective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be able to describe Apache Spark as a solution in a given context. Clustering, Machine Learning, Data Science and Analysis, …..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Clustering applications, eg remove duplicates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Machine Learning Mlib, training, recommendations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Spark components, Shark, GraphX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Runtime Modes, StandAlone, Yarn Cluster, Mesos Cluster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spark.apache.org/docs/1.1.0/mllib-guide.html" Type="http://schemas.openxmlformats.org/officeDocument/2006/relationships/hyperlink" TargetMode="External" Id="rId6"/><Relationship Target="media/image01.gif" Type="http://schemas.openxmlformats.org/officeDocument/2006/relationships/image" Id="rId5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objective 1.docx</dc:title>
</cp:coreProperties>
</file>