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Learning Objective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 be able to describe Apache Spark with Apache Yarn as a solution in a given context.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The Yarn cluster manager has two components.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 central master service the YARN ResourceManager.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 slave service running on every node the YARN NodeManager.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YARN is the only cluster manager for Spark that supports security.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When running Spark on YARN, each Spark executor runs as a YARN container.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Spark supports two modes for running on YARN, “yarn-cluster” mode and “yarn-client” mode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“yarn-cluster” mode is more like the traditional hadoop job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 yarn-client mode you can use using Spark interactively with the Spark Shell.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bit deeper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How spark runs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428875" cx="5715000"/>
            <wp:effectExtent t="0" b="0" r="0" l="0"/>
            <wp:docPr id="2" name="image04.png" descr="spark-yarn-f1.png"/>
            <a:graphic>
              <a:graphicData uri="http://schemas.openxmlformats.org/drawingml/2006/picture">
                <pic:pic>
                  <pic:nvPicPr>
                    <pic:cNvPr id="0" name="image04.png" descr="spark-yarn-f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428875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sz w:val="28"/>
          <w:rtl w:val="0"/>
        </w:rPr>
        <w:t xml:space="preserve">issues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0000ff"/>
          <w:sz w:val="24"/>
          <w:highlight w:val="white"/>
          <w:rtl w:val="0"/>
        </w:rPr>
        <w:t xml:space="preserve">yarn-cluster mode,</w:t>
      </w:r>
      <w:r w:rsidRPr="00000000" w:rsidR="00000000" w:rsidDel="00000000">
        <w:rPr>
          <w:color w:val="505050"/>
          <w:sz w:val="20"/>
          <w:highlight w:val="white"/>
          <w:rtl w:val="0"/>
        </w:rPr>
        <w:t xml:space="preserve"> the driver runs in the Application Master. This means that the same process is responsible for both driving the application and requesting resources from YARN, and this process runs inside a YARN container. The client that starts the app doesn’t need to stick around for its entire lifetime.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505050"/>
          <w:sz w:val="20"/>
          <w:highlight w:val="white"/>
          <w:rtl w:val="0"/>
        </w:rPr>
        <w:t xml:space="preserve">The yarn-cluster mode, however, is not well suited to using Spark interactively. Spark applications that require user input, like spark-shell, need the Spark driver to run inside the client process that initiates the Spark application.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0000ff"/>
          <w:sz w:val="24"/>
          <w:highlight w:val="white"/>
          <w:rtl w:val="0"/>
        </w:rPr>
        <w:t xml:space="preserve">yarn-client mode</w:t>
      </w:r>
      <w:r w:rsidRPr="00000000" w:rsidR="00000000" w:rsidDel="00000000">
        <w:rPr>
          <w:color w:val="505050"/>
          <w:sz w:val="20"/>
          <w:highlight w:val="white"/>
          <w:rtl w:val="0"/>
        </w:rPr>
        <w:t xml:space="preserve">, the Application Master is merely present to request executor containers from YARN. The client communicates with those containers to schedule work after they start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0000ff"/>
          <w:sz w:val="28"/>
          <w:highlight w:val="white"/>
          <w:rtl w:val="0"/>
        </w:rPr>
        <w:t xml:space="preserve">Summary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971675" cx="5000625"/>
            <wp:effectExtent t="0" b="0" r="0" l="0"/>
            <wp:docPr id="3" name="image05.png" descr="spark-yarn-table.png"/>
            <a:graphic>
              <a:graphicData uri="http://schemas.openxmlformats.org/drawingml/2006/picture">
                <pic:pic>
                  <pic:nvPicPr>
                    <pic:cNvPr id="0" name="image05.png" descr="spark-yarn-table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971675" cx="500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0000ff"/>
          <w:sz w:val="28"/>
          <w:highlight w:val="white"/>
          <w:rtl w:val="0"/>
        </w:rPr>
        <w:t xml:space="preserve">Spark Context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581275" cx="5600700"/>
            <wp:effectExtent t="0" b="0" r="0" l="0"/>
            <wp:docPr id="1" name="image03.png" descr="spark_integration.png"/>
            <a:graphic>
              <a:graphicData uri="http://schemas.openxmlformats.org/drawingml/2006/picture">
                <pic:pic>
                  <pic:nvPicPr>
                    <pic:cNvPr id="0" name="image03.png" descr="spark_integration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581275" cx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5.png" Type="http://schemas.openxmlformats.org/officeDocument/2006/relationships/image" Id="rId6"/><Relationship Target="media/image04.png" Type="http://schemas.openxmlformats.org/officeDocument/2006/relationships/image" Id="rId5"/><Relationship Target="media/image03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Objective 1.docx</dc:title>
</cp:coreProperties>
</file>