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7119" w:type="dxa"/>
        <w:tblLook w:val="04A0" w:firstRow="1" w:lastRow="0" w:firstColumn="1" w:lastColumn="0" w:noHBand="0" w:noVBand="1"/>
      </w:tblPr>
      <w:tblGrid>
        <w:gridCol w:w="3369"/>
        <w:gridCol w:w="6662"/>
        <w:gridCol w:w="7088"/>
      </w:tblGrid>
      <w:tr w:rsidR="00A2302B" w:rsidRPr="00F40E16" w:rsidTr="00077D91">
        <w:trPr>
          <w:tblHeader/>
        </w:trPr>
        <w:tc>
          <w:tcPr>
            <w:tcW w:w="3369" w:type="dxa"/>
          </w:tcPr>
          <w:p w:rsidR="00A2302B" w:rsidRPr="00255BCB" w:rsidRDefault="00077D91" w:rsidP="00255B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Caractéristiques</w:t>
            </w:r>
            <w:proofErr w:type="spellEnd"/>
          </w:p>
        </w:tc>
        <w:tc>
          <w:tcPr>
            <w:tcW w:w="6662" w:type="dxa"/>
          </w:tcPr>
          <w:p w:rsidR="00A2302B" w:rsidRPr="00255BCB" w:rsidRDefault="00FF0C79" w:rsidP="00840069">
            <w:pPr>
              <w:jc w:val="center"/>
              <w:rPr>
                <w:b/>
              </w:rPr>
            </w:pPr>
            <w:r>
              <w:rPr>
                <w:b/>
              </w:rPr>
              <w:t>GC</w:t>
            </w:r>
            <w:r w:rsidR="00840069">
              <w:rPr>
                <w:b/>
              </w:rPr>
              <w:t>c</w:t>
            </w:r>
            <w:r w:rsidR="00A2302B">
              <w:rPr>
                <w:b/>
              </w:rPr>
              <w:t>onnex</w:t>
            </w:r>
          </w:p>
        </w:tc>
        <w:tc>
          <w:tcPr>
            <w:tcW w:w="7088" w:type="dxa"/>
          </w:tcPr>
          <w:p w:rsidR="00A2302B" w:rsidRPr="00FC1389" w:rsidRDefault="00FF0C79" w:rsidP="00255BCB">
            <w:pPr>
              <w:jc w:val="center"/>
              <w:rPr>
                <w:b/>
                <w:lang w:val="fr-CA"/>
              </w:rPr>
            </w:pPr>
            <w:r w:rsidRPr="00FC1389">
              <w:rPr>
                <w:b/>
                <w:lang w:val="fr-CA"/>
              </w:rPr>
              <w:t>Outil de blogue de l’École en ligne</w:t>
            </w:r>
          </w:p>
        </w:tc>
      </w:tr>
      <w:tr w:rsidR="00A2302B" w:rsidRPr="000B5CF9" w:rsidTr="00814BE6">
        <w:tc>
          <w:tcPr>
            <w:tcW w:w="3369" w:type="dxa"/>
          </w:tcPr>
          <w:p w:rsidR="00A2302B" w:rsidRPr="00FC1389" w:rsidRDefault="002E687D" w:rsidP="00077D91">
            <w:pPr>
              <w:rPr>
                <w:lang w:val="fr-CA"/>
              </w:rPr>
            </w:pPr>
            <w:r w:rsidRPr="00FC1389">
              <w:rPr>
                <w:lang w:val="fr-CA"/>
              </w:rPr>
              <w:t>Endroits où il est possible de rédiger un blogue</w:t>
            </w:r>
          </w:p>
        </w:tc>
        <w:tc>
          <w:tcPr>
            <w:tcW w:w="6662" w:type="dxa"/>
          </w:tcPr>
          <w:p w:rsidR="0015439F" w:rsidRPr="000B5CF9" w:rsidRDefault="002E687D" w:rsidP="0015439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individuel</w:t>
            </w:r>
            <w:proofErr w:type="spellEnd"/>
          </w:p>
          <w:p w:rsidR="0021040C" w:rsidRPr="000B5CF9" w:rsidRDefault="002E687D" w:rsidP="002E687D">
            <w:pPr>
              <w:pStyle w:val="ListParagraph"/>
              <w:numPr>
                <w:ilvl w:val="0"/>
                <w:numId w:val="1"/>
              </w:numPr>
            </w:pPr>
            <w:r>
              <w:t>Au sein d’un groupe</w:t>
            </w:r>
          </w:p>
        </w:tc>
        <w:tc>
          <w:tcPr>
            <w:tcW w:w="7088" w:type="dxa"/>
          </w:tcPr>
          <w:p w:rsidR="00A2302B" w:rsidRPr="000B5CF9" w:rsidRDefault="002E687D" w:rsidP="002E687D">
            <w:pPr>
              <w:pStyle w:val="ListParagraph"/>
              <w:numPr>
                <w:ilvl w:val="0"/>
                <w:numId w:val="1"/>
              </w:numPr>
            </w:pPr>
            <w:r>
              <w:t>Profil individuel</w:t>
            </w:r>
          </w:p>
        </w:tc>
      </w:tr>
      <w:tr w:rsidR="00F7021C" w:rsidRPr="000B5CF9" w:rsidTr="00814BE6">
        <w:tc>
          <w:tcPr>
            <w:tcW w:w="3369" w:type="dxa"/>
          </w:tcPr>
          <w:p w:rsidR="00F7021C" w:rsidRPr="000B5CF9" w:rsidRDefault="00540E91" w:rsidP="00A90FD9">
            <w:r>
              <w:t>Abonnement</w:t>
            </w:r>
          </w:p>
        </w:tc>
        <w:tc>
          <w:tcPr>
            <w:tcW w:w="6662" w:type="dxa"/>
          </w:tcPr>
          <w:p w:rsidR="00F7021C" w:rsidRPr="00FC1389" w:rsidRDefault="00F7021C" w:rsidP="00A90FD9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FC1389">
              <w:rPr>
                <w:lang w:val="fr-CA"/>
              </w:rPr>
              <w:t>Blog</w:t>
            </w:r>
            <w:r w:rsidR="00540E91" w:rsidRPr="00FC1389">
              <w:rPr>
                <w:lang w:val="fr-CA"/>
              </w:rPr>
              <w:t>ue</w:t>
            </w:r>
            <w:r w:rsidRPr="00FC1389">
              <w:rPr>
                <w:lang w:val="fr-CA"/>
              </w:rPr>
              <w:t xml:space="preserve"> personnel : en ajoutant un collègue – avec </w:t>
            </w:r>
            <w:r w:rsidR="002D0492" w:rsidRPr="00FC1389">
              <w:rPr>
                <w:lang w:val="fr-CA"/>
              </w:rPr>
              <w:t>notification</w:t>
            </w:r>
            <w:r w:rsidRPr="00FC1389">
              <w:rPr>
                <w:lang w:val="fr-CA"/>
              </w:rPr>
              <w:t>s</w:t>
            </w:r>
          </w:p>
          <w:p w:rsidR="00F7021C" w:rsidRPr="00FC1389" w:rsidRDefault="002E687D" w:rsidP="002E687D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FC1389">
              <w:rPr>
                <w:lang w:val="fr-CA"/>
              </w:rPr>
              <w:t>Au sein d’un groupe</w:t>
            </w:r>
            <w:r w:rsidR="00F7021C" w:rsidRPr="00FC1389">
              <w:rPr>
                <w:lang w:val="fr-CA"/>
              </w:rPr>
              <w:t xml:space="preserve"> : en adhérant au groupe – avec </w:t>
            </w:r>
            <w:r w:rsidR="002D0492" w:rsidRPr="00FC1389">
              <w:rPr>
                <w:lang w:val="fr-CA"/>
              </w:rPr>
              <w:t>notification</w:t>
            </w:r>
            <w:r w:rsidR="00F7021C" w:rsidRPr="00FC1389">
              <w:rPr>
                <w:lang w:val="fr-CA"/>
              </w:rPr>
              <w:t>s de groupe</w:t>
            </w:r>
          </w:p>
        </w:tc>
        <w:tc>
          <w:tcPr>
            <w:tcW w:w="7088" w:type="dxa"/>
          </w:tcPr>
          <w:p w:rsidR="00F7021C" w:rsidRPr="000B5CF9" w:rsidRDefault="00540E91" w:rsidP="002E687D">
            <w:r>
              <w:t>Non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DE1364" w:rsidP="003D3028">
            <w:r>
              <w:t>Notifications</w:t>
            </w:r>
          </w:p>
        </w:tc>
        <w:tc>
          <w:tcPr>
            <w:tcW w:w="6662" w:type="dxa"/>
          </w:tcPr>
          <w:p w:rsidR="008F6F11" w:rsidRPr="00FC1389" w:rsidRDefault="008F6F11" w:rsidP="00840069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Sous </w:t>
            </w:r>
            <w:r w:rsidRPr="00FC1389">
              <w:rPr>
                <w:i/>
                <w:lang w:val="fr-CA"/>
              </w:rPr>
              <w:t>Paramètres</w:t>
            </w:r>
            <w:r w:rsidRPr="00FC1389">
              <w:rPr>
                <w:lang w:val="fr-CA"/>
              </w:rPr>
              <w:t xml:space="preserve">. </w:t>
            </w:r>
            <w:r w:rsidR="002E687D" w:rsidRPr="00FC1389">
              <w:rPr>
                <w:lang w:val="fr-CA"/>
              </w:rPr>
              <w:t>Possibilité</w:t>
            </w:r>
            <w:r w:rsidRPr="00FC1389">
              <w:rPr>
                <w:lang w:val="fr-CA"/>
              </w:rPr>
              <w:t xml:space="preserve"> de recevoir des </w:t>
            </w:r>
            <w:r w:rsidR="00DE1364" w:rsidRPr="00FC1389">
              <w:rPr>
                <w:lang w:val="fr-CA"/>
              </w:rPr>
              <w:t>notifications</w:t>
            </w:r>
            <w:r w:rsidRPr="00FC1389">
              <w:rPr>
                <w:lang w:val="fr-CA"/>
              </w:rPr>
              <w:t xml:space="preserve"> ou </w:t>
            </w:r>
            <w:r w:rsidR="00DE1364" w:rsidRPr="00FC1389">
              <w:rPr>
                <w:lang w:val="fr-CA"/>
              </w:rPr>
              <w:t>des notifications</w:t>
            </w:r>
            <w:r w:rsidRPr="00FC1389">
              <w:rPr>
                <w:lang w:val="fr-CA"/>
              </w:rPr>
              <w:t xml:space="preserve"> de groupe sur </w:t>
            </w:r>
            <w:proofErr w:type="spellStart"/>
            <w:r w:rsidRPr="00FC1389">
              <w:rPr>
                <w:lang w:val="fr-CA"/>
              </w:rPr>
              <w:t>GC</w:t>
            </w:r>
            <w:r w:rsidR="00840069" w:rsidRPr="00FC1389">
              <w:rPr>
                <w:lang w:val="fr-CA"/>
              </w:rPr>
              <w:t>c</w:t>
            </w:r>
            <w:r w:rsidRPr="00FC1389">
              <w:rPr>
                <w:lang w:val="fr-CA"/>
              </w:rPr>
              <w:t>onnex</w:t>
            </w:r>
            <w:proofErr w:type="spellEnd"/>
            <w:r w:rsidR="002E687D" w:rsidRPr="00FC1389">
              <w:rPr>
                <w:lang w:val="fr-CA"/>
              </w:rPr>
              <w:t xml:space="preserve"> et/ou par courriel ou de ne pas en recevoir</w:t>
            </w:r>
          </w:p>
        </w:tc>
        <w:tc>
          <w:tcPr>
            <w:tcW w:w="7088" w:type="dxa"/>
          </w:tcPr>
          <w:p w:rsidR="008F6F11" w:rsidRPr="000B5CF9" w:rsidRDefault="00540E91" w:rsidP="002E687D">
            <w:r>
              <w:t>Non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8F6F11"/>
        </w:tc>
        <w:tc>
          <w:tcPr>
            <w:tcW w:w="6662" w:type="dxa"/>
          </w:tcPr>
          <w:p w:rsidR="008F6F11" w:rsidRPr="000B5CF9" w:rsidRDefault="008F6F11"/>
        </w:tc>
        <w:tc>
          <w:tcPr>
            <w:tcW w:w="7088" w:type="dxa"/>
          </w:tcPr>
          <w:p w:rsidR="008F6F11" w:rsidRPr="000B5CF9" w:rsidRDefault="008F6F11" w:rsidP="00F7021C"/>
        </w:tc>
      </w:tr>
      <w:tr w:rsidR="008F6F11" w:rsidRPr="00F40E16" w:rsidTr="00814BE6">
        <w:tc>
          <w:tcPr>
            <w:tcW w:w="3369" w:type="dxa"/>
          </w:tcPr>
          <w:p w:rsidR="008F6F11" w:rsidRPr="000B5CF9" w:rsidRDefault="00540E91">
            <w:r>
              <w:t>Choix de langue</w:t>
            </w:r>
          </w:p>
        </w:tc>
        <w:tc>
          <w:tcPr>
            <w:tcW w:w="6662" w:type="dxa"/>
          </w:tcPr>
          <w:p w:rsidR="00682E34" w:rsidRPr="00FC1389" w:rsidRDefault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>Non</w:t>
            </w:r>
            <w:r w:rsidR="00840069" w:rsidRPr="00FC1389">
              <w:rPr>
                <w:lang w:val="fr-CA"/>
              </w:rPr>
              <w:t xml:space="preserve"> –</w:t>
            </w:r>
            <w:r w:rsidRPr="00FC1389">
              <w:rPr>
                <w:lang w:val="fr-CA"/>
              </w:rPr>
              <w:t xml:space="preserve"> Le blogue est publié, peu importe la langue dans laquelle il est rédigé.</w:t>
            </w:r>
          </w:p>
          <w:p w:rsidR="00B927AE" w:rsidRPr="00FC1389" w:rsidRDefault="00B927AE" w:rsidP="00385E44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Remarque : </w:t>
            </w:r>
            <w:r w:rsidR="00840069" w:rsidRPr="00FC1389">
              <w:rPr>
                <w:lang w:val="fr-CA"/>
              </w:rPr>
              <w:t>La rédaction d’un blogue à titre officiel dans l’École en ligne</w:t>
            </w:r>
            <w:r w:rsidRPr="00FC1389">
              <w:rPr>
                <w:lang w:val="fr-CA"/>
              </w:rPr>
              <w:t xml:space="preserve"> OU dans </w:t>
            </w:r>
            <w:proofErr w:type="spellStart"/>
            <w:r w:rsidRPr="00FC1389">
              <w:rPr>
                <w:lang w:val="fr-CA"/>
              </w:rPr>
              <w:t>GC</w:t>
            </w:r>
            <w:r w:rsidR="00840069" w:rsidRPr="00FC1389">
              <w:rPr>
                <w:lang w:val="fr-CA"/>
              </w:rPr>
              <w:t>c</w:t>
            </w:r>
            <w:r w:rsidRPr="00FC1389">
              <w:rPr>
                <w:lang w:val="fr-CA"/>
              </w:rPr>
              <w:t>onnex</w:t>
            </w:r>
            <w:proofErr w:type="spellEnd"/>
            <w:r w:rsidRPr="00FC1389">
              <w:rPr>
                <w:lang w:val="fr-CA"/>
              </w:rPr>
              <w:t xml:space="preserve"> </w:t>
            </w:r>
            <w:r w:rsidR="00840069" w:rsidRPr="00FC1389">
              <w:rPr>
                <w:lang w:val="fr-CA"/>
              </w:rPr>
              <w:t>devrait</w:t>
            </w:r>
            <w:r w:rsidRPr="00FC1389">
              <w:rPr>
                <w:lang w:val="fr-CA"/>
              </w:rPr>
              <w:t xml:space="preserve"> se faire dans les deux langues officielles. L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>absence d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 xml:space="preserve">option pour la langue dans </w:t>
            </w:r>
            <w:proofErr w:type="spellStart"/>
            <w:r w:rsidRPr="00FC1389">
              <w:rPr>
                <w:lang w:val="fr-CA"/>
              </w:rPr>
              <w:t>GCconnex</w:t>
            </w:r>
            <w:proofErr w:type="spellEnd"/>
            <w:r w:rsidRPr="00FC1389">
              <w:rPr>
                <w:lang w:val="fr-CA"/>
              </w:rPr>
              <w:t xml:space="preserve"> signifie simplement que la langue de l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 xml:space="preserve">interface ne </w:t>
            </w:r>
            <w:r w:rsidR="00385E44" w:rsidRPr="00FC1389">
              <w:rPr>
                <w:lang w:val="fr-CA"/>
              </w:rPr>
              <w:t>tient pas compte de la</w:t>
            </w:r>
            <w:r w:rsidR="00AC00CF" w:rsidRPr="00FC1389">
              <w:rPr>
                <w:lang w:val="fr-CA"/>
              </w:rPr>
              <w:t xml:space="preserve"> langue du contenu</w:t>
            </w:r>
            <w:r w:rsidR="00540E91" w:rsidRPr="00FC1389">
              <w:rPr>
                <w:lang w:val="fr-CA"/>
              </w:rPr>
              <w:t>.</w:t>
            </w:r>
          </w:p>
        </w:tc>
        <w:tc>
          <w:tcPr>
            <w:tcW w:w="7088" w:type="dxa"/>
          </w:tcPr>
          <w:p w:rsidR="008F6F11" w:rsidRPr="00FC1389" w:rsidRDefault="00840069" w:rsidP="005501BD">
            <w:pPr>
              <w:rPr>
                <w:lang w:val="fr-CA"/>
              </w:rPr>
            </w:pPr>
            <w:r w:rsidRPr="00FC1389">
              <w:rPr>
                <w:lang w:val="fr-CA"/>
              </w:rPr>
              <w:t>Oui –</w:t>
            </w:r>
            <w:r w:rsidR="008F6F11" w:rsidRPr="00FC1389">
              <w:rPr>
                <w:lang w:val="fr-CA"/>
              </w:rPr>
              <w:t xml:space="preserve"> Option dans un menu déroulant. La sélection d</w:t>
            </w:r>
            <w:r w:rsidR="00540E91" w:rsidRPr="00FC1389">
              <w:rPr>
                <w:lang w:val="fr-CA"/>
              </w:rPr>
              <w:t>’</w:t>
            </w:r>
            <w:r w:rsidR="008F6F11" w:rsidRPr="00FC1389">
              <w:rPr>
                <w:lang w:val="fr-CA"/>
              </w:rPr>
              <w:t xml:space="preserve">une langue entraîne la publication </w:t>
            </w:r>
            <w:r w:rsidR="005501BD" w:rsidRPr="00FC1389">
              <w:rPr>
                <w:lang w:val="fr-CA"/>
              </w:rPr>
              <w:t>du billet</w:t>
            </w:r>
            <w:r w:rsidR="008F6F11" w:rsidRPr="00FC1389">
              <w:rPr>
                <w:lang w:val="fr-CA"/>
              </w:rPr>
              <w:t xml:space="preserve"> dans la version appropriée du site (français ou anglais).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0B5CF9" w:rsidRDefault="00540E91">
            <w:proofErr w:type="spellStart"/>
            <w:r>
              <w:t>Fonction</w:t>
            </w:r>
            <w:proofErr w:type="spellEnd"/>
            <w:r>
              <w:t xml:space="preserve"> de résumé</w:t>
            </w:r>
          </w:p>
        </w:tc>
        <w:tc>
          <w:tcPr>
            <w:tcW w:w="6662" w:type="dxa"/>
          </w:tcPr>
          <w:p w:rsidR="008F6F11" w:rsidRPr="00FC1389" w:rsidRDefault="008F6F11" w:rsidP="00C23C84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Oui, dans le champ </w:t>
            </w:r>
            <w:r w:rsidRPr="00FC1389">
              <w:rPr>
                <w:i/>
                <w:lang w:val="fr-CA"/>
              </w:rPr>
              <w:t>Extrait</w:t>
            </w:r>
          </w:p>
        </w:tc>
        <w:tc>
          <w:tcPr>
            <w:tcW w:w="7088" w:type="dxa"/>
          </w:tcPr>
          <w:p w:rsidR="008F6F11" w:rsidRPr="00FC1389" w:rsidRDefault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Oui, en cliquant sur </w:t>
            </w:r>
            <w:r w:rsidRPr="00FC1389">
              <w:rPr>
                <w:i/>
                <w:lang w:val="fr-CA"/>
              </w:rPr>
              <w:t>Modifier le résumé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540E91">
            <w:proofErr w:type="spellStart"/>
            <w:r>
              <w:t>Éditeur</w:t>
            </w:r>
            <w:proofErr w:type="spellEnd"/>
          </w:p>
        </w:tc>
        <w:tc>
          <w:tcPr>
            <w:tcW w:w="6662" w:type="dxa"/>
          </w:tcPr>
          <w:p w:rsidR="008F6F11" w:rsidRPr="00FC1389" w:rsidRDefault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>Par défaut, options de base WYSISYG disponibles</w:t>
            </w:r>
          </w:p>
          <w:p w:rsidR="008F6F11" w:rsidRPr="00FC1389" w:rsidRDefault="008F6F11">
            <w:pPr>
              <w:rPr>
                <w:lang w:val="fr-CA"/>
              </w:rPr>
            </w:pPr>
          </w:p>
        </w:tc>
        <w:tc>
          <w:tcPr>
            <w:tcW w:w="7088" w:type="dxa"/>
          </w:tcPr>
          <w:p w:rsidR="008F6F11" w:rsidRPr="00FC1389" w:rsidRDefault="008F6F11" w:rsidP="00744913">
            <w:pPr>
              <w:rPr>
                <w:lang w:val="fr-CA"/>
              </w:rPr>
            </w:pPr>
            <w:r w:rsidRPr="00FC1389">
              <w:rPr>
                <w:lang w:val="fr-CA"/>
              </w:rPr>
              <w:t>Les options dans l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>éditeur varient selon le format sélectionné :</w:t>
            </w:r>
          </w:p>
          <w:p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>
              <w:t xml:space="preserve">HTML </w:t>
            </w:r>
            <w:proofErr w:type="spellStart"/>
            <w:r>
              <w:t>filtré</w:t>
            </w:r>
            <w:proofErr w:type="spellEnd"/>
          </w:p>
          <w:p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>
              <w:t>Texte brut – aucun éditeur</w:t>
            </w:r>
          </w:p>
          <w:p w:rsidR="008F6F11" w:rsidRPr="000B5CF9" w:rsidRDefault="00540E91" w:rsidP="00C23C84">
            <w:pPr>
              <w:pStyle w:val="ListParagraph"/>
              <w:numPr>
                <w:ilvl w:val="0"/>
                <w:numId w:val="1"/>
              </w:numPr>
            </w:pPr>
            <w:r>
              <w:t>HTML complet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8F6F11" w:rsidP="00C23C84">
            <w:r>
              <w:t>Option HTML</w:t>
            </w:r>
          </w:p>
        </w:tc>
        <w:tc>
          <w:tcPr>
            <w:tcW w:w="6662" w:type="dxa"/>
          </w:tcPr>
          <w:p w:rsidR="008F6F11" w:rsidRPr="00FC1389" w:rsidRDefault="008F6F11" w:rsidP="0015439F">
            <w:pPr>
              <w:rPr>
                <w:lang w:val="fr-CA"/>
              </w:rPr>
            </w:pPr>
            <w:r w:rsidRPr="00FC1389">
              <w:rPr>
                <w:lang w:val="fr-CA"/>
              </w:rPr>
              <w:t>Si vous connaissez le codage en langage HTML, vous pouvez l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>utiliser dans l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>éditeur.</w:t>
            </w:r>
          </w:p>
          <w:p w:rsidR="008F6F11" w:rsidRPr="00FC1389" w:rsidRDefault="008F6F11" w:rsidP="0015439F">
            <w:pPr>
              <w:rPr>
                <w:lang w:val="fr-CA"/>
              </w:rPr>
            </w:pPr>
            <w:r w:rsidRPr="00FC1389">
              <w:rPr>
                <w:lang w:val="fr-CA"/>
              </w:rPr>
              <w:t>Vous pouvez aussi cliquer sur le bouton HTML pour travailler dans une fenêtre c</w:t>
            </w:r>
            <w:r w:rsidR="00540E91" w:rsidRPr="00FC1389">
              <w:rPr>
                <w:lang w:val="fr-CA"/>
              </w:rPr>
              <w:t>ompatible avec le langage HTML.</w:t>
            </w:r>
          </w:p>
        </w:tc>
        <w:tc>
          <w:tcPr>
            <w:tcW w:w="7088" w:type="dxa"/>
          </w:tcPr>
          <w:p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>
              <w:t xml:space="preserve">HTML </w:t>
            </w:r>
            <w:proofErr w:type="spellStart"/>
            <w:r>
              <w:t>filtré</w:t>
            </w:r>
            <w:proofErr w:type="spellEnd"/>
          </w:p>
          <w:p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>
              <w:t>Texte brut – aucun éditeur</w:t>
            </w:r>
          </w:p>
          <w:p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>
              <w:t>HTML complet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8F6F11" w:rsidP="003D3028">
            <w:r>
              <w:t>Option d</w:t>
            </w:r>
            <w:r w:rsidR="00540E91">
              <w:t>’aperçu</w:t>
            </w:r>
          </w:p>
        </w:tc>
        <w:tc>
          <w:tcPr>
            <w:tcW w:w="6662" w:type="dxa"/>
          </w:tcPr>
          <w:p w:rsidR="008F6F11" w:rsidRPr="000B5CF9" w:rsidRDefault="00604D0D" w:rsidP="003D3028">
            <w:r>
              <w:t>Oui</w:t>
            </w:r>
          </w:p>
        </w:tc>
        <w:tc>
          <w:tcPr>
            <w:tcW w:w="7088" w:type="dxa"/>
          </w:tcPr>
          <w:p w:rsidR="008F6F11" w:rsidRPr="000B5CF9" w:rsidRDefault="00604D0D" w:rsidP="003D3028">
            <w:r>
              <w:t>Oui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8F6F11" w:rsidP="002968BD">
            <w:r>
              <w:t>Option d</w:t>
            </w:r>
            <w:r w:rsidR="00540E91">
              <w:t>’</w:t>
            </w:r>
            <w:r>
              <w:t>enregistrement d</w:t>
            </w:r>
            <w:r w:rsidR="002968BD">
              <w:t>e brouillon</w:t>
            </w:r>
          </w:p>
        </w:tc>
        <w:tc>
          <w:tcPr>
            <w:tcW w:w="6662" w:type="dxa"/>
          </w:tcPr>
          <w:p w:rsidR="008F6F11" w:rsidRPr="00FC1389" w:rsidRDefault="008F6F11" w:rsidP="002968BD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Oui (sélectionner </w:t>
            </w:r>
            <w:r w:rsidR="002968BD" w:rsidRPr="00FC1389">
              <w:rPr>
                <w:i/>
                <w:lang w:val="fr-CA"/>
              </w:rPr>
              <w:t>Brouillon</w:t>
            </w:r>
            <w:r w:rsidRPr="00FC1389">
              <w:rPr>
                <w:lang w:val="fr-CA"/>
              </w:rPr>
              <w:t xml:space="preserve"> dans le menu </w:t>
            </w:r>
            <w:r w:rsidR="002968BD" w:rsidRPr="00FC1389">
              <w:rPr>
                <w:i/>
                <w:lang w:val="fr-CA"/>
              </w:rPr>
              <w:t>Statu</w:t>
            </w:r>
            <w:r w:rsidRPr="00FC1389">
              <w:rPr>
                <w:i/>
                <w:lang w:val="fr-CA"/>
              </w:rPr>
              <w:t>t</w:t>
            </w:r>
            <w:r w:rsidR="00604D0D" w:rsidRPr="00FC1389">
              <w:rPr>
                <w:lang w:val="fr-CA"/>
              </w:rPr>
              <w:t>)</w:t>
            </w:r>
          </w:p>
        </w:tc>
        <w:tc>
          <w:tcPr>
            <w:tcW w:w="7088" w:type="dxa"/>
          </w:tcPr>
          <w:p w:rsidR="008F6F11" w:rsidRPr="000B5CF9" w:rsidRDefault="00604D0D" w:rsidP="00744913">
            <w:r>
              <w:t>Non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FC1389" w:rsidRDefault="008F6F11" w:rsidP="003D3028">
            <w:pPr>
              <w:rPr>
                <w:lang w:val="fr-CA"/>
              </w:rPr>
            </w:pPr>
            <w:r w:rsidRPr="00FC1389">
              <w:rPr>
                <w:lang w:val="fr-CA"/>
              </w:rPr>
              <w:t>Option pour acti</w:t>
            </w:r>
            <w:r w:rsidR="00540E91" w:rsidRPr="00FC1389">
              <w:rPr>
                <w:lang w:val="fr-CA"/>
              </w:rPr>
              <w:t>ver/désactiver les commentaires</w:t>
            </w:r>
          </w:p>
        </w:tc>
        <w:tc>
          <w:tcPr>
            <w:tcW w:w="6662" w:type="dxa"/>
          </w:tcPr>
          <w:p w:rsidR="008F6F11" w:rsidRPr="000B5CF9" w:rsidRDefault="001F5377" w:rsidP="003D3028">
            <w:proofErr w:type="spellStart"/>
            <w:r>
              <w:t>Oui</w:t>
            </w:r>
            <w:proofErr w:type="spellEnd"/>
          </w:p>
        </w:tc>
        <w:tc>
          <w:tcPr>
            <w:tcW w:w="7088" w:type="dxa"/>
          </w:tcPr>
          <w:p w:rsidR="008F6F11" w:rsidRPr="00FC1389" w:rsidRDefault="008F6F11" w:rsidP="001F5377">
            <w:pPr>
              <w:rPr>
                <w:lang w:val="fr-CA"/>
              </w:rPr>
            </w:pPr>
            <w:r w:rsidRPr="00FC1389">
              <w:rPr>
                <w:lang w:val="fr-CA"/>
              </w:rPr>
              <w:t>Non</w:t>
            </w:r>
            <w:r w:rsidR="001F5377" w:rsidRPr="00FC1389">
              <w:rPr>
                <w:lang w:val="fr-CA"/>
              </w:rPr>
              <w:t xml:space="preserve"> –</w:t>
            </w:r>
            <w:r w:rsidRPr="00FC1389">
              <w:rPr>
                <w:lang w:val="fr-CA"/>
              </w:rPr>
              <w:t xml:space="preserve"> Les comm</w:t>
            </w:r>
            <w:r w:rsidR="00540E91" w:rsidRPr="00FC1389">
              <w:rPr>
                <w:lang w:val="fr-CA"/>
              </w:rPr>
              <w:t>entaires sont toujours activés.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0B5CF9" w:rsidRDefault="00540E91" w:rsidP="003D3028">
            <w:r w:rsidRPr="00FC1389">
              <w:rPr>
                <w:lang w:val="fr-CA"/>
              </w:rPr>
              <w:br w:type="page"/>
            </w:r>
            <w:proofErr w:type="spellStart"/>
            <w:r>
              <w:t>Hyperliens</w:t>
            </w:r>
            <w:proofErr w:type="spellEnd"/>
          </w:p>
        </w:tc>
        <w:tc>
          <w:tcPr>
            <w:tcW w:w="6662" w:type="dxa"/>
          </w:tcPr>
          <w:p w:rsidR="008F6F11" w:rsidRPr="00FC1389" w:rsidRDefault="008F6F11" w:rsidP="00071665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Doivent être </w:t>
            </w:r>
            <w:r w:rsidR="00071665" w:rsidRPr="00FC1389">
              <w:rPr>
                <w:lang w:val="fr-CA"/>
              </w:rPr>
              <w:t>insérés</w:t>
            </w:r>
            <w:r w:rsidRPr="00FC1389">
              <w:rPr>
                <w:lang w:val="fr-CA"/>
              </w:rPr>
              <w:t xml:space="preserve"> (les adresses de courriel et </w:t>
            </w:r>
            <w:r w:rsidR="001F5377" w:rsidRPr="00FC1389">
              <w:rPr>
                <w:lang w:val="fr-CA"/>
              </w:rPr>
              <w:t>les hyperliens</w:t>
            </w:r>
            <w:r w:rsidRPr="00FC1389">
              <w:rPr>
                <w:lang w:val="fr-CA"/>
              </w:rPr>
              <w:t xml:space="preserve"> ne </w:t>
            </w:r>
            <w:r w:rsidR="00071665" w:rsidRPr="00FC1389">
              <w:rPr>
                <w:lang w:val="fr-CA"/>
              </w:rPr>
              <w:t xml:space="preserve">deviennent pas « actifs » </w:t>
            </w:r>
            <w:r w:rsidRPr="00FC1389">
              <w:rPr>
                <w:lang w:val="fr-CA"/>
              </w:rPr>
              <w:t>lor</w:t>
            </w:r>
            <w:r w:rsidR="00071665" w:rsidRPr="00FC1389">
              <w:rPr>
                <w:lang w:val="fr-CA"/>
              </w:rPr>
              <w:t>sque le blogue est enregistré)</w:t>
            </w:r>
          </w:p>
        </w:tc>
        <w:tc>
          <w:tcPr>
            <w:tcW w:w="7088" w:type="dxa"/>
          </w:tcPr>
          <w:p w:rsidR="008F6F11" w:rsidRPr="00FC1389" w:rsidRDefault="008F6F11" w:rsidP="003D3028">
            <w:pPr>
              <w:rPr>
                <w:lang w:val="fr-CA"/>
              </w:rPr>
            </w:pPr>
            <w:r w:rsidRPr="00FC1389">
              <w:rPr>
                <w:lang w:val="fr-CA"/>
              </w:rPr>
              <w:t>Les adresses de courriel et de pages Web se transforment automatiquement en liens.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0B5CF9" w:rsidRDefault="001F5377" w:rsidP="003D3028">
            <w:r>
              <w:t>Images</w:t>
            </w:r>
          </w:p>
        </w:tc>
        <w:tc>
          <w:tcPr>
            <w:tcW w:w="6662" w:type="dxa"/>
          </w:tcPr>
          <w:p w:rsidR="008F6F11" w:rsidRPr="000B5CF9" w:rsidRDefault="001F5377" w:rsidP="00540E91">
            <w:r>
              <w:t>Oui</w:t>
            </w:r>
          </w:p>
        </w:tc>
        <w:tc>
          <w:tcPr>
            <w:tcW w:w="7088" w:type="dxa"/>
          </w:tcPr>
          <w:p w:rsidR="008F6F11" w:rsidRPr="00FC1389" w:rsidRDefault="008F6F11" w:rsidP="003D3028">
            <w:pPr>
              <w:rPr>
                <w:lang w:val="fr-CA"/>
              </w:rPr>
            </w:pPr>
            <w:r w:rsidRPr="00FC1389">
              <w:rPr>
                <w:lang w:val="fr-CA"/>
              </w:rPr>
              <w:t>Seulement en fo</w:t>
            </w:r>
            <w:r w:rsidR="00071665" w:rsidRPr="00FC1389">
              <w:rPr>
                <w:lang w:val="fr-CA"/>
              </w:rPr>
              <w:t>rmat HTML complet</w:t>
            </w:r>
          </w:p>
        </w:tc>
      </w:tr>
      <w:tr w:rsidR="008F6F11" w:rsidRPr="000B5CF9" w:rsidTr="00814BE6">
        <w:tc>
          <w:tcPr>
            <w:tcW w:w="3369" w:type="dxa"/>
          </w:tcPr>
          <w:p w:rsidR="008F6F11" w:rsidRPr="000B5CF9" w:rsidRDefault="00540E91" w:rsidP="003D3028">
            <w:proofErr w:type="spellStart"/>
            <w:r>
              <w:t>Onglets</w:t>
            </w:r>
            <w:proofErr w:type="spellEnd"/>
          </w:p>
        </w:tc>
        <w:tc>
          <w:tcPr>
            <w:tcW w:w="6662" w:type="dxa"/>
          </w:tcPr>
          <w:p w:rsidR="008F6F11" w:rsidRPr="000B5CF9" w:rsidRDefault="001F5377" w:rsidP="003D3028">
            <w:r>
              <w:t>Ou</w:t>
            </w:r>
            <w:r w:rsidR="00F40E16">
              <w:t>i</w:t>
            </w:r>
            <w:bookmarkStart w:id="0" w:name="_GoBack"/>
            <w:bookmarkEnd w:id="0"/>
            <w:r w:rsidR="00540E91">
              <w:t>.</w:t>
            </w:r>
          </w:p>
        </w:tc>
        <w:tc>
          <w:tcPr>
            <w:tcW w:w="7088" w:type="dxa"/>
          </w:tcPr>
          <w:p w:rsidR="008F6F11" w:rsidRPr="000B5CF9" w:rsidRDefault="00071665" w:rsidP="003D3028">
            <w:r>
              <w:t>Non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FC1389" w:rsidRDefault="008F6F11" w:rsidP="00071665">
            <w:pPr>
              <w:rPr>
                <w:lang w:val="fr-CA"/>
              </w:rPr>
            </w:pPr>
            <w:r w:rsidRPr="00FC1389">
              <w:rPr>
                <w:lang w:val="fr-CA"/>
              </w:rPr>
              <w:t>Suppression d</w:t>
            </w:r>
            <w:r w:rsidR="00540E91" w:rsidRPr="00FC1389">
              <w:rPr>
                <w:lang w:val="fr-CA"/>
              </w:rPr>
              <w:t xml:space="preserve">’un </w:t>
            </w:r>
            <w:r w:rsidR="00071665" w:rsidRPr="00FC1389">
              <w:rPr>
                <w:lang w:val="fr-CA"/>
              </w:rPr>
              <w:t>billet de</w:t>
            </w:r>
            <w:r w:rsidR="00540E91" w:rsidRPr="00FC1389">
              <w:rPr>
                <w:lang w:val="fr-CA"/>
              </w:rPr>
              <w:t xml:space="preserve"> blogue</w:t>
            </w:r>
          </w:p>
        </w:tc>
        <w:tc>
          <w:tcPr>
            <w:tcW w:w="6662" w:type="dxa"/>
          </w:tcPr>
          <w:p w:rsidR="008F6F11" w:rsidRPr="00FC1389" w:rsidRDefault="00071665" w:rsidP="003D3028">
            <w:pPr>
              <w:rPr>
                <w:lang w:val="fr-CA"/>
              </w:rPr>
            </w:pPr>
            <w:r w:rsidRPr="00FC1389">
              <w:rPr>
                <w:lang w:val="fr-CA"/>
              </w:rPr>
              <w:t>Oui –</w:t>
            </w:r>
            <w:r w:rsidR="008F6F11" w:rsidRPr="00FC1389">
              <w:rPr>
                <w:lang w:val="fr-CA"/>
              </w:rPr>
              <w:t xml:space="preserve"> Cliquer sur le X (option disponible avec un seul clic)</w:t>
            </w:r>
          </w:p>
          <w:p w:rsidR="008F6F11" w:rsidRPr="00FC1389" w:rsidRDefault="008F6F11" w:rsidP="003D3028">
            <w:pPr>
              <w:rPr>
                <w:lang w:val="fr-CA"/>
              </w:rPr>
            </w:pPr>
          </w:p>
        </w:tc>
        <w:tc>
          <w:tcPr>
            <w:tcW w:w="7088" w:type="dxa"/>
          </w:tcPr>
          <w:p w:rsidR="008F6F11" w:rsidRPr="00FC1389" w:rsidRDefault="00071665" w:rsidP="00C054FF">
            <w:pPr>
              <w:rPr>
                <w:lang w:val="fr-CA"/>
              </w:rPr>
            </w:pPr>
            <w:r w:rsidRPr="00FC1389">
              <w:rPr>
                <w:lang w:val="fr-CA"/>
              </w:rPr>
              <w:t>Oui –</w:t>
            </w:r>
            <w:r w:rsidR="008F6F11" w:rsidRPr="00FC1389">
              <w:rPr>
                <w:lang w:val="fr-CA"/>
              </w:rPr>
              <w:t xml:space="preserve"> Cliquer sur </w:t>
            </w:r>
            <w:r w:rsidR="00C054FF" w:rsidRPr="00FC1389">
              <w:rPr>
                <w:i/>
                <w:lang w:val="fr-CA"/>
              </w:rPr>
              <w:t>Modifier</w:t>
            </w:r>
            <w:r w:rsidR="008F6F11" w:rsidRPr="00FC1389">
              <w:rPr>
                <w:lang w:val="fr-CA"/>
              </w:rPr>
              <w:t xml:space="preserve">, puis sur </w:t>
            </w:r>
            <w:r w:rsidR="008F6F11" w:rsidRPr="00FC1389">
              <w:rPr>
                <w:i/>
                <w:lang w:val="fr-CA"/>
              </w:rPr>
              <w:t>Supprimer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FC1389" w:rsidRDefault="00682E34">
            <w:pPr>
              <w:rPr>
                <w:lang w:val="fr-CA"/>
              </w:rPr>
            </w:pPr>
            <w:r w:rsidRPr="00FC1389">
              <w:rPr>
                <w:lang w:val="fr-CA"/>
              </w:rPr>
              <w:lastRenderedPageBreak/>
              <w:br w:type="page"/>
            </w:r>
            <w:r w:rsidRPr="00FC1389">
              <w:rPr>
                <w:lang w:val="fr-CA"/>
              </w:rPr>
              <w:br w:type="page"/>
            </w:r>
            <w:r w:rsidRPr="00FC1389">
              <w:rPr>
                <w:lang w:val="fr-CA"/>
              </w:rPr>
              <w:br w:type="page"/>
              <w:t>P</w:t>
            </w:r>
            <w:r w:rsidR="00540E91" w:rsidRPr="00FC1389">
              <w:rPr>
                <w:lang w:val="fr-CA"/>
              </w:rPr>
              <w:t>ublic – qui peut voir le blogue</w:t>
            </w:r>
          </w:p>
        </w:tc>
        <w:tc>
          <w:tcPr>
            <w:tcW w:w="6662" w:type="dxa"/>
          </w:tcPr>
          <w:p w:rsidR="008F6F11" w:rsidRPr="000B5CF9" w:rsidRDefault="008F6F11">
            <w:r>
              <w:t xml:space="preserve">Configurations </w:t>
            </w:r>
            <w:proofErr w:type="spellStart"/>
            <w:r>
              <w:t>d</w:t>
            </w:r>
            <w:r w:rsidR="00540E91">
              <w:t>’</w:t>
            </w:r>
            <w:r>
              <w:t>accès</w:t>
            </w:r>
            <w:proofErr w:type="spellEnd"/>
            <w:r>
              <w:t xml:space="preserve"> </w:t>
            </w:r>
            <w:proofErr w:type="spellStart"/>
            <w:r>
              <w:t>possibles</w:t>
            </w:r>
            <w:proofErr w:type="spellEnd"/>
            <w:r>
              <w:t> :</w:t>
            </w:r>
          </w:p>
          <w:p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>
              <w:t>Privé</w:t>
            </w:r>
          </w:p>
          <w:p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>
              <w:t>Utilisateurs connectés</w:t>
            </w:r>
          </w:p>
          <w:p w:rsidR="008F6F11" w:rsidRPr="000B5CF9" w:rsidRDefault="00071665" w:rsidP="0021040C">
            <w:pPr>
              <w:pStyle w:val="ListParagraph"/>
              <w:numPr>
                <w:ilvl w:val="0"/>
                <w:numId w:val="2"/>
              </w:numPr>
            </w:pPr>
            <w:r>
              <w:t>Co</w:t>
            </w:r>
            <w:r w:rsidR="008F6F11">
              <w:t>llègues</w:t>
            </w:r>
          </w:p>
          <w:p w:rsidR="008F6F11" w:rsidRPr="000B5CF9" w:rsidRDefault="00071665" w:rsidP="0021040C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8F6F11">
              <w:t>ublic</w:t>
            </w:r>
          </w:p>
          <w:p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>
              <w:t>Membres du groupe</w:t>
            </w:r>
          </w:p>
          <w:p w:rsidR="008F6F11" w:rsidRPr="000B5CF9" w:rsidRDefault="00540E91" w:rsidP="0021040C">
            <w:pPr>
              <w:pStyle w:val="ListParagraph"/>
              <w:numPr>
                <w:ilvl w:val="0"/>
                <w:numId w:val="2"/>
              </w:numPr>
            </w:pPr>
            <w:r>
              <w:t>Tout autre cercle créé</w:t>
            </w:r>
          </w:p>
        </w:tc>
        <w:tc>
          <w:tcPr>
            <w:tcW w:w="7088" w:type="dxa"/>
          </w:tcPr>
          <w:p w:rsidR="008F6F11" w:rsidRPr="00FC1389" w:rsidRDefault="008F6F11" w:rsidP="00071665">
            <w:pPr>
              <w:rPr>
                <w:lang w:val="fr-CA"/>
              </w:rPr>
            </w:pPr>
            <w:r w:rsidRPr="00FC1389">
              <w:rPr>
                <w:lang w:val="fr-CA"/>
              </w:rPr>
              <w:t>Tout util</w:t>
            </w:r>
            <w:r w:rsidR="00540E91" w:rsidRPr="00FC1389">
              <w:rPr>
                <w:lang w:val="fr-CA"/>
              </w:rPr>
              <w:t xml:space="preserve">isateur connecté </w:t>
            </w:r>
            <w:r w:rsidR="00071665" w:rsidRPr="00FC1389">
              <w:rPr>
                <w:lang w:val="fr-CA"/>
              </w:rPr>
              <w:t>à l’École en ligne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0B5CF9" w:rsidRDefault="00540E91">
            <w:r>
              <w:t xml:space="preserve">Publication de </w:t>
            </w:r>
            <w:proofErr w:type="spellStart"/>
            <w:r>
              <w:t>commentaires</w:t>
            </w:r>
            <w:proofErr w:type="spellEnd"/>
          </w:p>
        </w:tc>
        <w:tc>
          <w:tcPr>
            <w:tcW w:w="6662" w:type="dxa"/>
          </w:tcPr>
          <w:p w:rsidR="008F6F11" w:rsidRPr="00FC1389" w:rsidRDefault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Option disponible si activée par le blogueur (voir </w:t>
            </w:r>
            <w:r w:rsidRPr="00FC1389">
              <w:rPr>
                <w:i/>
                <w:lang w:val="fr-CA"/>
              </w:rPr>
              <w:t>Option pour activer/désactiver les commentaires</w:t>
            </w:r>
            <w:r w:rsidR="005E293F" w:rsidRPr="00FC1389">
              <w:rPr>
                <w:lang w:val="fr-CA"/>
              </w:rPr>
              <w:t>)</w:t>
            </w:r>
          </w:p>
          <w:p w:rsidR="008F6F11" w:rsidRPr="000B5CF9" w:rsidRDefault="005E293F">
            <w:proofErr w:type="spellStart"/>
            <w:r>
              <w:t>Éditeur</w:t>
            </w:r>
            <w:proofErr w:type="spellEnd"/>
            <w:r>
              <w:t xml:space="preserve"> de </w:t>
            </w:r>
            <w:proofErr w:type="spellStart"/>
            <w:r>
              <w:t>texte</w:t>
            </w:r>
            <w:proofErr w:type="spellEnd"/>
            <w:r>
              <w:t xml:space="preserve"> </w:t>
            </w:r>
            <w:proofErr w:type="spellStart"/>
            <w:r>
              <w:t>disponible</w:t>
            </w:r>
            <w:proofErr w:type="spellEnd"/>
            <w:r>
              <w:t>.</w:t>
            </w:r>
          </w:p>
        </w:tc>
        <w:tc>
          <w:tcPr>
            <w:tcW w:w="7088" w:type="dxa"/>
          </w:tcPr>
          <w:p w:rsidR="008F6F11" w:rsidRPr="00FC1389" w:rsidRDefault="00077D91">
            <w:pPr>
              <w:rPr>
                <w:lang w:val="fr-CA"/>
              </w:rPr>
            </w:pPr>
            <w:r w:rsidRPr="00FC1389">
              <w:rPr>
                <w:lang w:val="fr-CA"/>
              </w:rPr>
              <w:t>Option toujours disponible</w:t>
            </w:r>
          </w:p>
          <w:p w:rsidR="008F6F11" w:rsidRPr="00FC1389" w:rsidRDefault="005E293F">
            <w:pPr>
              <w:rPr>
                <w:lang w:val="fr-CA"/>
              </w:rPr>
            </w:pPr>
            <w:r w:rsidRPr="00FC1389">
              <w:rPr>
                <w:lang w:val="fr-CA"/>
              </w:rPr>
              <w:t>Aucun éditeur de texte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FC1389" w:rsidRDefault="008F6F11" w:rsidP="003D3028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Réponse </w:t>
            </w:r>
            <w:r w:rsidR="00540E91" w:rsidRPr="00FC1389">
              <w:rPr>
                <w:lang w:val="fr-CA"/>
              </w:rPr>
              <w:t>à un commentaire en particulier</w:t>
            </w:r>
          </w:p>
        </w:tc>
        <w:tc>
          <w:tcPr>
            <w:tcW w:w="6662" w:type="dxa"/>
          </w:tcPr>
          <w:p w:rsidR="008F6F11" w:rsidRPr="000B5CF9" w:rsidRDefault="005E293F" w:rsidP="003D3028">
            <w:r>
              <w:t>Non</w:t>
            </w:r>
          </w:p>
        </w:tc>
        <w:tc>
          <w:tcPr>
            <w:tcW w:w="7088" w:type="dxa"/>
          </w:tcPr>
          <w:p w:rsidR="008F6F11" w:rsidRPr="00FC1389" w:rsidRDefault="008F6F11" w:rsidP="005E293F">
            <w:pPr>
              <w:rPr>
                <w:lang w:val="fr-CA"/>
              </w:rPr>
            </w:pPr>
            <w:r w:rsidRPr="00FC1389">
              <w:rPr>
                <w:lang w:val="fr-CA"/>
              </w:rPr>
              <w:t>Oui</w:t>
            </w:r>
            <w:r w:rsidR="005E293F" w:rsidRPr="00FC1389">
              <w:rPr>
                <w:lang w:val="fr-CA"/>
              </w:rPr>
              <w:t xml:space="preserve"> –</w:t>
            </w:r>
            <w:r w:rsidRPr="00FC1389">
              <w:rPr>
                <w:lang w:val="fr-CA"/>
              </w:rPr>
              <w:t xml:space="preserve"> Cliquez sur </w:t>
            </w:r>
            <w:r w:rsidRPr="00FC1389">
              <w:rPr>
                <w:i/>
                <w:lang w:val="fr-CA"/>
              </w:rPr>
              <w:t>Répondre</w:t>
            </w:r>
            <w:r w:rsidRPr="00FC1389">
              <w:rPr>
                <w:lang w:val="fr-CA"/>
              </w:rPr>
              <w:t xml:space="preserve"> à côté du commentaire </w:t>
            </w:r>
            <w:r w:rsidR="005E293F" w:rsidRPr="00FC1389">
              <w:rPr>
                <w:lang w:val="fr-CA"/>
              </w:rPr>
              <w:t>auquel vous souhaitez répondre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Pr="000B5CF9" w:rsidRDefault="005E293F">
            <w:r>
              <w:t>Surveillance</w:t>
            </w:r>
            <w:r w:rsidR="00540E91">
              <w:t xml:space="preserve"> des </w:t>
            </w:r>
            <w:proofErr w:type="spellStart"/>
            <w:r w:rsidR="00540E91">
              <w:t>commentaires</w:t>
            </w:r>
            <w:proofErr w:type="spellEnd"/>
          </w:p>
        </w:tc>
        <w:tc>
          <w:tcPr>
            <w:tcW w:w="6662" w:type="dxa"/>
          </w:tcPr>
          <w:p w:rsidR="008F6F11" w:rsidRPr="00FC1389" w:rsidRDefault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Blogue de groupe : le propriétaire et les opérateurs ont le pouvoir de supprimer </w:t>
            </w:r>
            <w:r w:rsidR="005E293F" w:rsidRPr="00FC1389">
              <w:rPr>
                <w:lang w:val="fr-CA"/>
              </w:rPr>
              <w:t>ou de modifier des commentaires</w:t>
            </w:r>
          </w:p>
          <w:p w:rsidR="008F6F11" w:rsidRPr="00FC1389" w:rsidRDefault="008F6F11" w:rsidP="005E293F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Blogue personnel : le blogueur peut supprimer des commentaires </w:t>
            </w:r>
          </w:p>
        </w:tc>
        <w:tc>
          <w:tcPr>
            <w:tcW w:w="7088" w:type="dxa"/>
          </w:tcPr>
          <w:p w:rsidR="008F6F11" w:rsidRPr="00FC1389" w:rsidRDefault="008F6F11" w:rsidP="00727054">
            <w:pPr>
              <w:rPr>
                <w:lang w:val="fr-CA"/>
              </w:rPr>
            </w:pPr>
            <w:r w:rsidRPr="00FC1389">
              <w:rPr>
                <w:lang w:val="fr-CA"/>
              </w:rPr>
              <w:t>Non – cette fonction fera partie d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>une amélioration ultérieure.</w:t>
            </w:r>
          </w:p>
        </w:tc>
      </w:tr>
      <w:tr w:rsidR="008F6F11" w:rsidTr="00814BE6">
        <w:tc>
          <w:tcPr>
            <w:tcW w:w="3369" w:type="dxa"/>
          </w:tcPr>
          <w:p w:rsidR="008F6F11" w:rsidRDefault="005E293F">
            <w:r>
              <w:t>Triage</w:t>
            </w:r>
            <w:r w:rsidR="00540E91">
              <w:t xml:space="preserve"> des </w:t>
            </w:r>
            <w:proofErr w:type="spellStart"/>
            <w:r w:rsidR="00540E91">
              <w:t>commentaires</w:t>
            </w:r>
            <w:proofErr w:type="spellEnd"/>
          </w:p>
        </w:tc>
        <w:tc>
          <w:tcPr>
            <w:tcW w:w="6662" w:type="dxa"/>
          </w:tcPr>
          <w:p w:rsidR="008F6F11" w:rsidRPr="00FC1389" w:rsidRDefault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>Oui</w:t>
            </w:r>
            <w:r w:rsidR="005E293F" w:rsidRPr="00FC1389">
              <w:rPr>
                <w:lang w:val="fr-CA"/>
              </w:rPr>
              <w:t xml:space="preserve"> – À partir du</w:t>
            </w:r>
            <w:r w:rsidRPr="00FC1389">
              <w:rPr>
                <w:lang w:val="fr-CA"/>
              </w:rPr>
              <w:t xml:space="preserve"> plus ancien ou du plus récent</w:t>
            </w:r>
          </w:p>
          <w:p w:rsidR="008F6F11" w:rsidRPr="00FC1389" w:rsidRDefault="008F6F11">
            <w:pPr>
              <w:rPr>
                <w:lang w:val="fr-CA"/>
              </w:rPr>
            </w:pPr>
          </w:p>
        </w:tc>
        <w:tc>
          <w:tcPr>
            <w:tcW w:w="7088" w:type="dxa"/>
          </w:tcPr>
          <w:p w:rsidR="008F6F11" w:rsidRDefault="00540E91" w:rsidP="005E293F">
            <w:r>
              <w:t>Non</w:t>
            </w:r>
          </w:p>
        </w:tc>
      </w:tr>
      <w:tr w:rsidR="008F6F11" w:rsidTr="00814BE6">
        <w:tc>
          <w:tcPr>
            <w:tcW w:w="3369" w:type="dxa"/>
          </w:tcPr>
          <w:p w:rsidR="008F6F11" w:rsidRPr="00FC1389" w:rsidRDefault="008F6F11" w:rsidP="003D3028">
            <w:pPr>
              <w:rPr>
                <w:lang w:val="fr-CA"/>
              </w:rPr>
            </w:pPr>
            <w:r w:rsidRPr="00FC1389">
              <w:rPr>
                <w:lang w:val="fr-CA"/>
              </w:rPr>
              <w:t>Option d</w:t>
            </w:r>
            <w:r w:rsidR="00540E91" w:rsidRPr="00FC1389">
              <w:rPr>
                <w:lang w:val="fr-CA"/>
              </w:rPr>
              <w:t>’« aimer » un commentaire</w:t>
            </w:r>
          </w:p>
        </w:tc>
        <w:tc>
          <w:tcPr>
            <w:tcW w:w="6662" w:type="dxa"/>
          </w:tcPr>
          <w:p w:rsidR="008F6F11" w:rsidRDefault="005E293F" w:rsidP="003D3028">
            <w:r>
              <w:t>Non</w:t>
            </w:r>
          </w:p>
        </w:tc>
        <w:tc>
          <w:tcPr>
            <w:tcW w:w="7088" w:type="dxa"/>
          </w:tcPr>
          <w:p w:rsidR="008F6F11" w:rsidRDefault="005E293F" w:rsidP="003D3028">
            <w:r>
              <w:t>Non</w:t>
            </w:r>
          </w:p>
        </w:tc>
      </w:tr>
      <w:tr w:rsidR="008F6F11" w:rsidTr="00814BE6">
        <w:tc>
          <w:tcPr>
            <w:tcW w:w="3369" w:type="dxa"/>
          </w:tcPr>
          <w:p w:rsidR="008F6F11" w:rsidRPr="00FC1389" w:rsidRDefault="008F6F11" w:rsidP="00103AEE">
            <w:pPr>
              <w:rPr>
                <w:lang w:val="fr-CA"/>
              </w:rPr>
            </w:pPr>
            <w:r w:rsidRPr="00FC1389">
              <w:rPr>
                <w:lang w:val="fr-CA"/>
              </w:rPr>
              <w:t>Option d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 xml:space="preserve">« aimer » un </w:t>
            </w:r>
            <w:r w:rsidR="00103AEE" w:rsidRPr="00FC1389">
              <w:rPr>
                <w:lang w:val="fr-CA"/>
              </w:rPr>
              <w:t>billet</w:t>
            </w:r>
          </w:p>
        </w:tc>
        <w:tc>
          <w:tcPr>
            <w:tcW w:w="6662" w:type="dxa"/>
          </w:tcPr>
          <w:p w:rsidR="008F6F11" w:rsidRDefault="005E293F" w:rsidP="003D3028">
            <w:proofErr w:type="spellStart"/>
            <w:r>
              <w:t>Oui</w:t>
            </w:r>
            <w:proofErr w:type="spellEnd"/>
          </w:p>
        </w:tc>
        <w:tc>
          <w:tcPr>
            <w:tcW w:w="7088" w:type="dxa"/>
          </w:tcPr>
          <w:p w:rsidR="008F6F11" w:rsidRDefault="008F6F11" w:rsidP="005E293F">
            <w:r>
              <w:t>Non</w:t>
            </w:r>
          </w:p>
        </w:tc>
      </w:tr>
      <w:tr w:rsidR="008F6F11" w:rsidRPr="00F40E16" w:rsidTr="00814BE6">
        <w:tc>
          <w:tcPr>
            <w:tcW w:w="3369" w:type="dxa"/>
          </w:tcPr>
          <w:p w:rsidR="008F6F11" w:rsidRDefault="00540E91">
            <w:r>
              <w:t>Articles précédents</w:t>
            </w:r>
          </w:p>
        </w:tc>
        <w:tc>
          <w:tcPr>
            <w:tcW w:w="6662" w:type="dxa"/>
          </w:tcPr>
          <w:p w:rsidR="008F6F11" w:rsidRPr="00FC1389" w:rsidRDefault="008F6F11" w:rsidP="00103AEE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Les </w:t>
            </w:r>
            <w:r w:rsidR="00103AEE" w:rsidRPr="00FC1389">
              <w:rPr>
                <w:lang w:val="fr-CA"/>
              </w:rPr>
              <w:t>billets</w:t>
            </w:r>
            <w:r w:rsidRPr="00FC1389">
              <w:rPr>
                <w:lang w:val="fr-CA"/>
              </w:rPr>
              <w:t xml:space="preserve"> </w:t>
            </w:r>
            <w:r w:rsidR="00103AEE" w:rsidRPr="00FC1389">
              <w:rPr>
                <w:lang w:val="fr-CA"/>
              </w:rPr>
              <w:t>publiés</w:t>
            </w:r>
            <w:r w:rsidRPr="00FC1389">
              <w:rPr>
                <w:lang w:val="fr-CA"/>
              </w:rPr>
              <w:t xml:space="preserve"> </w:t>
            </w:r>
            <w:r w:rsidR="00103AEE" w:rsidRPr="00FC1389">
              <w:rPr>
                <w:lang w:val="fr-CA"/>
              </w:rPr>
              <w:t>précédemment par une personne ou au sein d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 xml:space="preserve">un groupe sont centralisés sous </w:t>
            </w:r>
            <w:r w:rsidRPr="00FC1389">
              <w:rPr>
                <w:i/>
                <w:lang w:val="fr-CA"/>
              </w:rPr>
              <w:t>Blogue</w:t>
            </w:r>
            <w:r w:rsidRPr="00FC1389">
              <w:rPr>
                <w:lang w:val="fr-CA"/>
              </w:rPr>
              <w:t xml:space="preserve"> ou </w:t>
            </w:r>
            <w:r w:rsidRPr="00FC1389">
              <w:rPr>
                <w:i/>
                <w:lang w:val="fr-CA"/>
              </w:rPr>
              <w:t>Blogue de groupe</w:t>
            </w:r>
            <w:r w:rsidR="00540E91" w:rsidRPr="00FC1389">
              <w:rPr>
                <w:lang w:val="fr-CA"/>
              </w:rPr>
              <w:t>.</w:t>
            </w:r>
          </w:p>
        </w:tc>
        <w:tc>
          <w:tcPr>
            <w:tcW w:w="7088" w:type="dxa"/>
          </w:tcPr>
          <w:p w:rsidR="008F6F11" w:rsidRPr="00FC1389" w:rsidRDefault="00103AEE" w:rsidP="00103AEE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Les billets publiés précédemment par une personne </w:t>
            </w:r>
            <w:r w:rsidR="008F6F11" w:rsidRPr="00FC1389">
              <w:rPr>
                <w:lang w:val="fr-CA"/>
              </w:rPr>
              <w:t xml:space="preserve">sont regroupés dans la liste des contributeurs (menu de gauche) – avec le nombre </w:t>
            </w:r>
            <w:r w:rsidRPr="00FC1389">
              <w:rPr>
                <w:lang w:val="fr-CA"/>
              </w:rPr>
              <w:t>de billets</w:t>
            </w:r>
            <w:r w:rsidR="008F6F11" w:rsidRPr="00FC1389">
              <w:rPr>
                <w:lang w:val="fr-CA"/>
              </w:rPr>
              <w:t xml:space="preserve"> publiés jusqu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>à maintenant</w:t>
            </w:r>
          </w:p>
        </w:tc>
      </w:tr>
      <w:tr w:rsidR="008F6F11" w:rsidTr="00814BE6">
        <w:tc>
          <w:tcPr>
            <w:tcW w:w="3369" w:type="dxa"/>
          </w:tcPr>
          <w:p w:rsidR="008F6F11" w:rsidRDefault="00540E91">
            <w:r>
              <w:t>Archives</w:t>
            </w:r>
          </w:p>
        </w:tc>
        <w:tc>
          <w:tcPr>
            <w:tcW w:w="6662" w:type="dxa"/>
          </w:tcPr>
          <w:p w:rsidR="008F6F11" w:rsidRPr="00FC1389" w:rsidRDefault="008F6F11" w:rsidP="008F6F11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Archives affichées par mois dans le menu de </w:t>
            </w:r>
            <w:r w:rsidR="00FC19EA" w:rsidRPr="00FC1389">
              <w:rPr>
                <w:lang w:val="fr-CA"/>
              </w:rPr>
              <w:t>droite (non classées par sujet)</w:t>
            </w:r>
          </w:p>
        </w:tc>
        <w:tc>
          <w:tcPr>
            <w:tcW w:w="7088" w:type="dxa"/>
          </w:tcPr>
          <w:p w:rsidR="008F6F11" w:rsidRDefault="00103AEE" w:rsidP="008F6F11">
            <w:r>
              <w:t>Non</w:t>
            </w:r>
          </w:p>
        </w:tc>
      </w:tr>
      <w:tr w:rsidR="008F6F11" w:rsidTr="00814BE6">
        <w:tc>
          <w:tcPr>
            <w:tcW w:w="3369" w:type="dxa"/>
          </w:tcPr>
          <w:p w:rsidR="008F6F11" w:rsidRDefault="00540E91">
            <w:r>
              <w:t>Sujets de l’heure</w:t>
            </w:r>
          </w:p>
        </w:tc>
        <w:tc>
          <w:tcPr>
            <w:tcW w:w="6662" w:type="dxa"/>
          </w:tcPr>
          <w:p w:rsidR="008F6F11" w:rsidRPr="00FC1389" w:rsidRDefault="008F6F11" w:rsidP="00FC19EA">
            <w:pPr>
              <w:rPr>
                <w:lang w:val="fr-CA"/>
              </w:rPr>
            </w:pPr>
            <w:r w:rsidRPr="00FC1389">
              <w:rPr>
                <w:lang w:val="fr-CA"/>
              </w:rPr>
              <w:t>Affichés dans le m</w:t>
            </w:r>
            <w:r w:rsidR="00FC19EA" w:rsidRPr="00FC1389">
              <w:rPr>
                <w:lang w:val="fr-CA"/>
              </w:rPr>
              <w:t>enu de droite (les liens ne sont pas actifs)</w:t>
            </w:r>
          </w:p>
        </w:tc>
        <w:tc>
          <w:tcPr>
            <w:tcW w:w="7088" w:type="dxa"/>
          </w:tcPr>
          <w:p w:rsidR="008F6F11" w:rsidRDefault="00103AEE" w:rsidP="00103AEE">
            <w:r>
              <w:t>Non</w:t>
            </w:r>
          </w:p>
        </w:tc>
      </w:tr>
      <w:tr w:rsidR="008F6F11" w:rsidTr="00814BE6">
        <w:tc>
          <w:tcPr>
            <w:tcW w:w="3369" w:type="dxa"/>
          </w:tcPr>
          <w:p w:rsidR="008F6F11" w:rsidRDefault="00540E91" w:rsidP="008F6F11">
            <w:r>
              <w:t>Plus récents commentaires</w:t>
            </w:r>
          </w:p>
        </w:tc>
        <w:tc>
          <w:tcPr>
            <w:tcW w:w="6662" w:type="dxa"/>
          </w:tcPr>
          <w:p w:rsidR="008F6F11" w:rsidRPr="00FC1389" w:rsidRDefault="008F6F11" w:rsidP="00FC19EA">
            <w:pPr>
              <w:rPr>
                <w:lang w:val="fr-CA"/>
              </w:rPr>
            </w:pPr>
            <w:r w:rsidRPr="00FC1389">
              <w:rPr>
                <w:lang w:val="fr-CA"/>
              </w:rPr>
              <w:t>Affichés dans</w:t>
            </w:r>
            <w:r w:rsidR="00FC19EA" w:rsidRPr="00FC1389">
              <w:rPr>
                <w:lang w:val="fr-CA"/>
              </w:rPr>
              <w:t xml:space="preserve"> le menu de droite (les liens sont actifs)</w:t>
            </w:r>
          </w:p>
        </w:tc>
        <w:tc>
          <w:tcPr>
            <w:tcW w:w="7088" w:type="dxa"/>
          </w:tcPr>
          <w:p w:rsidR="008F6F11" w:rsidRDefault="00FC19EA" w:rsidP="008F6F11">
            <w:r>
              <w:t>Non</w:t>
            </w:r>
          </w:p>
        </w:tc>
      </w:tr>
    </w:tbl>
    <w:p w:rsidR="00B927AE" w:rsidRDefault="00B927AE"/>
    <w:tbl>
      <w:tblPr>
        <w:tblStyle w:val="TableGrid"/>
        <w:tblW w:w="17119" w:type="dxa"/>
        <w:tblLook w:val="04A0" w:firstRow="1" w:lastRow="0" w:firstColumn="1" w:lastColumn="0" w:noHBand="0" w:noVBand="1"/>
      </w:tblPr>
      <w:tblGrid>
        <w:gridCol w:w="3369"/>
        <w:gridCol w:w="6662"/>
        <w:gridCol w:w="7088"/>
      </w:tblGrid>
      <w:tr w:rsidR="008F6F11" w:rsidRPr="00F40E16" w:rsidTr="00814BE6">
        <w:tc>
          <w:tcPr>
            <w:tcW w:w="3369" w:type="dxa"/>
          </w:tcPr>
          <w:p w:rsidR="008F6F11" w:rsidRDefault="00540E91">
            <w:r>
              <w:t>Recherche</w:t>
            </w:r>
          </w:p>
        </w:tc>
        <w:tc>
          <w:tcPr>
            <w:tcW w:w="6662" w:type="dxa"/>
          </w:tcPr>
          <w:p w:rsidR="008F6F11" w:rsidRPr="00FC1389" w:rsidRDefault="008F6F11" w:rsidP="00572E0E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La fonction de recherche principale de </w:t>
            </w:r>
            <w:proofErr w:type="spellStart"/>
            <w:r w:rsidRPr="00FC1389">
              <w:rPr>
                <w:lang w:val="fr-CA"/>
              </w:rPr>
              <w:t>GCconnex</w:t>
            </w:r>
            <w:proofErr w:type="spellEnd"/>
            <w:r w:rsidRPr="00FC1389">
              <w:rPr>
                <w:lang w:val="fr-CA"/>
              </w:rPr>
              <w:t xml:space="preserve"> permet d</w:t>
            </w:r>
            <w:r w:rsidR="00540E91" w:rsidRPr="00FC1389">
              <w:rPr>
                <w:lang w:val="fr-CA"/>
              </w:rPr>
              <w:t>’</w:t>
            </w:r>
            <w:r w:rsidRPr="00FC1389">
              <w:rPr>
                <w:lang w:val="fr-CA"/>
              </w:rPr>
              <w:t xml:space="preserve">effectuer une recherche dans les blogues et par étiquettes (entre autres). Si le mot clé se trouve dans un </w:t>
            </w:r>
            <w:r w:rsidR="00F75B58" w:rsidRPr="00FC1389">
              <w:rPr>
                <w:lang w:val="fr-CA"/>
              </w:rPr>
              <w:t>billet</w:t>
            </w:r>
            <w:r w:rsidRPr="00FC1389">
              <w:rPr>
                <w:lang w:val="fr-CA"/>
              </w:rPr>
              <w:t xml:space="preserve"> du blogue, </w:t>
            </w:r>
            <w:r w:rsidR="00F75B58" w:rsidRPr="00FC1389">
              <w:rPr>
                <w:lang w:val="fr-CA"/>
              </w:rPr>
              <w:t>le billet</w:t>
            </w:r>
            <w:r w:rsidRPr="00FC1389">
              <w:rPr>
                <w:lang w:val="fr-CA"/>
              </w:rPr>
              <w:t xml:space="preserve"> apparaîtra parmi le</w:t>
            </w:r>
            <w:r w:rsidR="00F75B58" w:rsidRPr="00FC1389">
              <w:rPr>
                <w:lang w:val="fr-CA"/>
              </w:rPr>
              <w:t xml:space="preserve">s résultats de la recherche (sous </w:t>
            </w:r>
            <w:r w:rsidRPr="00FC1389">
              <w:rPr>
                <w:lang w:val="fr-CA"/>
              </w:rPr>
              <w:t>les blogues).</w:t>
            </w:r>
          </w:p>
          <w:p w:rsidR="008F6F11" w:rsidRPr="00FC1389" w:rsidRDefault="008F6F11" w:rsidP="00572E0E">
            <w:pPr>
              <w:rPr>
                <w:lang w:val="fr-CA"/>
              </w:rPr>
            </w:pPr>
          </w:p>
        </w:tc>
        <w:tc>
          <w:tcPr>
            <w:tcW w:w="7088" w:type="dxa"/>
          </w:tcPr>
          <w:p w:rsidR="008F6F11" w:rsidRPr="00FC1389" w:rsidRDefault="008F6F11" w:rsidP="00572E0E">
            <w:pPr>
              <w:rPr>
                <w:lang w:val="fr-CA"/>
              </w:rPr>
            </w:pPr>
            <w:r w:rsidRPr="00FC1389">
              <w:rPr>
                <w:lang w:val="fr-CA"/>
              </w:rPr>
              <w:t xml:space="preserve">La fonction de recherche principale </w:t>
            </w:r>
            <w:r w:rsidR="00156BE1" w:rsidRPr="00FC1389">
              <w:rPr>
                <w:lang w:val="fr-CA"/>
              </w:rPr>
              <w:t>permet d’effectuer</w:t>
            </w:r>
            <w:r w:rsidRPr="00FC1389">
              <w:rPr>
                <w:lang w:val="fr-CA"/>
              </w:rPr>
              <w:t xml:space="preserve"> une recherche dans les blogues (entre autres). Si le mot clé se trouve dans un </w:t>
            </w:r>
            <w:r w:rsidR="00156BE1" w:rsidRPr="00FC1389">
              <w:rPr>
                <w:lang w:val="fr-CA"/>
              </w:rPr>
              <w:t>billet de</w:t>
            </w:r>
            <w:r w:rsidRPr="00FC1389">
              <w:rPr>
                <w:lang w:val="fr-CA"/>
              </w:rPr>
              <w:t xml:space="preserve"> blogue, </w:t>
            </w:r>
            <w:r w:rsidR="00156BE1" w:rsidRPr="00FC1389">
              <w:rPr>
                <w:lang w:val="fr-CA"/>
              </w:rPr>
              <w:t>le billet</w:t>
            </w:r>
            <w:r w:rsidRPr="00FC1389">
              <w:rPr>
                <w:lang w:val="fr-CA"/>
              </w:rPr>
              <w:t xml:space="preserve"> apparaîtra parmi les résultats de la recherche (onglet </w:t>
            </w:r>
            <w:r w:rsidR="00156BE1" w:rsidRPr="00FC1389">
              <w:rPr>
                <w:lang w:val="fr-CA"/>
              </w:rPr>
              <w:t>d</w:t>
            </w:r>
            <w:r w:rsidR="004537B9" w:rsidRPr="00FC1389">
              <w:rPr>
                <w:lang w:val="fr-CA"/>
              </w:rPr>
              <w:t>es</w:t>
            </w:r>
            <w:r w:rsidR="00156BE1" w:rsidRPr="00FC1389">
              <w:rPr>
                <w:lang w:val="fr-CA"/>
              </w:rPr>
              <w:t xml:space="preserve"> billet</w:t>
            </w:r>
            <w:r w:rsidR="004537B9" w:rsidRPr="00FC1389">
              <w:rPr>
                <w:lang w:val="fr-CA"/>
              </w:rPr>
              <w:t>s</w:t>
            </w:r>
            <w:r w:rsidR="00156BE1" w:rsidRPr="00FC1389">
              <w:rPr>
                <w:lang w:val="fr-CA"/>
              </w:rPr>
              <w:t xml:space="preserve"> de blogue</w:t>
            </w:r>
            <w:r w:rsidRPr="00FC1389">
              <w:rPr>
                <w:lang w:val="fr-CA"/>
              </w:rPr>
              <w:t>).</w:t>
            </w:r>
          </w:p>
          <w:p w:rsidR="008F6F11" w:rsidRPr="00FC1389" w:rsidRDefault="008F6F11" w:rsidP="00572E0E">
            <w:pPr>
              <w:rPr>
                <w:lang w:val="fr-CA"/>
              </w:rPr>
            </w:pPr>
          </w:p>
        </w:tc>
      </w:tr>
      <w:tr w:rsidR="008F6F11" w:rsidTr="00814BE6">
        <w:tc>
          <w:tcPr>
            <w:tcW w:w="3369" w:type="dxa"/>
          </w:tcPr>
          <w:p w:rsidR="008F6F11" w:rsidRDefault="00540E91">
            <w:r>
              <w:t>Fil RSS</w:t>
            </w:r>
          </w:p>
        </w:tc>
        <w:tc>
          <w:tcPr>
            <w:tcW w:w="6662" w:type="dxa"/>
          </w:tcPr>
          <w:p w:rsidR="008F6F11" w:rsidRDefault="001F103A">
            <w:r>
              <w:t>Oui</w:t>
            </w:r>
          </w:p>
        </w:tc>
        <w:tc>
          <w:tcPr>
            <w:tcW w:w="7088" w:type="dxa"/>
          </w:tcPr>
          <w:p w:rsidR="008F6F11" w:rsidRDefault="001F103A">
            <w:r>
              <w:t>Non</w:t>
            </w:r>
          </w:p>
        </w:tc>
      </w:tr>
    </w:tbl>
    <w:p w:rsidR="006850A9" w:rsidRDefault="00F40E16" w:rsidP="00F75B58"/>
    <w:sectPr w:rsidR="006850A9" w:rsidSect="00FC1389">
      <w:headerReference w:type="default" r:id="rId9"/>
      <w:pgSz w:w="20160" w:h="12240" w:orient="landscape" w:code="5"/>
      <w:pgMar w:top="893" w:right="1440" w:bottom="993" w:left="1440" w:header="426" w:footer="34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989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EB6" w:rsidRDefault="00432EB6" w:rsidP="00572E0E">
      <w:pPr>
        <w:spacing w:after="0" w:line="240" w:lineRule="auto"/>
      </w:pPr>
      <w:r>
        <w:separator/>
      </w:r>
    </w:p>
  </w:endnote>
  <w:endnote w:type="continuationSeparator" w:id="0">
    <w:p w:rsidR="00432EB6" w:rsidRDefault="00432EB6" w:rsidP="0057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EB6" w:rsidRDefault="00432EB6" w:rsidP="00572E0E">
      <w:pPr>
        <w:spacing w:after="0" w:line="240" w:lineRule="auto"/>
      </w:pPr>
      <w:r>
        <w:separator/>
      </w:r>
    </w:p>
  </w:footnote>
  <w:footnote w:type="continuationSeparator" w:id="0">
    <w:p w:rsidR="00432EB6" w:rsidRDefault="00432EB6" w:rsidP="0057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E0E" w:rsidRDefault="00572E0E" w:rsidP="00572E0E">
    <w:pPr>
      <w:pStyle w:val="Header"/>
      <w:jc w:val="center"/>
      <w:rPr>
        <w:b/>
        <w:smallCaps/>
      </w:rPr>
    </w:pPr>
    <w:r>
      <w:rPr>
        <w:b/>
        <w:smallCaps/>
      </w:rPr>
      <w:t>Comparaison d</w:t>
    </w:r>
    <w:r w:rsidR="006C7295">
      <w:rPr>
        <w:b/>
        <w:smallCaps/>
      </w:rPr>
      <w:t xml:space="preserve">es </w:t>
    </w:r>
    <w:r>
      <w:rPr>
        <w:b/>
        <w:smallCaps/>
      </w:rPr>
      <w:t>outils de blog</w:t>
    </w:r>
    <w:r w:rsidR="006C7295">
      <w:rPr>
        <w:b/>
        <w:smallCaps/>
      </w:rPr>
      <w:t>ue</w:t>
    </w:r>
  </w:p>
  <w:p w:rsidR="00572E0E" w:rsidRDefault="00572E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D02"/>
    <w:multiLevelType w:val="hybridMultilevel"/>
    <w:tmpl w:val="FBB28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EA1"/>
    <w:multiLevelType w:val="hybridMultilevel"/>
    <w:tmpl w:val="97540F66"/>
    <w:lvl w:ilvl="0" w:tplc="DB82BB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E07ED"/>
    <w:multiLevelType w:val="hybridMultilevel"/>
    <w:tmpl w:val="4244A312"/>
    <w:lvl w:ilvl="0" w:tplc="DB82BB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2B54CC"/>
    <w:multiLevelType w:val="hybridMultilevel"/>
    <w:tmpl w:val="9ADEA26C"/>
    <w:lvl w:ilvl="0" w:tplc="DB82BB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2B"/>
    <w:rsid w:val="00071665"/>
    <w:rsid w:val="00072B12"/>
    <w:rsid w:val="00077D91"/>
    <w:rsid w:val="000B5CF9"/>
    <w:rsid w:val="00102F1D"/>
    <w:rsid w:val="00103AEE"/>
    <w:rsid w:val="00123AE0"/>
    <w:rsid w:val="0015439F"/>
    <w:rsid w:val="00156BE1"/>
    <w:rsid w:val="00157D81"/>
    <w:rsid w:val="001843E0"/>
    <w:rsid w:val="001E099A"/>
    <w:rsid w:val="001F103A"/>
    <w:rsid w:val="001F1DD4"/>
    <w:rsid w:val="001F5377"/>
    <w:rsid w:val="002066F4"/>
    <w:rsid w:val="0021040C"/>
    <w:rsid w:val="00245799"/>
    <w:rsid w:val="00252C12"/>
    <w:rsid w:val="00254350"/>
    <w:rsid w:val="00255BCB"/>
    <w:rsid w:val="002968BD"/>
    <w:rsid w:val="002D0492"/>
    <w:rsid w:val="002E687D"/>
    <w:rsid w:val="0030428F"/>
    <w:rsid w:val="00370741"/>
    <w:rsid w:val="00385E44"/>
    <w:rsid w:val="00432EB6"/>
    <w:rsid w:val="004537B9"/>
    <w:rsid w:val="0047405A"/>
    <w:rsid w:val="004801F1"/>
    <w:rsid w:val="004A4057"/>
    <w:rsid w:val="00514951"/>
    <w:rsid w:val="00540E91"/>
    <w:rsid w:val="005501BD"/>
    <w:rsid w:val="00560000"/>
    <w:rsid w:val="00572E0E"/>
    <w:rsid w:val="00576344"/>
    <w:rsid w:val="00592DEB"/>
    <w:rsid w:val="005D4F91"/>
    <w:rsid w:val="005E293F"/>
    <w:rsid w:val="00604D0D"/>
    <w:rsid w:val="00625851"/>
    <w:rsid w:val="00661F70"/>
    <w:rsid w:val="00662164"/>
    <w:rsid w:val="0068054D"/>
    <w:rsid w:val="00682E34"/>
    <w:rsid w:val="006C7295"/>
    <w:rsid w:val="006E4A93"/>
    <w:rsid w:val="00727054"/>
    <w:rsid w:val="00744913"/>
    <w:rsid w:val="007920ED"/>
    <w:rsid w:val="00814BE6"/>
    <w:rsid w:val="00840069"/>
    <w:rsid w:val="00862A55"/>
    <w:rsid w:val="00862C7F"/>
    <w:rsid w:val="008711A5"/>
    <w:rsid w:val="008A737D"/>
    <w:rsid w:val="008F6F11"/>
    <w:rsid w:val="0092144D"/>
    <w:rsid w:val="009D54F4"/>
    <w:rsid w:val="00A2302B"/>
    <w:rsid w:val="00AA50D2"/>
    <w:rsid w:val="00AC00CF"/>
    <w:rsid w:val="00AC5E6C"/>
    <w:rsid w:val="00B00130"/>
    <w:rsid w:val="00B578A2"/>
    <w:rsid w:val="00B65015"/>
    <w:rsid w:val="00B927AE"/>
    <w:rsid w:val="00BF5AB8"/>
    <w:rsid w:val="00C054FF"/>
    <w:rsid w:val="00C23B75"/>
    <w:rsid w:val="00C23C84"/>
    <w:rsid w:val="00C76103"/>
    <w:rsid w:val="00D148A0"/>
    <w:rsid w:val="00D76F68"/>
    <w:rsid w:val="00DA528E"/>
    <w:rsid w:val="00DE1364"/>
    <w:rsid w:val="00EB5AA4"/>
    <w:rsid w:val="00F076E3"/>
    <w:rsid w:val="00F40E16"/>
    <w:rsid w:val="00F7021C"/>
    <w:rsid w:val="00F75B58"/>
    <w:rsid w:val="00FC1389"/>
    <w:rsid w:val="00FC19EA"/>
    <w:rsid w:val="00FF0C79"/>
    <w:rsid w:val="00FF2545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E"/>
  </w:style>
  <w:style w:type="paragraph" w:styleId="Footer">
    <w:name w:val="footer"/>
    <w:basedOn w:val="Normal"/>
    <w:link w:val="Foot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E"/>
  </w:style>
  <w:style w:type="character" w:styleId="CommentReference">
    <w:name w:val="annotation reference"/>
    <w:basedOn w:val="DefaultParagraphFont"/>
    <w:uiPriority w:val="99"/>
    <w:semiHidden/>
    <w:unhideWhenUsed/>
    <w:rsid w:val="00727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05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E"/>
  </w:style>
  <w:style w:type="paragraph" w:styleId="Footer">
    <w:name w:val="footer"/>
    <w:basedOn w:val="Normal"/>
    <w:link w:val="Foot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E"/>
  </w:style>
  <w:style w:type="character" w:styleId="CommentReference">
    <w:name w:val="annotation reference"/>
    <w:basedOn w:val="DefaultParagraphFont"/>
    <w:uiPriority w:val="99"/>
    <w:semiHidden/>
    <w:unhideWhenUsed/>
    <w:rsid w:val="00727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0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940D8-ADFE-4679-A869-B1F29892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3592</Characters>
  <Application>Microsoft Office Word</Application>
  <DocSecurity>0</DocSecurity>
  <Lines>143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Leblond</dc:creator>
  <cp:lastModifiedBy>Christian Sabourin</cp:lastModifiedBy>
  <cp:revision>3</cp:revision>
  <cp:lastPrinted>2015-01-13T15:41:00Z</cp:lastPrinted>
  <dcterms:created xsi:type="dcterms:W3CDTF">2015-03-03T14:56:00Z</dcterms:created>
  <dcterms:modified xsi:type="dcterms:W3CDTF">2015-03-03T14:56:00Z</dcterms:modified>
</cp:coreProperties>
</file>