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60"/>
        </w:rPr>
        <w:t>AAPL Financial Analytics Pipeline</w:t>
      </w:r>
    </w:p>
    <w:p>
      <w:pPr>
        <w:spacing w:before="200"/>
        <w:jc w:val="center"/>
      </w:pPr>
      <w:r>
        <w:rPr>
          <w:rFonts w:ascii="Arial" w:hAnsi="Arial"/>
          <w:color w:val="4F81BD"/>
          <w:sz w:val="32"/>
        </w:rPr>
        <w:t>API Integration, Rule-Based Market Classification, and SQLite Reporting</w:t>
      </w:r>
    </w:p>
    <w:p>
      <w:pPr>
        <w:spacing w:before="1100"/>
        <w:jc w:val="center"/>
      </w:pPr>
      <w:r>
        <w:rPr>
          <w:rFonts w:ascii="Arial" w:hAnsi="Arial"/>
          <w:b/>
          <w:sz w:val="30"/>
        </w:rPr>
        <w:t>Apple Inc. (AAPL)</w:t>
      </w:r>
    </w:p>
    <w:p>
      <w:pPr>
        <w:spacing w:before="160"/>
        <w:jc w:val="center"/>
      </w:pPr>
      <w:r>
        <w:rPr>
          <w:rFonts w:ascii="Arial" w:hAnsi="Arial"/>
          <w:sz w:val="22"/>
        </w:rPr>
        <w:t>Data snapshot: April 17, 2026 - May 14, 2026</w:t>
      </w:r>
    </w:p>
    <w:p>
      <w:pPr>
        <w:spacing w:before="1800"/>
        <w:jc w:val="center"/>
      </w:pPr>
      <w:r>
        <w:rPr>
          <w:rFonts w:ascii="Arial" w:hAnsi="Arial"/>
          <w:sz w:val="24"/>
        </w:rPr>
        <w:t>Carlos Herrera</w:t>
      </w:r>
    </w:p>
    <w:p>
      <w:pPr>
        <w:jc w:val="center"/>
      </w:pPr>
      <w:r>
        <w:rPr>
          <w:rFonts w:ascii="Arial" w:hAnsi="Arial"/>
          <w:i/>
          <w:color w:val="646464"/>
          <w:sz w:val="20"/>
        </w:rPr>
        <w:t>Financial Analytics Portfolio Project</w:t>
      </w:r>
    </w:p>
    <w:p>
      <w:r>
        <w:br w:type="page"/>
      </w:r>
    </w:p>
    <w:p>
      <w:pPr>
        <w:pStyle w:val="Heading1"/>
        <w:spacing w:before="160" w:after="100"/>
      </w:pPr>
      <w:r>
        <w:t>Executive Summary</w:t>
      </w:r>
    </w:p>
    <w:p>
      <w:pPr>
        <w:spacing w:after="120" w:line="259" w:lineRule="auto"/>
      </w:pPr>
      <w:r>
        <w:t>This project builds an end-to-end financial analytics pipeline for Apple Inc. (AAPL). The system accepts either a saved Alpha Vantage daily time-series response or a live API request, validates the nested JSON structure, converts price and volume fields to numeric types, calculates daily movement and volatility metrics, applies transparent business rules, and stores the processed records in SQLite for repeatable SQL analysis.</w:t>
      </w:r>
    </w:p>
    <w:p>
      <w:pPr>
        <w:spacing w:after="120" w:line="259" w:lineRule="auto"/>
      </w:pPr>
      <w:r>
        <w:t>The included reproducible sample covers 20 trading days from April 17, 2026 through May 14, 2026. The rule-based process produced 10 Buy classifications, 7 Sell classifications, and 3 Hold classifications. Twelve days were labeled Moderate volatility, seven Low volatility, and one High volatility. The average closing price was $280.05, and May 1, 2026 had the highest intraday range at 3.17% of the opening price.</w:t>
      </w:r>
    </w:p>
    <w:p>
      <w:pPr>
        <w:spacing w:after="120" w:line="259" w:lineRule="auto"/>
      </w:pPr>
      <w:r>
        <w:t>The labels are descriptive, not predictive. They summarize same-day open-to-close behavior and apply a conservative Hold override when intraday volatility is High. The project demonstrates API integration, JSON parsing, algorithmic business rules, reusable Python functions, data-quality validation, relational database design, SQL analysis, and reproducible reporting.</w:t>
      </w:r>
    </w:p>
    <w:p>
      <w:pPr>
        <w:pStyle w:val="Heading2"/>
        <w:spacing w:before="160" w:after="100"/>
      </w:pPr>
      <w:r>
        <w:t>Key Outcomes</w:t>
      </w:r>
    </w:p>
    <w:tbl>
      <w:tblPr>
        <w:tblStyle w:val="TableGrid"/>
        <w:tblW w:type="auto" w:w="0"/>
        <w:jc w:val="center"/>
        <w:tblLook w:firstColumn="1" w:firstRow="1" w:lastColumn="0" w:lastRow="0" w:noHBand="0" w:noVBand="1" w:val="04A0"/>
      </w:tblPr>
      <w:tblGrid>
        <w:gridCol w:w="5040"/>
        <w:gridCol w:w="5040"/>
      </w:tblGrid>
      <w:tr>
        <w:tc>
          <w:tcPr>
            <w:tcW w:type="dxa" w:w="3456"/>
            <w:shd w:fill="17365D"/>
            <w:vAlign w:val="center"/>
          </w:tcPr>
          <w:p>
            <w:r/>
            <w:r>
              <w:rPr>
                <w:rFonts w:ascii="Arial" w:hAnsi="Arial"/>
                <w:b/>
                <w:color w:val="FFFFFF"/>
                <w:sz w:val="18"/>
              </w:rPr>
              <w:t>Metric</w:t>
            </w:r>
          </w:p>
        </w:tc>
        <w:tc>
          <w:tcPr>
            <w:tcW w:type="dxa" w:w="6624"/>
            <w:shd w:fill="17365D"/>
            <w:vAlign w:val="center"/>
          </w:tcPr>
          <w:p>
            <w:r/>
            <w:r>
              <w:rPr>
                <w:rFonts w:ascii="Arial" w:hAnsi="Arial"/>
                <w:b/>
                <w:color w:val="FFFFFF"/>
                <w:sz w:val="18"/>
              </w:rPr>
              <w:t>Result</w:t>
            </w:r>
          </w:p>
        </w:tc>
      </w:tr>
      <w:tr>
        <w:tc>
          <w:tcPr>
            <w:tcW w:type="dxa" w:w="3456"/>
            <w:vAlign w:val="center"/>
          </w:tcPr>
          <w:p>
            <w:r/>
            <w:r>
              <w:rPr>
                <w:rFonts w:ascii="Arial" w:hAnsi="Arial"/>
                <w:b w:val="0"/>
                <w:sz w:val="18"/>
              </w:rPr>
              <w:t>Records analyzed</w:t>
            </w:r>
          </w:p>
        </w:tc>
        <w:tc>
          <w:tcPr>
            <w:tcW w:type="dxa" w:w="6624"/>
            <w:vAlign w:val="center"/>
          </w:tcPr>
          <w:p>
            <w:r/>
            <w:r>
              <w:rPr>
                <w:rFonts w:ascii="Arial" w:hAnsi="Arial"/>
                <w:b w:val="0"/>
                <w:sz w:val="18"/>
              </w:rPr>
              <w:t>20</w:t>
            </w:r>
          </w:p>
        </w:tc>
      </w:tr>
      <w:tr>
        <w:tc>
          <w:tcPr>
            <w:tcW w:type="dxa" w:w="3456"/>
            <w:shd w:fill="F2F2F2"/>
            <w:vAlign w:val="center"/>
          </w:tcPr>
          <w:p>
            <w:r/>
            <w:r>
              <w:rPr>
                <w:rFonts w:ascii="Arial" w:hAnsi="Arial"/>
                <w:b w:val="0"/>
                <w:sz w:val="18"/>
              </w:rPr>
              <w:t>Buy / Sell / Hold</w:t>
            </w:r>
          </w:p>
        </w:tc>
        <w:tc>
          <w:tcPr>
            <w:tcW w:type="dxa" w:w="6624"/>
            <w:shd w:fill="F2F2F2"/>
            <w:vAlign w:val="center"/>
          </w:tcPr>
          <w:p>
            <w:r/>
            <w:r>
              <w:rPr>
                <w:rFonts w:ascii="Arial" w:hAnsi="Arial"/>
                <w:b w:val="0"/>
                <w:sz w:val="18"/>
              </w:rPr>
              <w:t>10 / 7 / 3</w:t>
            </w:r>
          </w:p>
        </w:tc>
      </w:tr>
      <w:tr>
        <w:tc>
          <w:tcPr>
            <w:tcW w:type="dxa" w:w="3456"/>
            <w:vAlign w:val="center"/>
          </w:tcPr>
          <w:p>
            <w:r/>
            <w:r>
              <w:rPr>
                <w:rFonts w:ascii="Arial" w:hAnsi="Arial"/>
                <w:b w:val="0"/>
                <w:sz w:val="18"/>
              </w:rPr>
              <w:t>Low / Moderate / High volatility</w:t>
            </w:r>
          </w:p>
        </w:tc>
        <w:tc>
          <w:tcPr>
            <w:tcW w:type="dxa" w:w="6624"/>
            <w:vAlign w:val="center"/>
          </w:tcPr>
          <w:p>
            <w:r/>
            <w:r>
              <w:rPr>
                <w:rFonts w:ascii="Arial" w:hAnsi="Arial"/>
                <w:b w:val="0"/>
                <w:sz w:val="18"/>
              </w:rPr>
              <w:t>7 / 12 / 1</w:t>
            </w:r>
          </w:p>
        </w:tc>
      </w:tr>
      <w:tr>
        <w:tc>
          <w:tcPr>
            <w:tcW w:type="dxa" w:w="3456"/>
            <w:shd w:fill="F2F2F2"/>
            <w:vAlign w:val="center"/>
          </w:tcPr>
          <w:p>
            <w:r/>
            <w:r>
              <w:rPr>
                <w:rFonts w:ascii="Arial" w:hAnsi="Arial"/>
                <w:b w:val="0"/>
                <w:sz w:val="18"/>
              </w:rPr>
              <w:t>Average closing price</w:t>
            </w:r>
          </w:p>
        </w:tc>
        <w:tc>
          <w:tcPr>
            <w:tcW w:type="dxa" w:w="6624"/>
            <w:shd w:fill="F2F2F2"/>
            <w:vAlign w:val="center"/>
          </w:tcPr>
          <w:p>
            <w:r/>
            <w:r>
              <w:rPr>
                <w:rFonts w:ascii="Arial" w:hAnsi="Arial"/>
                <w:b w:val="0"/>
                <w:sz w:val="18"/>
              </w:rPr>
              <w:t>$280.05</w:t>
            </w:r>
          </w:p>
        </w:tc>
      </w:tr>
      <w:tr>
        <w:tc>
          <w:tcPr>
            <w:tcW w:type="dxa" w:w="3456"/>
            <w:vAlign w:val="center"/>
          </w:tcPr>
          <w:p>
            <w:r/>
            <w:r>
              <w:rPr>
                <w:rFonts w:ascii="Arial" w:hAnsi="Arial"/>
                <w:b w:val="0"/>
                <w:sz w:val="18"/>
              </w:rPr>
              <w:t>Highest-volatility day</w:t>
            </w:r>
          </w:p>
        </w:tc>
        <w:tc>
          <w:tcPr>
            <w:tcW w:type="dxa" w:w="6624"/>
            <w:vAlign w:val="center"/>
          </w:tcPr>
          <w:p>
            <w:r/>
            <w:r>
              <w:rPr>
                <w:rFonts w:ascii="Arial" w:hAnsi="Arial"/>
                <w:b w:val="0"/>
                <w:sz w:val="18"/>
              </w:rPr>
              <w:t>May 1, 2026 (3.17%)</w:t>
            </w:r>
          </w:p>
        </w:tc>
      </w:tr>
      <w:tr>
        <w:tc>
          <w:tcPr>
            <w:tcW w:type="dxa" w:w="3456"/>
            <w:shd w:fill="F2F2F2"/>
            <w:vAlign w:val="center"/>
          </w:tcPr>
          <w:p>
            <w:r/>
            <w:r>
              <w:rPr>
                <w:rFonts w:ascii="Arial" w:hAnsi="Arial"/>
                <w:b w:val="0"/>
                <w:sz w:val="18"/>
              </w:rPr>
              <w:t>Primary data store</w:t>
            </w:r>
          </w:p>
        </w:tc>
        <w:tc>
          <w:tcPr>
            <w:tcW w:type="dxa" w:w="6624"/>
            <w:shd w:fill="F2F2F2"/>
            <w:vAlign w:val="center"/>
          </w:tcPr>
          <w:p>
            <w:r/>
            <w:r>
              <w:rPr>
                <w:rFonts w:ascii="Arial" w:hAnsi="Arial"/>
                <w:b w:val="0"/>
                <w:sz w:val="18"/>
              </w:rPr>
              <w:t>SQLite with composite key</w:t>
            </w:r>
          </w:p>
        </w:tc>
      </w:tr>
    </w:tbl>
    <w:p/>
    <w:p>
      <w:pPr>
        <w:pStyle w:val="Heading1"/>
        <w:spacing w:before="160" w:after="100"/>
      </w:pPr>
      <w:r>
        <w:t>System Architecture</w:t>
      </w:r>
    </w:p>
    <w:p>
      <w:pPr>
        <w:jc w:val="center"/>
      </w:pPr>
      <w:r>
        <w:drawing>
          <wp:inline xmlns:a="http://schemas.openxmlformats.org/drawingml/2006/main" xmlns:pic="http://schemas.openxmlformats.org/drawingml/2006/picture">
            <wp:extent cx="6400800" cy="2206244"/>
            <wp:docPr id="1" name="Picture 1"/>
            <wp:cNvGraphicFramePr>
              <a:graphicFrameLocks noChangeAspect="1"/>
            </wp:cNvGraphicFramePr>
            <a:graphic>
              <a:graphicData uri="http://schemas.openxmlformats.org/drawingml/2006/picture">
                <pic:pic>
                  <pic:nvPicPr>
                    <pic:cNvPr id="0" name="pipeline_flow.png"/>
                    <pic:cNvPicPr/>
                  </pic:nvPicPr>
                  <pic:blipFill>
                    <a:blip r:embed="rId10"/>
                    <a:stretch>
                      <a:fillRect/>
                    </a:stretch>
                  </pic:blipFill>
                  <pic:spPr>
                    <a:xfrm>
                      <a:off x="0" y="0"/>
                      <a:ext cx="6400800" cy="2206244"/>
                    </a:xfrm>
                    <a:prstGeom prst="rect"/>
                  </pic:spPr>
                </pic:pic>
              </a:graphicData>
            </a:graphic>
          </wp:inline>
        </w:drawing>
      </w:r>
    </w:p>
    <w:p>
      <w:pPr>
        <w:spacing w:after="120" w:line="259" w:lineRule="auto"/>
      </w:pPr>
      <w:r>
        <w:t>The offline JSON option makes the project reproducible without exposing an API key. For live execution, the key is read from the ALPHA_VANTAGE_API_KEY environment variable rather than being hard-coded in source control.</w:t>
      </w:r>
    </w:p>
    <w:p>
      <w:r>
        <w:br w:type="page"/>
      </w:r>
    </w:p>
    <w:p>
      <w:pPr>
        <w:pStyle w:val="Heading1"/>
        <w:spacing w:before="160" w:after="100"/>
      </w:pPr>
      <w:r>
        <w:t>1. Business Problem and User Scenario</w:t>
      </w:r>
    </w:p>
    <w:p>
      <w:pPr>
        <w:spacing w:after="120" w:line="259" w:lineRule="auto"/>
      </w:pPr>
      <w:r>
        <w:t>The intended user is a portfolio or market analyst who needs a lightweight way to summarize daily AAPL price behavior. The system converts raw daily price data into consistent metrics and labels so an analyst can quickly identify positive or negative sessions, compare volatility conditions, and query the resulting history in SQL.</w:t>
      </w:r>
    </w:p>
    <w:p>
      <w:pPr>
        <w:pStyle w:val="ListBullet"/>
        <w:spacing w:after="60"/>
      </w:pPr>
      <w:r>
        <w:t>Automate ingestion of open, high, low, close, and volume fields.</w:t>
      </w:r>
    </w:p>
    <w:p>
      <w:pPr>
        <w:pStyle w:val="ListBullet"/>
        <w:spacing w:after="60"/>
      </w:pPr>
      <w:r>
        <w:t>Standardize calculations across trading days.</w:t>
      </w:r>
    </w:p>
    <w:p>
      <w:pPr>
        <w:pStyle w:val="ListBullet"/>
        <w:spacing w:after="60"/>
      </w:pPr>
      <w:r>
        <w:t>Apply transparent and auditable decision rules.</w:t>
      </w:r>
    </w:p>
    <w:p>
      <w:pPr>
        <w:pStyle w:val="ListBullet"/>
        <w:spacing w:after="60"/>
      </w:pPr>
      <w:r>
        <w:t>Prevent duplicate symbol-date records in the database.</w:t>
      </w:r>
    </w:p>
    <w:p>
      <w:pPr>
        <w:pStyle w:val="ListBullet"/>
        <w:spacing w:after="60"/>
      </w:pPr>
      <w:r>
        <w:t>Produce reusable SQL summaries and portfolio-ready visuals.</w:t>
      </w:r>
    </w:p>
    <w:p>
      <w:pPr>
        <w:pStyle w:val="Heading1"/>
        <w:spacing w:before="160" w:after="100"/>
      </w:pPr>
      <w:r>
        <w:t>2. Data Source and Fields</w:t>
      </w:r>
    </w:p>
    <w:p>
      <w:pPr>
        <w:spacing w:after="120" w:line="259" w:lineRule="auto"/>
      </w:pPr>
      <w:r>
        <w:t>The project uses the Alpha Vantage TIME_SERIES_DAILY response format. A saved JSON response is included for reproducibility. The daily time-series object uses the trading date as the key and stores five raw market fields as strings.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7365D"/>
            <w:vAlign w:val="center"/>
          </w:tcPr>
          <w:p>
            <w:r/>
            <w:r>
              <w:rPr>
                <w:rFonts w:ascii="Arial" w:hAnsi="Arial"/>
                <w:b/>
                <w:color w:val="FFFFFF"/>
                <w:sz w:val="18"/>
              </w:rPr>
              <w:t>Source field</w:t>
            </w:r>
          </w:p>
        </w:tc>
        <w:tc>
          <w:tcPr>
            <w:tcW w:type="dxa" w:w="5184"/>
            <w:shd w:fill="17365D"/>
            <w:vAlign w:val="center"/>
          </w:tcPr>
          <w:p>
            <w:r/>
            <w:r>
              <w:rPr>
                <w:rFonts w:ascii="Arial" w:hAnsi="Arial"/>
                <w:b/>
                <w:color w:val="FFFFFF"/>
                <w:sz w:val="18"/>
              </w:rPr>
              <w:t>Analytical meaning</w:t>
            </w:r>
          </w:p>
        </w:tc>
        <w:tc>
          <w:tcPr>
            <w:tcW w:type="dxa" w:w="1728"/>
            <w:shd w:fill="17365D"/>
            <w:vAlign w:val="center"/>
          </w:tcPr>
          <w:p>
            <w:r/>
            <w:r>
              <w:rPr>
                <w:rFonts w:ascii="Arial" w:hAnsi="Arial"/>
                <w:b/>
                <w:color w:val="FFFFFF"/>
                <w:sz w:val="18"/>
              </w:rPr>
              <w:t>Stored type</w:t>
            </w:r>
          </w:p>
        </w:tc>
      </w:tr>
      <w:tr>
        <w:tc>
          <w:tcPr>
            <w:tcW w:type="dxa" w:w="2016"/>
            <w:vAlign w:val="center"/>
          </w:tcPr>
          <w:p>
            <w:r/>
            <w:r>
              <w:rPr>
                <w:rFonts w:ascii="Arial" w:hAnsi="Arial"/>
                <w:b w:val="0"/>
                <w:sz w:val="18"/>
              </w:rPr>
              <w:t>1. open</w:t>
            </w:r>
          </w:p>
        </w:tc>
        <w:tc>
          <w:tcPr>
            <w:tcW w:type="dxa" w:w="5184"/>
            <w:vAlign w:val="center"/>
          </w:tcPr>
          <w:p>
            <w:r/>
            <w:r>
              <w:rPr>
                <w:rFonts w:ascii="Arial" w:hAnsi="Arial"/>
                <w:b w:val="0"/>
                <w:sz w:val="18"/>
              </w:rPr>
              <w:t>Opening price</w:t>
            </w:r>
          </w:p>
        </w:tc>
        <w:tc>
          <w:tcPr>
            <w:tcW w:type="dxa" w:w="1728"/>
            <w:vAlign w:val="center"/>
          </w:tcPr>
          <w:p>
            <w:r/>
            <w:r>
              <w:rPr>
                <w:rFonts w:ascii="Arial" w:hAnsi="Arial"/>
                <w:b w:val="0"/>
                <w:sz w:val="18"/>
              </w:rPr>
              <w:t>REAL</w:t>
            </w:r>
          </w:p>
        </w:tc>
      </w:tr>
      <w:tr>
        <w:tc>
          <w:tcPr>
            <w:tcW w:type="dxa" w:w="2016"/>
            <w:shd w:fill="F2F2F2"/>
            <w:vAlign w:val="center"/>
          </w:tcPr>
          <w:p>
            <w:r/>
            <w:r>
              <w:rPr>
                <w:rFonts w:ascii="Arial" w:hAnsi="Arial"/>
                <w:b w:val="0"/>
                <w:sz w:val="18"/>
              </w:rPr>
              <w:t>2. high</w:t>
            </w:r>
          </w:p>
        </w:tc>
        <w:tc>
          <w:tcPr>
            <w:tcW w:type="dxa" w:w="5184"/>
            <w:shd w:fill="F2F2F2"/>
            <w:vAlign w:val="center"/>
          </w:tcPr>
          <w:p>
            <w:r/>
            <w:r>
              <w:rPr>
                <w:rFonts w:ascii="Arial" w:hAnsi="Arial"/>
                <w:b w:val="0"/>
                <w:sz w:val="18"/>
              </w:rPr>
              <w:t>Highest intraday price</w:t>
            </w:r>
          </w:p>
        </w:tc>
        <w:tc>
          <w:tcPr>
            <w:tcW w:type="dxa" w:w="1728"/>
            <w:shd w:fill="F2F2F2"/>
            <w:vAlign w:val="center"/>
          </w:tcPr>
          <w:p>
            <w:r/>
            <w:r>
              <w:rPr>
                <w:rFonts w:ascii="Arial" w:hAnsi="Arial"/>
                <w:b w:val="0"/>
                <w:sz w:val="18"/>
              </w:rPr>
              <w:t>REAL</w:t>
            </w:r>
          </w:p>
        </w:tc>
      </w:tr>
      <w:tr>
        <w:tc>
          <w:tcPr>
            <w:tcW w:type="dxa" w:w="2016"/>
            <w:vAlign w:val="center"/>
          </w:tcPr>
          <w:p>
            <w:r/>
            <w:r>
              <w:rPr>
                <w:rFonts w:ascii="Arial" w:hAnsi="Arial"/>
                <w:b w:val="0"/>
                <w:sz w:val="18"/>
              </w:rPr>
              <w:t>3. low</w:t>
            </w:r>
          </w:p>
        </w:tc>
        <w:tc>
          <w:tcPr>
            <w:tcW w:type="dxa" w:w="5184"/>
            <w:vAlign w:val="center"/>
          </w:tcPr>
          <w:p>
            <w:r/>
            <w:r>
              <w:rPr>
                <w:rFonts w:ascii="Arial" w:hAnsi="Arial"/>
                <w:b w:val="0"/>
                <w:sz w:val="18"/>
              </w:rPr>
              <w:t>Lowest intraday price</w:t>
            </w:r>
          </w:p>
        </w:tc>
        <w:tc>
          <w:tcPr>
            <w:tcW w:type="dxa" w:w="1728"/>
            <w:vAlign w:val="center"/>
          </w:tcPr>
          <w:p>
            <w:r/>
            <w:r>
              <w:rPr>
                <w:rFonts w:ascii="Arial" w:hAnsi="Arial"/>
                <w:b w:val="0"/>
                <w:sz w:val="18"/>
              </w:rPr>
              <w:t>REAL</w:t>
            </w:r>
          </w:p>
        </w:tc>
      </w:tr>
      <w:tr>
        <w:tc>
          <w:tcPr>
            <w:tcW w:type="dxa" w:w="2016"/>
            <w:shd w:fill="F2F2F2"/>
            <w:vAlign w:val="center"/>
          </w:tcPr>
          <w:p>
            <w:r/>
            <w:r>
              <w:rPr>
                <w:rFonts w:ascii="Arial" w:hAnsi="Arial"/>
                <w:b w:val="0"/>
                <w:sz w:val="18"/>
              </w:rPr>
              <w:t>4. close</w:t>
            </w:r>
          </w:p>
        </w:tc>
        <w:tc>
          <w:tcPr>
            <w:tcW w:type="dxa" w:w="5184"/>
            <w:shd w:fill="F2F2F2"/>
            <w:vAlign w:val="center"/>
          </w:tcPr>
          <w:p>
            <w:r/>
            <w:r>
              <w:rPr>
                <w:rFonts w:ascii="Arial" w:hAnsi="Arial"/>
                <w:b w:val="0"/>
                <w:sz w:val="18"/>
              </w:rPr>
              <w:t>Closing price</w:t>
            </w:r>
          </w:p>
        </w:tc>
        <w:tc>
          <w:tcPr>
            <w:tcW w:type="dxa" w:w="1728"/>
            <w:shd w:fill="F2F2F2"/>
            <w:vAlign w:val="center"/>
          </w:tcPr>
          <w:p>
            <w:r/>
            <w:r>
              <w:rPr>
                <w:rFonts w:ascii="Arial" w:hAnsi="Arial"/>
                <w:b w:val="0"/>
                <w:sz w:val="18"/>
              </w:rPr>
              <w:t>REAL</w:t>
            </w:r>
          </w:p>
        </w:tc>
      </w:tr>
      <w:tr>
        <w:tc>
          <w:tcPr>
            <w:tcW w:type="dxa" w:w="2016"/>
            <w:vAlign w:val="center"/>
          </w:tcPr>
          <w:p>
            <w:r/>
            <w:r>
              <w:rPr>
                <w:rFonts w:ascii="Arial" w:hAnsi="Arial"/>
                <w:b w:val="0"/>
                <w:sz w:val="18"/>
              </w:rPr>
              <w:t>5. volume</w:t>
            </w:r>
          </w:p>
        </w:tc>
        <w:tc>
          <w:tcPr>
            <w:tcW w:type="dxa" w:w="5184"/>
            <w:vAlign w:val="center"/>
          </w:tcPr>
          <w:p>
            <w:r/>
            <w:r>
              <w:rPr>
                <w:rFonts w:ascii="Arial" w:hAnsi="Arial"/>
                <w:b w:val="0"/>
                <w:sz w:val="18"/>
              </w:rPr>
              <w:t>Shares traded</w:t>
            </w:r>
          </w:p>
        </w:tc>
        <w:tc>
          <w:tcPr>
            <w:tcW w:type="dxa" w:w="1728"/>
            <w:vAlign w:val="center"/>
          </w:tcPr>
          <w:p>
            <w:r/>
            <w:r>
              <w:rPr>
                <w:rFonts w:ascii="Arial" w:hAnsi="Arial"/>
                <w:b w:val="0"/>
                <w:sz w:val="18"/>
              </w:rPr>
              <w:t>INTEGER</w:t>
            </w:r>
          </w:p>
        </w:tc>
      </w:tr>
    </w:tbl>
    <w:p/>
    <w:p>
      <w:pPr>
        <w:pStyle w:val="Heading1"/>
        <w:spacing w:before="160" w:after="100"/>
      </w:pPr>
      <w:r>
        <w:t>3. Calculated Metrics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7365D"/>
            <w:vAlign w:val="center"/>
          </w:tcPr>
          <w:p>
            <w:r/>
            <w:r>
              <w:rPr>
                <w:rFonts w:ascii="Arial" w:hAnsi="Arial"/>
                <w:b/>
                <w:color w:val="FFFFFF"/>
                <w:sz w:val="18"/>
              </w:rPr>
              <w:t>Metric</w:t>
            </w:r>
          </w:p>
        </w:tc>
        <w:tc>
          <w:tcPr>
            <w:tcW w:type="dxa" w:w="3816"/>
            <w:shd w:fill="17365D"/>
            <w:vAlign w:val="center"/>
          </w:tcPr>
          <w:p>
            <w:r/>
            <w:r>
              <w:rPr>
                <w:rFonts w:ascii="Arial" w:hAnsi="Arial"/>
                <w:b/>
                <w:color w:val="FFFFFF"/>
                <w:sz w:val="18"/>
              </w:rPr>
              <w:t>Formula</w:t>
            </w:r>
          </w:p>
        </w:tc>
        <w:tc>
          <w:tcPr>
            <w:tcW w:type="dxa" w:w="3456"/>
            <w:shd w:fill="17365D"/>
            <w:vAlign w:val="center"/>
          </w:tcPr>
          <w:p>
            <w:r/>
            <w:r>
              <w:rPr>
                <w:rFonts w:ascii="Arial" w:hAnsi="Arial"/>
                <w:b/>
                <w:color w:val="FFFFFF"/>
                <w:sz w:val="18"/>
              </w:rPr>
              <w:t>Purpose</w:t>
            </w:r>
          </w:p>
        </w:tc>
      </w:tr>
      <w:tr>
        <w:tc>
          <w:tcPr>
            <w:tcW w:type="dxa" w:w="2232"/>
            <w:vAlign w:val="center"/>
          </w:tcPr>
          <w:p>
            <w:r/>
            <w:r>
              <w:rPr>
                <w:rFonts w:ascii="Arial" w:hAnsi="Arial"/>
                <w:b w:val="0"/>
                <w:sz w:val="18"/>
              </w:rPr>
              <w:t>Price change</w:t>
            </w:r>
          </w:p>
        </w:tc>
        <w:tc>
          <w:tcPr>
            <w:tcW w:type="dxa" w:w="3816"/>
            <w:vAlign w:val="center"/>
          </w:tcPr>
          <w:p>
            <w:r/>
            <w:r>
              <w:rPr>
                <w:rFonts w:ascii="Arial" w:hAnsi="Arial"/>
                <w:b w:val="0"/>
                <w:sz w:val="18"/>
              </w:rPr>
              <w:t>Close - Open</w:t>
            </w:r>
          </w:p>
        </w:tc>
        <w:tc>
          <w:tcPr>
            <w:tcW w:type="dxa" w:w="3456"/>
            <w:vAlign w:val="center"/>
          </w:tcPr>
          <w:p>
            <w:r/>
            <w:r>
              <w:rPr>
                <w:rFonts w:ascii="Arial" w:hAnsi="Arial"/>
                <w:b w:val="0"/>
                <w:sz w:val="18"/>
              </w:rPr>
              <w:t>Absolute open-to-close movement</w:t>
            </w:r>
          </w:p>
        </w:tc>
      </w:tr>
      <w:tr>
        <w:tc>
          <w:tcPr>
            <w:tcW w:type="dxa" w:w="2232"/>
            <w:shd w:fill="F2F2F2"/>
            <w:vAlign w:val="center"/>
          </w:tcPr>
          <w:p>
            <w:r/>
            <w:r>
              <w:rPr>
                <w:rFonts w:ascii="Arial" w:hAnsi="Arial"/>
                <w:b w:val="0"/>
                <w:sz w:val="18"/>
              </w:rPr>
              <w:t>Percent change</w:t>
            </w:r>
          </w:p>
        </w:tc>
        <w:tc>
          <w:tcPr>
            <w:tcW w:type="dxa" w:w="3816"/>
            <w:shd w:fill="F2F2F2"/>
            <w:vAlign w:val="center"/>
          </w:tcPr>
          <w:p>
            <w:r/>
            <w:r>
              <w:rPr>
                <w:rFonts w:ascii="Arial" w:hAnsi="Arial"/>
                <w:b w:val="0"/>
                <w:sz w:val="18"/>
              </w:rPr>
              <w:t>(Close - Open) / Open x 100</w:t>
            </w:r>
          </w:p>
        </w:tc>
        <w:tc>
          <w:tcPr>
            <w:tcW w:type="dxa" w:w="3456"/>
            <w:shd w:fill="F2F2F2"/>
            <w:vAlign w:val="center"/>
          </w:tcPr>
          <w:p>
            <w:r/>
            <w:r>
              <w:rPr>
                <w:rFonts w:ascii="Arial" w:hAnsi="Arial"/>
                <w:b w:val="0"/>
                <w:sz w:val="18"/>
              </w:rPr>
              <w:t>Normalizes movement across price levels</w:t>
            </w:r>
          </w:p>
        </w:tc>
      </w:tr>
      <w:tr>
        <w:tc>
          <w:tcPr>
            <w:tcW w:type="dxa" w:w="2232"/>
            <w:vAlign w:val="center"/>
          </w:tcPr>
          <w:p>
            <w:r/>
            <w:r>
              <w:rPr>
                <w:rFonts w:ascii="Arial" w:hAnsi="Arial"/>
                <w:b w:val="0"/>
                <w:sz w:val="18"/>
              </w:rPr>
              <w:t>Daily range</w:t>
            </w:r>
          </w:p>
        </w:tc>
        <w:tc>
          <w:tcPr>
            <w:tcW w:type="dxa" w:w="3816"/>
            <w:vAlign w:val="center"/>
          </w:tcPr>
          <w:p>
            <w:r/>
            <w:r>
              <w:rPr>
                <w:rFonts w:ascii="Arial" w:hAnsi="Arial"/>
                <w:b w:val="0"/>
                <w:sz w:val="18"/>
              </w:rPr>
              <w:t>High - Low</w:t>
            </w:r>
          </w:p>
        </w:tc>
        <w:tc>
          <w:tcPr>
            <w:tcW w:type="dxa" w:w="3456"/>
            <w:vAlign w:val="center"/>
          </w:tcPr>
          <w:p>
            <w:r/>
            <w:r>
              <w:rPr>
                <w:rFonts w:ascii="Arial" w:hAnsi="Arial"/>
                <w:b w:val="0"/>
                <w:sz w:val="18"/>
              </w:rPr>
              <w:t>Absolute intraday spread</w:t>
            </w:r>
          </w:p>
        </w:tc>
      </w:tr>
      <w:tr>
        <w:tc>
          <w:tcPr>
            <w:tcW w:type="dxa" w:w="2232"/>
            <w:shd w:fill="F2F2F2"/>
            <w:vAlign w:val="center"/>
          </w:tcPr>
          <w:p>
            <w:r/>
            <w:r>
              <w:rPr>
                <w:rFonts w:ascii="Arial" w:hAnsi="Arial"/>
                <w:b w:val="0"/>
                <w:sz w:val="18"/>
              </w:rPr>
              <w:t>Daily range percent</w:t>
            </w:r>
          </w:p>
        </w:tc>
        <w:tc>
          <w:tcPr>
            <w:tcW w:type="dxa" w:w="3816"/>
            <w:shd w:fill="F2F2F2"/>
            <w:vAlign w:val="center"/>
          </w:tcPr>
          <w:p>
            <w:r/>
            <w:r>
              <w:rPr>
                <w:rFonts w:ascii="Arial" w:hAnsi="Arial"/>
                <w:b w:val="0"/>
                <w:sz w:val="18"/>
              </w:rPr>
              <w:t>(High - Low) / Open x 100</w:t>
            </w:r>
          </w:p>
        </w:tc>
        <w:tc>
          <w:tcPr>
            <w:tcW w:type="dxa" w:w="3456"/>
            <w:shd w:fill="F2F2F2"/>
            <w:vAlign w:val="center"/>
          </w:tcPr>
          <w:p>
            <w:r/>
            <w:r>
              <w:rPr>
                <w:rFonts w:ascii="Arial" w:hAnsi="Arial"/>
                <w:b w:val="0"/>
                <w:sz w:val="18"/>
              </w:rPr>
              <w:t>Normalizes intraday volatility</w:t>
            </w:r>
          </w:p>
        </w:tc>
      </w:tr>
    </w:tbl>
    <w:p/>
    <w:p>
      <w:r>
        <w:br w:type="page"/>
      </w:r>
    </w:p>
    <w:p>
      <w:pPr>
        <w:pStyle w:val="Heading1"/>
        <w:spacing w:before="160" w:after="100"/>
      </w:pPr>
      <w:r>
        <w:t>4. Business Rules and Classification Logic</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7365D"/>
            <w:vAlign w:val="center"/>
          </w:tcPr>
          <w:p>
            <w:r/>
            <w:r>
              <w:rPr>
                <w:rFonts w:ascii="Arial" w:hAnsi="Arial"/>
                <w:b/>
                <w:color w:val="FFFFFF"/>
                <w:sz w:val="18"/>
              </w:rPr>
              <w:t>Rule category</w:t>
            </w:r>
          </w:p>
        </w:tc>
        <w:tc>
          <w:tcPr>
            <w:tcW w:type="dxa" w:w="5616"/>
            <w:shd w:fill="17365D"/>
            <w:vAlign w:val="center"/>
          </w:tcPr>
          <w:p>
            <w:r/>
            <w:r>
              <w:rPr>
                <w:rFonts w:ascii="Arial" w:hAnsi="Arial"/>
                <w:b/>
                <w:color w:val="FFFFFF"/>
                <w:sz w:val="18"/>
              </w:rPr>
              <w:t>Condition</w:t>
            </w:r>
          </w:p>
        </w:tc>
        <w:tc>
          <w:tcPr>
            <w:tcW w:type="dxa" w:w="1872"/>
            <w:shd w:fill="17365D"/>
            <w:vAlign w:val="center"/>
          </w:tcPr>
          <w:p>
            <w:r/>
            <w:r>
              <w:rPr>
                <w:rFonts w:ascii="Arial" w:hAnsi="Arial"/>
                <w:b/>
                <w:color w:val="FFFFFF"/>
                <w:sz w:val="18"/>
              </w:rPr>
              <w:t>Output</w:t>
            </w:r>
          </w:p>
        </w:tc>
      </w:tr>
      <w:tr>
        <w:tc>
          <w:tcPr>
            <w:tcW w:type="dxa" w:w="1872"/>
            <w:vAlign w:val="center"/>
          </w:tcPr>
          <w:p>
            <w:r/>
            <w:r>
              <w:rPr>
                <w:rFonts w:ascii="Arial" w:hAnsi="Arial"/>
                <w:b w:val="0"/>
                <w:sz w:val="18"/>
              </w:rPr>
              <w:t>Movement</w:t>
            </w:r>
          </w:p>
        </w:tc>
        <w:tc>
          <w:tcPr>
            <w:tcW w:type="dxa" w:w="5616"/>
            <w:vAlign w:val="center"/>
          </w:tcPr>
          <w:p>
            <w:r/>
            <w:r>
              <w:rPr>
                <w:rFonts w:ascii="Arial" w:hAnsi="Arial"/>
                <w:b w:val="0"/>
                <w:sz w:val="18"/>
              </w:rPr>
              <w:t>Percent change &gt; 0.5%</w:t>
            </w:r>
          </w:p>
        </w:tc>
        <w:tc>
          <w:tcPr>
            <w:tcW w:type="dxa" w:w="1872"/>
            <w:vAlign w:val="center"/>
          </w:tcPr>
          <w:p>
            <w:r/>
            <w:r>
              <w:rPr>
                <w:rFonts w:ascii="Arial" w:hAnsi="Arial"/>
                <w:b w:val="0"/>
                <w:sz w:val="18"/>
              </w:rPr>
              <w:t>Positive</w:t>
            </w:r>
          </w:p>
        </w:tc>
      </w:tr>
      <w:tr>
        <w:tc>
          <w:tcPr>
            <w:tcW w:type="dxa" w:w="1872"/>
            <w:shd w:fill="F2F2F2"/>
            <w:vAlign w:val="center"/>
          </w:tcPr>
          <w:p>
            <w:r/>
            <w:r>
              <w:rPr>
                <w:rFonts w:ascii="Arial" w:hAnsi="Arial"/>
                <w:b w:val="0"/>
                <w:sz w:val="18"/>
              </w:rPr>
              <w:t>Movement</w:t>
            </w:r>
          </w:p>
        </w:tc>
        <w:tc>
          <w:tcPr>
            <w:tcW w:type="dxa" w:w="5616"/>
            <w:shd w:fill="F2F2F2"/>
            <w:vAlign w:val="center"/>
          </w:tcPr>
          <w:p>
            <w:r/>
            <w:r>
              <w:rPr>
                <w:rFonts w:ascii="Arial" w:hAnsi="Arial"/>
                <w:b w:val="0"/>
                <w:sz w:val="18"/>
              </w:rPr>
              <w:t>Percent change &lt; -0.5%</w:t>
            </w:r>
          </w:p>
        </w:tc>
        <w:tc>
          <w:tcPr>
            <w:tcW w:type="dxa" w:w="1872"/>
            <w:shd w:fill="F2F2F2"/>
            <w:vAlign w:val="center"/>
          </w:tcPr>
          <w:p>
            <w:r/>
            <w:r>
              <w:rPr>
                <w:rFonts w:ascii="Arial" w:hAnsi="Arial"/>
                <w:b w:val="0"/>
                <w:sz w:val="18"/>
              </w:rPr>
              <w:t>Negative</w:t>
            </w:r>
          </w:p>
        </w:tc>
      </w:tr>
      <w:tr>
        <w:tc>
          <w:tcPr>
            <w:tcW w:type="dxa" w:w="1872"/>
            <w:vAlign w:val="center"/>
          </w:tcPr>
          <w:p>
            <w:r/>
            <w:r>
              <w:rPr>
                <w:rFonts w:ascii="Arial" w:hAnsi="Arial"/>
                <w:b w:val="0"/>
                <w:sz w:val="18"/>
              </w:rPr>
              <w:t>Movement</w:t>
            </w:r>
          </w:p>
        </w:tc>
        <w:tc>
          <w:tcPr>
            <w:tcW w:type="dxa" w:w="5616"/>
            <w:vAlign w:val="center"/>
          </w:tcPr>
          <w:p>
            <w:r/>
            <w:r>
              <w:rPr>
                <w:rFonts w:ascii="Arial" w:hAnsi="Arial"/>
                <w:b w:val="0"/>
                <w:sz w:val="18"/>
              </w:rPr>
              <w:t>-0.5% to 0.5%</w:t>
            </w:r>
          </w:p>
        </w:tc>
        <w:tc>
          <w:tcPr>
            <w:tcW w:type="dxa" w:w="1872"/>
            <w:vAlign w:val="center"/>
          </w:tcPr>
          <w:p>
            <w:r/>
            <w:r>
              <w:rPr>
                <w:rFonts w:ascii="Arial" w:hAnsi="Arial"/>
                <w:b w:val="0"/>
                <w:sz w:val="18"/>
              </w:rPr>
              <w:t>Neutral</w:t>
            </w:r>
          </w:p>
        </w:tc>
      </w:tr>
      <w:tr>
        <w:tc>
          <w:tcPr>
            <w:tcW w:type="dxa" w:w="1872"/>
            <w:shd w:fill="F2F2F2"/>
            <w:vAlign w:val="center"/>
          </w:tcPr>
          <w:p>
            <w:r/>
            <w:r>
              <w:rPr>
                <w:rFonts w:ascii="Arial" w:hAnsi="Arial"/>
                <w:b w:val="0"/>
                <w:sz w:val="18"/>
              </w:rPr>
              <w:t>Volatility</w:t>
            </w:r>
          </w:p>
        </w:tc>
        <w:tc>
          <w:tcPr>
            <w:tcW w:type="dxa" w:w="5616"/>
            <w:shd w:fill="F2F2F2"/>
            <w:vAlign w:val="center"/>
          </w:tcPr>
          <w:p>
            <w:r/>
            <w:r>
              <w:rPr>
                <w:rFonts w:ascii="Arial" w:hAnsi="Arial"/>
                <w:b w:val="0"/>
                <w:sz w:val="18"/>
              </w:rPr>
              <w:t>Daily range percent &lt; 1.5%</w:t>
            </w:r>
          </w:p>
        </w:tc>
        <w:tc>
          <w:tcPr>
            <w:tcW w:type="dxa" w:w="1872"/>
            <w:shd w:fill="F2F2F2"/>
            <w:vAlign w:val="center"/>
          </w:tcPr>
          <w:p>
            <w:r/>
            <w:r>
              <w:rPr>
                <w:rFonts w:ascii="Arial" w:hAnsi="Arial"/>
                <w:b w:val="0"/>
                <w:sz w:val="18"/>
              </w:rPr>
              <w:t>Low</w:t>
            </w:r>
          </w:p>
        </w:tc>
      </w:tr>
      <w:tr>
        <w:tc>
          <w:tcPr>
            <w:tcW w:type="dxa" w:w="1872"/>
            <w:vAlign w:val="center"/>
          </w:tcPr>
          <w:p>
            <w:r/>
            <w:r>
              <w:rPr>
                <w:rFonts w:ascii="Arial" w:hAnsi="Arial"/>
                <w:b w:val="0"/>
                <w:sz w:val="18"/>
              </w:rPr>
              <w:t>Volatility</w:t>
            </w:r>
          </w:p>
        </w:tc>
        <w:tc>
          <w:tcPr>
            <w:tcW w:type="dxa" w:w="5616"/>
            <w:vAlign w:val="center"/>
          </w:tcPr>
          <w:p>
            <w:r/>
            <w:r>
              <w:rPr>
                <w:rFonts w:ascii="Arial" w:hAnsi="Arial"/>
                <w:b w:val="0"/>
                <w:sz w:val="18"/>
              </w:rPr>
              <w:t>1.5% through 3.0%</w:t>
            </w:r>
          </w:p>
        </w:tc>
        <w:tc>
          <w:tcPr>
            <w:tcW w:type="dxa" w:w="1872"/>
            <w:vAlign w:val="center"/>
          </w:tcPr>
          <w:p>
            <w:r/>
            <w:r>
              <w:rPr>
                <w:rFonts w:ascii="Arial" w:hAnsi="Arial"/>
                <w:b w:val="0"/>
                <w:sz w:val="18"/>
              </w:rPr>
              <w:t>Moderate</w:t>
            </w:r>
          </w:p>
        </w:tc>
      </w:tr>
      <w:tr>
        <w:tc>
          <w:tcPr>
            <w:tcW w:type="dxa" w:w="1872"/>
            <w:shd w:fill="F2F2F2"/>
            <w:vAlign w:val="center"/>
          </w:tcPr>
          <w:p>
            <w:r/>
            <w:r>
              <w:rPr>
                <w:rFonts w:ascii="Arial" w:hAnsi="Arial"/>
                <w:b w:val="0"/>
                <w:sz w:val="18"/>
              </w:rPr>
              <w:t>Volatility</w:t>
            </w:r>
          </w:p>
        </w:tc>
        <w:tc>
          <w:tcPr>
            <w:tcW w:type="dxa" w:w="5616"/>
            <w:shd w:fill="F2F2F2"/>
            <w:vAlign w:val="center"/>
          </w:tcPr>
          <w:p>
            <w:r/>
            <w:r>
              <w:rPr>
                <w:rFonts w:ascii="Arial" w:hAnsi="Arial"/>
                <w:b w:val="0"/>
                <w:sz w:val="18"/>
              </w:rPr>
              <w:t>Daily range percent &gt; 3.0%</w:t>
            </w:r>
          </w:p>
        </w:tc>
        <w:tc>
          <w:tcPr>
            <w:tcW w:type="dxa" w:w="1872"/>
            <w:shd w:fill="F2F2F2"/>
            <w:vAlign w:val="center"/>
          </w:tcPr>
          <w:p>
            <w:r/>
            <w:r>
              <w:rPr>
                <w:rFonts w:ascii="Arial" w:hAnsi="Arial"/>
                <w:b w:val="0"/>
                <w:sz w:val="18"/>
              </w:rPr>
              <w:t>High</w:t>
            </w:r>
          </w:p>
        </w:tc>
      </w:tr>
      <w:tr>
        <w:tc>
          <w:tcPr>
            <w:tcW w:type="dxa" w:w="1872"/>
            <w:vAlign w:val="center"/>
          </w:tcPr>
          <w:p>
            <w:r/>
            <w:r>
              <w:rPr>
                <w:rFonts w:ascii="Arial" w:hAnsi="Arial"/>
                <w:b w:val="0"/>
                <w:sz w:val="18"/>
              </w:rPr>
              <w:t>Signal</w:t>
            </w:r>
          </w:p>
        </w:tc>
        <w:tc>
          <w:tcPr>
            <w:tcW w:type="dxa" w:w="5616"/>
            <w:vAlign w:val="center"/>
          </w:tcPr>
          <w:p>
            <w:r/>
            <w:r>
              <w:rPr>
                <w:rFonts w:ascii="Arial" w:hAnsi="Arial"/>
                <w:b w:val="0"/>
                <w:sz w:val="18"/>
              </w:rPr>
              <w:t>Volatility is High</w:t>
            </w:r>
          </w:p>
        </w:tc>
        <w:tc>
          <w:tcPr>
            <w:tcW w:type="dxa" w:w="1872"/>
            <w:vAlign w:val="center"/>
          </w:tcPr>
          <w:p>
            <w:r/>
            <w:r>
              <w:rPr>
                <w:rFonts w:ascii="Arial" w:hAnsi="Arial"/>
                <w:b w:val="0"/>
                <w:sz w:val="18"/>
              </w:rPr>
              <w:t>Hold override</w:t>
            </w:r>
          </w:p>
        </w:tc>
      </w:tr>
      <w:tr>
        <w:tc>
          <w:tcPr>
            <w:tcW w:type="dxa" w:w="1872"/>
            <w:shd w:fill="F2F2F2"/>
            <w:vAlign w:val="center"/>
          </w:tcPr>
          <w:p>
            <w:r/>
            <w:r>
              <w:rPr>
                <w:rFonts w:ascii="Arial" w:hAnsi="Arial"/>
                <w:b w:val="0"/>
                <w:sz w:val="18"/>
              </w:rPr>
              <w:t>Signal</w:t>
            </w:r>
          </w:p>
        </w:tc>
        <w:tc>
          <w:tcPr>
            <w:tcW w:type="dxa" w:w="5616"/>
            <w:shd w:fill="F2F2F2"/>
            <w:vAlign w:val="center"/>
          </w:tcPr>
          <w:p>
            <w:r/>
            <w:r>
              <w:rPr>
                <w:rFonts w:ascii="Arial" w:hAnsi="Arial"/>
                <w:b w:val="0"/>
                <w:sz w:val="18"/>
              </w:rPr>
              <w:t>Positive and volatility is not High</w:t>
            </w:r>
          </w:p>
        </w:tc>
        <w:tc>
          <w:tcPr>
            <w:tcW w:type="dxa" w:w="1872"/>
            <w:shd w:fill="F2F2F2"/>
            <w:vAlign w:val="center"/>
          </w:tcPr>
          <w:p>
            <w:r/>
            <w:r>
              <w:rPr>
                <w:rFonts w:ascii="Arial" w:hAnsi="Arial"/>
                <w:b w:val="0"/>
                <w:sz w:val="18"/>
              </w:rPr>
              <w:t>Buy</w:t>
            </w:r>
          </w:p>
        </w:tc>
      </w:tr>
      <w:tr>
        <w:tc>
          <w:tcPr>
            <w:tcW w:type="dxa" w:w="1872"/>
            <w:vAlign w:val="center"/>
          </w:tcPr>
          <w:p>
            <w:r/>
            <w:r>
              <w:rPr>
                <w:rFonts w:ascii="Arial" w:hAnsi="Arial"/>
                <w:b w:val="0"/>
                <w:sz w:val="18"/>
              </w:rPr>
              <w:t>Signal</w:t>
            </w:r>
          </w:p>
        </w:tc>
        <w:tc>
          <w:tcPr>
            <w:tcW w:type="dxa" w:w="5616"/>
            <w:vAlign w:val="center"/>
          </w:tcPr>
          <w:p>
            <w:r/>
            <w:r>
              <w:rPr>
                <w:rFonts w:ascii="Arial" w:hAnsi="Arial"/>
                <w:b w:val="0"/>
                <w:sz w:val="18"/>
              </w:rPr>
              <w:t>Negative and volatility is not High</w:t>
            </w:r>
          </w:p>
        </w:tc>
        <w:tc>
          <w:tcPr>
            <w:tcW w:type="dxa" w:w="1872"/>
            <w:vAlign w:val="center"/>
          </w:tcPr>
          <w:p>
            <w:r/>
            <w:r>
              <w:rPr>
                <w:rFonts w:ascii="Arial" w:hAnsi="Arial"/>
                <w:b w:val="0"/>
                <w:sz w:val="18"/>
              </w:rPr>
              <w:t>Sell</w:t>
            </w:r>
          </w:p>
        </w:tc>
      </w:tr>
      <w:tr>
        <w:tc>
          <w:tcPr>
            <w:tcW w:type="dxa" w:w="1872"/>
            <w:shd w:fill="F2F2F2"/>
            <w:vAlign w:val="center"/>
          </w:tcPr>
          <w:p>
            <w:r/>
            <w:r>
              <w:rPr>
                <w:rFonts w:ascii="Arial" w:hAnsi="Arial"/>
                <w:b w:val="0"/>
                <w:sz w:val="18"/>
              </w:rPr>
              <w:t>Signal</w:t>
            </w:r>
          </w:p>
        </w:tc>
        <w:tc>
          <w:tcPr>
            <w:tcW w:type="dxa" w:w="5616"/>
            <w:shd w:fill="F2F2F2"/>
            <w:vAlign w:val="center"/>
          </w:tcPr>
          <w:p>
            <w:r/>
            <w:r>
              <w:rPr>
                <w:rFonts w:ascii="Arial" w:hAnsi="Arial"/>
                <w:b w:val="0"/>
                <w:sz w:val="18"/>
              </w:rPr>
              <w:t>Neutral</w:t>
            </w:r>
          </w:p>
        </w:tc>
        <w:tc>
          <w:tcPr>
            <w:tcW w:type="dxa" w:w="1872"/>
            <w:shd w:fill="F2F2F2"/>
            <w:vAlign w:val="center"/>
          </w:tcPr>
          <w:p>
            <w:r/>
            <w:r>
              <w:rPr>
                <w:rFonts w:ascii="Arial" w:hAnsi="Arial"/>
                <w:b w:val="0"/>
                <w:sz w:val="18"/>
              </w:rPr>
              <w:t>Hold</w:t>
            </w:r>
          </w:p>
        </w:tc>
      </w:tr>
    </w:tbl>
    <w:p/>
    <w:p>
      <w:pPr>
        <w:spacing w:after="120" w:line="259" w:lineRule="auto"/>
      </w:pPr>
      <w:r>
        <w:t>The High-volatility Hold override is a conservative risk-control layer. It prevents a Buy classification on a session with unusually wide intraday movement. The resulting signal remains a summary of observed behavior rather than a forward-looking trading recommendation.</w:t>
      </w:r>
    </w:p>
    <w:p>
      <w:pPr>
        <w:pStyle w:val="Heading1"/>
        <w:spacing w:before="160" w:after="100"/>
      </w:pPr>
      <w:r>
        <w:t>5. Python Implementation</w:t>
      </w:r>
    </w:p>
    <w:p>
      <w:pPr>
        <w:spacing w:after="120" w:line="259" w:lineRule="auto"/>
      </w:pPr>
      <w:r>
        <w:t>The cleaned implementation separates data acquisition, validation, transformation, classification, database persistence, SQL analysis, chart creation, and command-line execution. Error handling covers failed HTTP requests, invalid JSON, API rate-limit messages, missing time-series sections, missing fields, and non-numeric values.</w:t>
      </w:r>
    </w:p>
    <w:tbl>
      <w:tblPr>
        <w:tblStyle w:val="TableGrid"/>
        <w:tblW w:type="auto" w:w="0"/>
        <w:jc w:val="center"/>
        <w:tblLook w:firstColumn="1" w:firstRow="1" w:lastColumn="0" w:lastRow="0" w:noHBand="0" w:noVBand="1" w:val="04A0"/>
      </w:tblPr>
      <w:tblGrid>
        <w:gridCol w:w="5040"/>
        <w:gridCol w:w="5040"/>
      </w:tblGrid>
      <w:tr>
        <w:tc>
          <w:tcPr>
            <w:tcW w:type="dxa" w:w="3024"/>
            <w:shd w:fill="17365D"/>
            <w:vAlign w:val="center"/>
          </w:tcPr>
          <w:p>
            <w:r/>
            <w:r>
              <w:rPr>
                <w:rFonts w:ascii="Arial" w:hAnsi="Arial"/>
                <w:b/>
                <w:color w:val="FFFFFF"/>
                <w:sz w:val="18"/>
              </w:rPr>
              <w:t>Function</w:t>
            </w:r>
          </w:p>
        </w:tc>
        <w:tc>
          <w:tcPr>
            <w:tcW w:type="dxa" w:w="6768"/>
            <w:shd w:fill="17365D"/>
            <w:vAlign w:val="center"/>
          </w:tcPr>
          <w:p>
            <w:r/>
            <w:r>
              <w:rPr>
                <w:rFonts w:ascii="Arial" w:hAnsi="Arial"/>
                <w:b/>
                <w:color w:val="FFFFFF"/>
                <w:sz w:val="18"/>
              </w:rPr>
              <w:t>Responsibility</w:t>
            </w:r>
          </w:p>
        </w:tc>
      </w:tr>
      <w:tr>
        <w:tc>
          <w:tcPr>
            <w:tcW w:type="dxa" w:w="3024"/>
            <w:vAlign w:val="center"/>
          </w:tcPr>
          <w:p>
            <w:r/>
            <w:r>
              <w:rPr>
                <w:rFonts w:ascii="Arial" w:hAnsi="Arial"/>
                <w:b w:val="0"/>
                <w:sz w:val="18"/>
              </w:rPr>
              <w:t>get_stock_data()</w:t>
            </w:r>
          </w:p>
        </w:tc>
        <w:tc>
          <w:tcPr>
            <w:tcW w:type="dxa" w:w="6768"/>
            <w:vAlign w:val="center"/>
          </w:tcPr>
          <w:p>
            <w:r/>
            <w:r>
              <w:rPr>
                <w:rFonts w:ascii="Arial" w:hAnsi="Arial"/>
                <w:b w:val="0"/>
                <w:sz w:val="18"/>
              </w:rPr>
              <w:t>Call Alpha Vantage using a symbol and environment-based API key.</w:t>
            </w:r>
          </w:p>
        </w:tc>
      </w:tr>
      <w:tr>
        <w:tc>
          <w:tcPr>
            <w:tcW w:type="dxa" w:w="3024"/>
            <w:shd w:fill="F2F2F2"/>
            <w:vAlign w:val="center"/>
          </w:tcPr>
          <w:p>
            <w:r/>
            <w:r>
              <w:rPr>
                <w:rFonts w:ascii="Arial" w:hAnsi="Arial"/>
                <w:b w:val="0"/>
                <w:sz w:val="18"/>
              </w:rPr>
              <w:t>validate_response()</w:t>
            </w:r>
          </w:p>
        </w:tc>
        <w:tc>
          <w:tcPr>
            <w:tcW w:type="dxa" w:w="6768"/>
            <w:shd w:fill="F2F2F2"/>
            <w:vAlign w:val="center"/>
          </w:tcPr>
          <w:p>
            <w:r/>
            <w:r>
              <w:rPr>
                <w:rFonts w:ascii="Arial" w:hAnsi="Arial"/>
                <w:b w:val="0"/>
                <w:sz w:val="18"/>
              </w:rPr>
              <w:t>Detect API messages and confirm the daily time-series object exists.</w:t>
            </w:r>
          </w:p>
        </w:tc>
      </w:tr>
      <w:tr>
        <w:tc>
          <w:tcPr>
            <w:tcW w:type="dxa" w:w="3024"/>
            <w:vAlign w:val="center"/>
          </w:tcPr>
          <w:p>
            <w:r/>
            <w:r>
              <w:rPr>
                <w:rFonts w:ascii="Arial" w:hAnsi="Arial"/>
                <w:b w:val="0"/>
                <w:sz w:val="18"/>
              </w:rPr>
              <w:t>calculate_metrics()</w:t>
            </w:r>
          </w:p>
        </w:tc>
        <w:tc>
          <w:tcPr>
            <w:tcW w:type="dxa" w:w="6768"/>
            <w:vAlign w:val="center"/>
          </w:tcPr>
          <w:p>
            <w:r/>
            <w:r>
              <w:rPr>
                <w:rFonts w:ascii="Arial" w:hAnsi="Arial"/>
                <w:b w:val="0"/>
                <w:sz w:val="18"/>
              </w:rPr>
              <w:t>Convert raw fields and calculate price and range metrics.</w:t>
            </w:r>
          </w:p>
        </w:tc>
      </w:tr>
      <w:tr>
        <w:tc>
          <w:tcPr>
            <w:tcW w:type="dxa" w:w="3024"/>
            <w:shd w:fill="F2F2F2"/>
            <w:vAlign w:val="center"/>
          </w:tcPr>
          <w:p>
            <w:r/>
            <w:r>
              <w:rPr>
                <w:rFonts w:ascii="Arial" w:hAnsi="Arial"/>
                <w:b w:val="0"/>
                <w:sz w:val="18"/>
              </w:rPr>
              <w:t>parse_daily_records()</w:t>
            </w:r>
          </w:p>
        </w:tc>
        <w:tc>
          <w:tcPr>
            <w:tcW w:type="dxa" w:w="6768"/>
            <w:shd w:fill="F2F2F2"/>
            <w:vAlign w:val="center"/>
          </w:tcPr>
          <w:p>
            <w:r/>
            <w:r>
              <w:rPr>
                <w:rFonts w:ascii="Arial" w:hAnsi="Arial"/>
                <w:b w:val="0"/>
                <w:sz w:val="18"/>
              </w:rPr>
              <w:t>Process the most recent valid records up to the requested limit.</w:t>
            </w:r>
          </w:p>
        </w:tc>
      </w:tr>
      <w:tr>
        <w:tc>
          <w:tcPr>
            <w:tcW w:type="dxa" w:w="3024"/>
            <w:vAlign w:val="center"/>
          </w:tcPr>
          <w:p>
            <w:r/>
            <w:r>
              <w:rPr>
                <w:rFonts w:ascii="Arial" w:hAnsi="Arial"/>
                <w:b w:val="0"/>
                <w:sz w:val="18"/>
              </w:rPr>
              <w:t>classify_movement()</w:t>
            </w:r>
          </w:p>
        </w:tc>
        <w:tc>
          <w:tcPr>
            <w:tcW w:type="dxa" w:w="6768"/>
            <w:vAlign w:val="center"/>
          </w:tcPr>
          <w:p>
            <w:r/>
            <w:r>
              <w:rPr>
                <w:rFonts w:ascii="Arial" w:hAnsi="Arial"/>
                <w:b w:val="0"/>
                <w:sz w:val="18"/>
              </w:rPr>
              <w:t>Assign Positive, Negative, or Neutral.</w:t>
            </w:r>
          </w:p>
        </w:tc>
      </w:tr>
      <w:tr>
        <w:tc>
          <w:tcPr>
            <w:tcW w:type="dxa" w:w="3024"/>
            <w:shd w:fill="F2F2F2"/>
            <w:vAlign w:val="center"/>
          </w:tcPr>
          <w:p>
            <w:r/>
            <w:r>
              <w:rPr>
                <w:rFonts w:ascii="Arial" w:hAnsi="Arial"/>
                <w:b w:val="0"/>
                <w:sz w:val="18"/>
              </w:rPr>
              <w:t>classify_volatility()</w:t>
            </w:r>
          </w:p>
        </w:tc>
        <w:tc>
          <w:tcPr>
            <w:tcW w:type="dxa" w:w="6768"/>
            <w:shd w:fill="F2F2F2"/>
            <w:vAlign w:val="center"/>
          </w:tcPr>
          <w:p>
            <w:r/>
            <w:r>
              <w:rPr>
                <w:rFonts w:ascii="Arial" w:hAnsi="Arial"/>
                <w:b w:val="0"/>
                <w:sz w:val="18"/>
              </w:rPr>
              <w:t>Assign Low, Moderate, or High.</w:t>
            </w:r>
          </w:p>
        </w:tc>
      </w:tr>
      <w:tr>
        <w:tc>
          <w:tcPr>
            <w:tcW w:type="dxa" w:w="3024"/>
            <w:vAlign w:val="center"/>
          </w:tcPr>
          <w:p>
            <w:r/>
            <w:r>
              <w:rPr>
                <w:rFonts w:ascii="Arial" w:hAnsi="Arial"/>
                <w:b w:val="0"/>
                <w:sz w:val="18"/>
              </w:rPr>
              <w:t>generate_signal()</w:t>
            </w:r>
          </w:p>
        </w:tc>
        <w:tc>
          <w:tcPr>
            <w:tcW w:type="dxa" w:w="6768"/>
            <w:vAlign w:val="center"/>
          </w:tcPr>
          <w:p>
            <w:r/>
            <w:r>
              <w:rPr>
                <w:rFonts w:ascii="Arial" w:hAnsi="Arial"/>
                <w:b w:val="0"/>
                <w:sz w:val="18"/>
              </w:rPr>
              <w:t>Assign Buy, Sell, or Hold with the volatility override.</w:t>
            </w:r>
          </w:p>
        </w:tc>
      </w:tr>
      <w:tr>
        <w:tc>
          <w:tcPr>
            <w:tcW w:type="dxa" w:w="3024"/>
            <w:shd w:fill="F2F2F2"/>
            <w:vAlign w:val="center"/>
          </w:tcPr>
          <w:p>
            <w:r/>
            <w:r>
              <w:rPr>
                <w:rFonts w:ascii="Arial" w:hAnsi="Arial"/>
                <w:b w:val="0"/>
                <w:sz w:val="18"/>
              </w:rPr>
              <w:t>create_database()</w:t>
            </w:r>
          </w:p>
        </w:tc>
        <w:tc>
          <w:tcPr>
            <w:tcW w:type="dxa" w:w="6768"/>
            <w:shd w:fill="F2F2F2"/>
            <w:vAlign w:val="center"/>
          </w:tcPr>
          <w:p>
            <w:r/>
            <w:r>
              <w:rPr>
                <w:rFonts w:ascii="Arial" w:hAnsi="Arial"/>
                <w:b w:val="0"/>
                <w:sz w:val="18"/>
              </w:rPr>
              <w:t>Create the SQLite table and composite primary key.</w:t>
            </w:r>
          </w:p>
        </w:tc>
      </w:tr>
      <w:tr>
        <w:tc>
          <w:tcPr>
            <w:tcW w:type="dxa" w:w="3024"/>
            <w:vAlign w:val="center"/>
          </w:tcPr>
          <w:p>
            <w:r/>
            <w:r>
              <w:rPr>
                <w:rFonts w:ascii="Arial" w:hAnsi="Arial"/>
                <w:b w:val="0"/>
                <w:sz w:val="18"/>
              </w:rPr>
              <w:t>insert_records()</w:t>
            </w:r>
          </w:p>
        </w:tc>
        <w:tc>
          <w:tcPr>
            <w:tcW w:type="dxa" w:w="6768"/>
            <w:vAlign w:val="center"/>
          </w:tcPr>
          <w:p>
            <w:r/>
            <w:r>
              <w:rPr>
                <w:rFonts w:ascii="Arial" w:hAnsi="Arial"/>
                <w:b w:val="0"/>
                <w:sz w:val="18"/>
              </w:rPr>
              <w:t>Upsert records without duplicate symbol-date rows.</w:t>
            </w:r>
          </w:p>
        </w:tc>
      </w:tr>
      <w:tr>
        <w:tc>
          <w:tcPr>
            <w:tcW w:type="dxa" w:w="3024"/>
            <w:shd w:fill="F2F2F2"/>
            <w:vAlign w:val="center"/>
          </w:tcPr>
          <w:p>
            <w:r/>
            <w:r>
              <w:rPr>
                <w:rFonts w:ascii="Arial" w:hAnsi="Arial"/>
                <w:b w:val="0"/>
                <w:sz w:val="18"/>
              </w:rPr>
              <w:t>run_analytics_queries()</w:t>
            </w:r>
          </w:p>
        </w:tc>
        <w:tc>
          <w:tcPr>
            <w:tcW w:type="dxa" w:w="6768"/>
            <w:shd w:fill="F2F2F2"/>
            <w:vAlign w:val="center"/>
          </w:tcPr>
          <w:p>
            <w:r/>
            <w:r>
              <w:rPr>
                <w:rFonts w:ascii="Arial" w:hAnsi="Arial"/>
                <w:b w:val="0"/>
                <w:sz w:val="18"/>
              </w:rPr>
              <w:t>Return the core SQL summaries.</w:t>
            </w:r>
          </w:p>
        </w:tc>
      </w:tr>
    </w:tbl>
    <w:p/>
    <w:p>
      <w:pPr>
        <w:pStyle w:val="Heading2"/>
        <w:spacing w:before="160" w:after="100"/>
      </w:pPr>
      <w:r>
        <w:t>Reproducible Command</w:t>
      </w:r>
    </w:p>
    <w:p>
      <w:pPr>
        <w:spacing w:before="40" w:after="140"/>
        <w:ind w:left="360" w:right="360"/>
        <w:shd w:fill="F7F7F7"/>
      </w:pPr>
      <w:r>
        <w:rPr>
          <w:rFonts w:ascii="Courier New" w:hAnsi="Courier New"/>
          <w:sz w:val="16"/>
        </w:rPr>
        <w:t>python src/aapl_financial_pipeline.py \</w:t>
      </w:r>
      <w:r>
        <w:br/>
      </w:r>
      <w:r>
        <w:rPr>
          <w:rFonts w:ascii="Courier New" w:hAnsi="Courier New"/>
          <w:sz w:val="16"/>
        </w:rPr>
        <w:t xml:space="preserve">  --input-json data/sample_aapl_daily.json \</w:t>
      </w:r>
      <w:r>
        <w:br/>
      </w:r>
      <w:r>
        <w:rPr>
          <w:rFonts w:ascii="Courier New" w:hAnsi="Courier New"/>
          <w:sz w:val="16"/>
        </w:rPr>
        <w:t xml:space="preserve">  --database database/aapl_stock_analysis.db \</w:t>
      </w:r>
      <w:r>
        <w:br/>
      </w:r>
      <w:r>
        <w:rPr>
          <w:rFonts w:ascii="Courier New" w:hAnsi="Courier New"/>
          <w:sz w:val="16"/>
        </w:rPr>
        <w:t xml:space="preserve">  --limit 20</w:t>
      </w:r>
    </w:p>
    <w:p>
      <w:r>
        <w:br w:type="page"/>
      </w:r>
    </w:p>
    <w:p>
      <w:pPr>
        <w:pStyle w:val="Heading1"/>
        <w:spacing w:before="160" w:after="100"/>
      </w:pPr>
      <w:r>
        <w:t>6. Database Design</w:t>
      </w:r>
    </w:p>
    <w:p>
      <w:pPr>
        <w:spacing w:after="120" w:line="259" w:lineRule="auto"/>
      </w:pPr>
      <w:r>
        <w:t>The stock_analysis table stores one analytical row per symbol and trading date. A composite primary key on (symbol, trade_date) prevents duplicates, while SQLite upsert logic updates an existing record if the pipeline is rerun for the same date.</w:t>
      </w:r>
    </w:p>
    <w:tbl>
      <w:tblPr>
        <w:tblStyle w:val="TableGrid"/>
        <w:tblW w:type="auto" w:w="0"/>
        <w:jc w:val="center"/>
        <w:tblLook w:firstColumn="1" w:firstRow="1" w:lastColumn="0" w:lastRow="0" w:noHBand="0" w:noVBand="1" w:val="04A0"/>
      </w:tblPr>
      <w:tblGrid>
        <w:gridCol w:w="5040"/>
        <w:gridCol w:w="5040"/>
      </w:tblGrid>
      <w:tr>
        <w:tc>
          <w:tcPr>
            <w:tcW w:type="dxa" w:w="2448"/>
            <w:shd w:fill="17365D"/>
            <w:vAlign w:val="center"/>
          </w:tcPr>
          <w:p>
            <w:r/>
            <w:r>
              <w:rPr>
                <w:rFonts w:ascii="Arial" w:hAnsi="Arial"/>
                <w:b/>
                <w:color w:val="FFFFFF"/>
                <w:sz w:val="18"/>
              </w:rPr>
              <w:t>Column group</w:t>
            </w:r>
          </w:p>
        </w:tc>
        <w:tc>
          <w:tcPr>
            <w:tcW w:type="dxa" w:w="7344"/>
            <w:shd w:fill="17365D"/>
            <w:vAlign w:val="center"/>
          </w:tcPr>
          <w:p>
            <w:r/>
            <w:r>
              <w:rPr>
                <w:rFonts w:ascii="Arial" w:hAnsi="Arial"/>
                <w:b/>
                <w:color w:val="FFFFFF"/>
                <w:sz w:val="18"/>
              </w:rPr>
              <w:t>Fields</w:t>
            </w:r>
          </w:p>
        </w:tc>
      </w:tr>
      <w:tr>
        <w:tc>
          <w:tcPr>
            <w:tcW w:type="dxa" w:w="2448"/>
            <w:vAlign w:val="center"/>
          </w:tcPr>
          <w:p>
            <w:r/>
            <w:r>
              <w:rPr>
                <w:rFonts w:ascii="Arial" w:hAnsi="Arial"/>
                <w:b w:val="0"/>
                <w:sz w:val="18"/>
              </w:rPr>
              <w:t>Identifiers</w:t>
            </w:r>
          </w:p>
        </w:tc>
        <w:tc>
          <w:tcPr>
            <w:tcW w:type="dxa" w:w="7344"/>
            <w:vAlign w:val="center"/>
          </w:tcPr>
          <w:p>
            <w:r/>
            <w:r>
              <w:rPr>
                <w:rFonts w:ascii="Arial" w:hAnsi="Arial"/>
                <w:b w:val="0"/>
                <w:sz w:val="18"/>
              </w:rPr>
              <w:t>symbol, trade_date</w:t>
            </w:r>
          </w:p>
        </w:tc>
      </w:tr>
      <w:tr>
        <w:tc>
          <w:tcPr>
            <w:tcW w:type="dxa" w:w="2448"/>
            <w:shd w:fill="F2F2F2"/>
            <w:vAlign w:val="center"/>
          </w:tcPr>
          <w:p>
            <w:r/>
            <w:r>
              <w:rPr>
                <w:rFonts w:ascii="Arial" w:hAnsi="Arial"/>
                <w:b w:val="0"/>
                <w:sz w:val="18"/>
              </w:rPr>
              <w:t>Raw prices</w:t>
            </w:r>
          </w:p>
        </w:tc>
        <w:tc>
          <w:tcPr>
            <w:tcW w:type="dxa" w:w="7344"/>
            <w:shd w:fill="F2F2F2"/>
            <w:vAlign w:val="center"/>
          </w:tcPr>
          <w:p>
            <w:r/>
            <w:r>
              <w:rPr>
                <w:rFonts w:ascii="Arial" w:hAnsi="Arial"/>
                <w:b w:val="0"/>
                <w:sz w:val="18"/>
              </w:rPr>
              <w:t>open_price, high_price, low_price, close_price, volume</w:t>
            </w:r>
          </w:p>
        </w:tc>
      </w:tr>
      <w:tr>
        <w:tc>
          <w:tcPr>
            <w:tcW w:type="dxa" w:w="2448"/>
            <w:vAlign w:val="center"/>
          </w:tcPr>
          <w:p>
            <w:r/>
            <w:r>
              <w:rPr>
                <w:rFonts w:ascii="Arial" w:hAnsi="Arial"/>
                <w:b w:val="0"/>
                <w:sz w:val="18"/>
              </w:rPr>
              <w:t>Calculated metrics</w:t>
            </w:r>
          </w:p>
        </w:tc>
        <w:tc>
          <w:tcPr>
            <w:tcW w:type="dxa" w:w="7344"/>
            <w:vAlign w:val="center"/>
          </w:tcPr>
          <w:p>
            <w:r/>
            <w:r>
              <w:rPr>
                <w:rFonts w:ascii="Arial" w:hAnsi="Arial"/>
                <w:b w:val="0"/>
                <w:sz w:val="18"/>
              </w:rPr>
              <w:t>price_change, percent_change, daily_range, daily_range_percent</w:t>
            </w:r>
          </w:p>
        </w:tc>
      </w:tr>
      <w:tr>
        <w:tc>
          <w:tcPr>
            <w:tcW w:type="dxa" w:w="2448"/>
            <w:shd w:fill="F2F2F2"/>
            <w:vAlign w:val="center"/>
          </w:tcPr>
          <w:p>
            <w:r/>
            <w:r>
              <w:rPr>
                <w:rFonts w:ascii="Arial" w:hAnsi="Arial"/>
                <w:b w:val="0"/>
                <w:sz w:val="18"/>
              </w:rPr>
              <w:t>Classifications</w:t>
            </w:r>
          </w:p>
        </w:tc>
        <w:tc>
          <w:tcPr>
            <w:tcW w:type="dxa" w:w="7344"/>
            <w:shd w:fill="F2F2F2"/>
            <w:vAlign w:val="center"/>
          </w:tcPr>
          <w:p>
            <w:r/>
            <w:r>
              <w:rPr>
                <w:rFonts w:ascii="Arial" w:hAnsi="Arial"/>
                <w:b w:val="0"/>
                <w:sz w:val="18"/>
              </w:rPr>
              <w:t>movement_label, volatility_label, signal</w:t>
            </w:r>
          </w:p>
        </w:tc>
      </w:tr>
    </w:tbl>
    <w:p/>
    <w:p>
      <w:pPr>
        <w:pStyle w:val="Heading1"/>
        <w:spacing w:before="160" w:after="100"/>
      </w:pPr>
      <w:r>
        <w:t>7. Analytical SQL</w:t>
      </w:r>
    </w:p>
    <w:p>
      <w:pPr>
        <w:spacing w:after="120" w:line="259" w:lineRule="auto"/>
      </w:pPr>
      <w:r>
        <w:t>The repository includes a separate SQL file so the database logic can be reviewed without opening the SQLite file. The five core analyses are:</w:t>
      </w:r>
    </w:p>
    <w:p>
      <w:pPr>
        <w:pStyle w:val="ListBullet"/>
        <w:spacing w:after="60"/>
      </w:pPr>
      <w:r>
        <w:t>Count Buy, Sell, and Hold classifications.</w:t>
      </w:r>
    </w:p>
    <w:p>
      <w:pPr>
        <w:pStyle w:val="ListBullet"/>
        <w:spacing w:after="60"/>
      </w:pPr>
      <w:r>
        <w:t>Calculate average percent change by signal type.</w:t>
      </w:r>
    </w:p>
    <w:p>
      <w:pPr>
        <w:pStyle w:val="ListBullet"/>
        <w:spacing w:after="60"/>
      </w:pPr>
      <w:r>
        <w:t>Identify the highest-volatility trading day.</w:t>
      </w:r>
    </w:p>
    <w:p>
      <w:pPr>
        <w:pStyle w:val="ListBullet"/>
        <w:spacing w:after="60"/>
      </w:pPr>
      <w:r>
        <w:t>List all High-volatility records.</w:t>
      </w:r>
    </w:p>
    <w:p>
      <w:pPr>
        <w:pStyle w:val="ListBullet"/>
        <w:spacing w:after="60"/>
      </w:pPr>
      <w:r>
        <w:t>Calculate average closing price by symbol.</w:t>
      </w:r>
    </w:p>
    <w:p>
      <w:pPr>
        <w:spacing w:before="40" w:after="140"/>
        <w:ind w:left="360" w:right="360"/>
        <w:shd w:fill="F7F7F7"/>
      </w:pPr>
      <w:r>
        <w:rPr>
          <w:rFonts w:ascii="Courier New" w:hAnsi="Courier New"/>
          <w:sz w:val="16"/>
        </w:rPr>
        <w:t>SELECT signal, COUNT(*) AS signal_count</w:t>
      </w:r>
      <w:r>
        <w:br/>
      </w:r>
      <w:r>
        <w:rPr>
          <w:rFonts w:ascii="Courier New" w:hAnsi="Courier New"/>
          <w:sz w:val="16"/>
        </w:rPr>
        <w:t>FROM stock_analysis</w:t>
      </w:r>
      <w:r>
        <w:br/>
      </w:r>
      <w:r>
        <w:rPr>
          <w:rFonts w:ascii="Courier New" w:hAnsi="Courier New"/>
          <w:sz w:val="16"/>
        </w:rPr>
        <w:t>GROUP BY signal</w:t>
      </w:r>
      <w:r>
        <w:br/>
      </w:r>
      <w:r>
        <w:rPr>
          <w:rFonts w:ascii="Courier New" w:hAnsi="Courier New"/>
          <w:sz w:val="16"/>
        </w:rPr>
        <w:t>ORDER BY signal_count DESC, signal;</w:t>
      </w:r>
      <w:r>
        <w:br/>
      </w:r>
      <w:r>
        <w:rPr>
          <w:rFonts w:ascii="Courier New" w:hAnsi="Courier New"/>
          <w:sz w:val="16"/>
        </w:rPr>
      </w:r>
      <w:r>
        <w:br/>
      </w:r>
      <w:r>
        <w:rPr>
          <w:rFonts w:ascii="Courier New" w:hAnsi="Courier New"/>
          <w:sz w:val="16"/>
        </w:rPr>
        <w:t>SELECT signal, ROUND(AVG(percent_change), 2) AS avg_percent_change</w:t>
      </w:r>
      <w:r>
        <w:br/>
      </w:r>
      <w:r>
        <w:rPr>
          <w:rFonts w:ascii="Courier New" w:hAnsi="Courier New"/>
          <w:sz w:val="16"/>
        </w:rPr>
        <w:t>FROM stock_analysis</w:t>
      </w:r>
      <w:r>
        <w:br/>
      </w:r>
      <w:r>
        <w:rPr>
          <w:rFonts w:ascii="Courier New" w:hAnsi="Courier New"/>
          <w:sz w:val="16"/>
        </w:rPr>
        <w:t>GROUP BY signal</w:t>
      </w:r>
      <w:r>
        <w:br/>
      </w:r>
      <w:r>
        <w:rPr>
          <w:rFonts w:ascii="Courier New" w:hAnsi="Courier New"/>
          <w:sz w:val="16"/>
        </w:rPr>
        <w:t>ORDER BY signal;</w:t>
      </w:r>
    </w:p>
    <w:p>
      <w:pPr>
        <w:pStyle w:val="Heading2"/>
        <w:spacing w:before="160" w:after="100"/>
      </w:pPr>
      <w:r>
        <w:t>SQL Results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65D"/>
            <w:vAlign w:val="center"/>
          </w:tcPr>
          <w:p>
            <w:r/>
            <w:r>
              <w:rPr>
                <w:rFonts w:ascii="Arial" w:hAnsi="Arial"/>
                <w:b/>
                <w:color w:val="FFFFFF"/>
                <w:sz w:val="18"/>
              </w:rPr>
              <w:t>Signal</w:t>
            </w:r>
          </w:p>
        </w:tc>
        <w:tc>
          <w:tcPr>
            <w:tcW w:type="dxa" w:w="1872"/>
            <w:shd w:fill="17365D"/>
            <w:vAlign w:val="center"/>
          </w:tcPr>
          <w:p>
            <w:r/>
            <w:r>
              <w:rPr>
                <w:rFonts w:ascii="Arial" w:hAnsi="Arial"/>
                <w:b/>
                <w:color w:val="FFFFFF"/>
                <w:sz w:val="18"/>
              </w:rPr>
              <w:t>Days</w:t>
            </w:r>
          </w:p>
        </w:tc>
        <w:tc>
          <w:tcPr>
            <w:tcW w:type="dxa" w:w="3888"/>
            <w:shd w:fill="17365D"/>
            <w:vAlign w:val="center"/>
          </w:tcPr>
          <w:p>
            <w:r/>
            <w:r>
              <w:rPr>
                <w:rFonts w:ascii="Arial" w:hAnsi="Arial"/>
                <w:b/>
                <w:color w:val="FFFFFF"/>
                <w:sz w:val="18"/>
              </w:rPr>
              <w:t>Average percent change</w:t>
            </w:r>
          </w:p>
        </w:tc>
      </w:tr>
      <w:tr>
        <w:tc>
          <w:tcPr>
            <w:tcW w:type="dxa" w:w="2160"/>
            <w:vAlign w:val="center"/>
          </w:tcPr>
          <w:p>
            <w:r/>
            <w:r>
              <w:rPr>
                <w:rFonts w:ascii="Arial" w:hAnsi="Arial"/>
                <w:b w:val="0"/>
                <w:sz w:val="18"/>
              </w:rPr>
              <w:t>Buy</w:t>
            </w:r>
          </w:p>
        </w:tc>
        <w:tc>
          <w:tcPr>
            <w:tcW w:type="dxa" w:w="1872"/>
            <w:vAlign w:val="center"/>
          </w:tcPr>
          <w:p>
            <w:r/>
            <w:r>
              <w:rPr>
                <w:rFonts w:ascii="Arial" w:hAnsi="Arial"/>
                <w:b w:val="0"/>
                <w:sz w:val="18"/>
              </w:rPr>
              <w:t>10</w:t>
            </w:r>
          </w:p>
        </w:tc>
        <w:tc>
          <w:tcPr>
            <w:tcW w:type="dxa" w:w="3888"/>
            <w:vAlign w:val="center"/>
          </w:tcPr>
          <w:p>
            <w:r/>
            <w:r>
              <w:rPr>
                <w:rFonts w:ascii="Arial" w:hAnsi="Arial"/>
                <w:b w:val="0"/>
                <w:sz w:val="18"/>
              </w:rPr>
              <w:t>1.41%</w:t>
            </w:r>
          </w:p>
        </w:tc>
      </w:tr>
      <w:tr>
        <w:tc>
          <w:tcPr>
            <w:tcW w:type="dxa" w:w="2160"/>
            <w:shd w:fill="F2F2F2"/>
            <w:vAlign w:val="center"/>
          </w:tcPr>
          <w:p>
            <w:r/>
            <w:r>
              <w:rPr>
                <w:rFonts w:ascii="Arial" w:hAnsi="Arial"/>
                <w:b w:val="0"/>
                <w:sz w:val="18"/>
              </w:rPr>
              <w:t>Hold</w:t>
            </w:r>
          </w:p>
        </w:tc>
        <w:tc>
          <w:tcPr>
            <w:tcW w:type="dxa" w:w="1872"/>
            <w:shd w:fill="F2F2F2"/>
            <w:vAlign w:val="center"/>
          </w:tcPr>
          <w:p>
            <w:r/>
            <w:r>
              <w:rPr>
                <w:rFonts w:ascii="Arial" w:hAnsi="Arial"/>
                <w:b w:val="0"/>
                <w:sz w:val="18"/>
              </w:rPr>
              <w:t>3</w:t>
            </w:r>
          </w:p>
        </w:tc>
        <w:tc>
          <w:tcPr>
            <w:tcW w:type="dxa" w:w="3888"/>
            <w:shd w:fill="F2F2F2"/>
            <w:vAlign w:val="center"/>
          </w:tcPr>
          <w:p>
            <w:r/>
            <w:r>
              <w:rPr>
                <w:rFonts w:ascii="Arial" w:hAnsi="Arial"/>
                <w:b w:val="0"/>
                <w:sz w:val="18"/>
              </w:rPr>
              <w:t>0.34%</w:t>
            </w:r>
          </w:p>
        </w:tc>
      </w:tr>
      <w:tr>
        <w:tc>
          <w:tcPr>
            <w:tcW w:type="dxa" w:w="2160"/>
            <w:vAlign w:val="center"/>
          </w:tcPr>
          <w:p>
            <w:r/>
            <w:r>
              <w:rPr>
                <w:rFonts w:ascii="Arial" w:hAnsi="Arial"/>
                <w:b w:val="0"/>
                <w:sz w:val="18"/>
              </w:rPr>
              <w:t>Sell</w:t>
            </w:r>
          </w:p>
        </w:tc>
        <w:tc>
          <w:tcPr>
            <w:tcW w:type="dxa" w:w="1872"/>
            <w:vAlign w:val="center"/>
          </w:tcPr>
          <w:p>
            <w:r/>
            <w:r>
              <w:rPr>
                <w:rFonts w:ascii="Arial" w:hAnsi="Arial"/>
                <w:b w:val="0"/>
                <w:sz w:val="18"/>
              </w:rPr>
              <w:t>7</w:t>
            </w:r>
          </w:p>
        </w:tc>
        <w:tc>
          <w:tcPr>
            <w:tcW w:type="dxa" w:w="3888"/>
            <w:vAlign w:val="center"/>
          </w:tcPr>
          <w:p>
            <w:r/>
            <w:r>
              <w:rPr>
                <w:rFonts w:ascii="Arial" w:hAnsi="Arial"/>
                <w:b w:val="0"/>
                <w:sz w:val="18"/>
              </w:rPr>
              <w:t>-0.86%</w:t>
            </w:r>
          </w:p>
        </w:tc>
      </w:tr>
    </w:tbl>
    <w:p/>
    <w:p>
      <w:pPr>
        <w:spacing w:after="120" w:line="259" w:lineRule="auto"/>
      </w:pPr>
      <w:r>
        <w:t>May 1, 2026 was the only High-volatility session in the sample. Its 3.17% daily range triggered the Hold override. This is consistent with the explicitly defined risk-control rule.</w:t>
      </w:r>
    </w:p>
    <w:p>
      <w:r>
        <w:br w:type="page"/>
      </w:r>
    </w:p>
    <w:p>
      <w:pPr>
        <w:pStyle w:val="Heading1"/>
        <w:spacing w:before="160" w:after="100"/>
      </w:pPr>
      <w:r>
        <w:t>8. Results and Interpretation</w:t>
      </w:r>
    </w:p>
    <w:p>
      <w:pPr>
        <w:spacing w:after="120" w:line="259" w:lineRule="auto"/>
      </w:pPr>
      <w:r>
        <w:t>The 20-day sample produced mixed but net-positive daily classifications. Ten sessions closed more than 0.5% above the open without High volatility, seven closed more than 0.5% below the open without High volatility, and three were held because movement was Neutral or volatility was High.</w:t>
      </w:r>
    </w:p>
    <w:p>
      <w:pPr>
        <w:jc w:val="center"/>
      </w:pPr>
      <w:r>
        <w:drawing>
          <wp:inline xmlns:a="http://schemas.openxmlformats.org/drawingml/2006/main" xmlns:pic="http://schemas.openxmlformats.org/drawingml/2006/picture">
            <wp:extent cx="6217920" cy="3419856"/>
            <wp:docPr id="2" name="Picture 2"/>
            <wp:cNvGraphicFramePr>
              <a:graphicFrameLocks noChangeAspect="1"/>
            </wp:cNvGraphicFramePr>
            <a:graphic>
              <a:graphicData uri="http://schemas.openxmlformats.org/drawingml/2006/picture">
                <pic:pic>
                  <pic:nvPicPr>
                    <pic:cNvPr id="0" name="closing_price_trend.png"/>
                    <pic:cNvPicPr/>
                  </pic:nvPicPr>
                  <pic:blipFill>
                    <a:blip r:embed="rId11"/>
                    <a:stretch>
                      <a:fillRect/>
                    </a:stretch>
                  </pic:blipFill>
                  <pic:spPr>
                    <a:xfrm>
                      <a:off x="0" y="0"/>
                      <a:ext cx="6217920" cy="3419856"/>
                    </a:xfrm>
                    <a:prstGeom prst="rect"/>
                  </pic:spPr>
                </pic:pic>
              </a:graphicData>
            </a:graphic>
          </wp:inline>
        </w:drawing>
      </w:r>
    </w:p>
    <w:p>
      <w:pPr>
        <w:jc w:val="center"/>
      </w:pPr>
      <w:r>
        <w:rPr>
          <w:i/>
          <w:sz w:val="16"/>
        </w:rPr>
        <w:t>Figure 1. AAPL closing prices during the included analysis window.</w:t>
      </w:r>
    </w:p>
    <w:p>
      <w:pPr>
        <w:jc w:val="center"/>
      </w:pPr>
      <w:r>
        <w:drawing>
          <wp:inline xmlns:a="http://schemas.openxmlformats.org/drawingml/2006/main" xmlns:pic="http://schemas.openxmlformats.org/drawingml/2006/picture">
            <wp:extent cx="5303520" cy="3677107"/>
            <wp:docPr id="3" name="Picture 3"/>
            <wp:cNvGraphicFramePr>
              <a:graphicFrameLocks noChangeAspect="1"/>
            </wp:cNvGraphicFramePr>
            <a:graphic>
              <a:graphicData uri="http://schemas.openxmlformats.org/drawingml/2006/picture">
                <pic:pic>
                  <pic:nvPicPr>
                    <pic:cNvPr id="0" name="signal_distribution.png"/>
                    <pic:cNvPicPr/>
                  </pic:nvPicPr>
                  <pic:blipFill>
                    <a:blip r:embed="rId12"/>
                    <a:stretch>
                      <a:fillRect/>
                    </a:stretch>
                  </pic:blipFill>
                  <pic:spPr>
                    <a:xfrm>
                      <a:off x="0" y="0"/>
                      <a:ext cx="5303520" cy="3677107"/>
                    </a:xfrm>
                    <a:prstGeom prst="rect"/>
                  </pic:spPr>
                </pic:pic>
              </a:graphicData>
            </a:graphic>
          </wp:inline>
        </w:drawing>
      </w:r>
    </w:p>
    <w:p>
      <w:pPr>
        <w:jc w:val="center"/>
      </w:pPr>
      <w:r>
        <w:rPr>
          <w:i/>
          <w:sz w:val="16"/>
        </w:rPr>
        <w:t>Figure 2. Distribution of rule-based daily classifications.</w:t>
      </w:r>
    </w:p>
    <w:p>
      <w:pPr>
        <w:pStyle w:val="Heading1"/>
        <w:spacing w:before="160" w:after="100"/>
      </w:pPr>
      <w:r>
        <w:t>9. Limitations and Responsible Use</w:t>
      </w:r>
    </w:p>
    <w:p>
      <w:pPr>
        <w:pStyle w:val="ListBullet"/>
        <w:spacing w:after="60"/>
      </w:pPr>
      <w:r>
        <w:t>The model uses same-day open, high, low, and close values; it does not predict future returns.</w:t>
      </w:r>
    </w:p>
    <w:p>
      <w:pPr>
        <w:pStyle w:val="ListBullet"/>
        <w:spacing w:after="60"/>
      </w:pPr>
      <w:r>
        <w:t>Thresholds are interpretable rules selected for demonstration, not statistically optimized trading parameters.</w:t>
      </w:r>
    </w:p>
    <w:p>
      <w:pPr>
        <w:pStyle w:val="ListBullet"/>
        <w:spacing w:after="60"/>
      </w:pPr>
      <w:r>
        <w:t>The sample is limited to 20 trading days and one company.</w:t>
      </w:r>
    </w:p>
    <w:p>
      <w:pPr>
        <w:pStyle w:val="ListBullet"/>
        <w:spacing w:after="60"/>
      </w:pPr>
      <w:r>
        <w:t>The analysis excludes earnings, fundamentals, news, macroeconomic conditions, transaction costs, and portfolio constraints.</w:t>
      </w:r>
    </w:p>
    <w:p>
      <w:pPr>
        <w:pStyle w:val="ListBullet"/>
        <w:spacing w:after="60"/>
      </w:pPr>
      <w:r>
        <w:t>Live execution depends on API availability and rate limits.</w:t>
      </w:r>
    </w:p>
    <w:p>
      <w:pPr>
        <w:pStyle w:val="ListBullet"/>
        <w:spacing w:after="60"/>
      </w:pPr>
      <w:r>
        <w:t>Buy, Sell, and Hold labels should not be interpreted as investment advice.</w:t>
      </w:r>
    </w:p>
    <w:p>
      <w:pPr>
        <w:pStyle w:val="Heading1"/>
        <w:spacing w:before="160" w:after="100"/>
      </w:pPr>
      <w:r>
        <w:t>10. Recommended Extensions</w:t>
      </w:r>
    </w:p>
    <w:p>
      <w:pPr>
        <w:pStyle w:val="ListBullet"/>
        <w:spacing w:after="60"/>
      </w:pPr>
      <w:r>
        <w:t>Compare multiple securities using the same normalized calculations.</w:t>
      </w:r>
    </w:p>
    <w:p>
      <w:pPr>
        <w:pStyle w:val="ListBullet"/>
        <w:spacing w:after="60"/>
      </w:pPr>
      <w:r>
        <w:t>Add rolling returns, moving averages, average true range, and volume-based features.</w:t>
      </w:r>
    </w:p>
    <w:p>
      <w:pPr>
        <w:pStyle w:val="ListBullet"/>
        <w:spacing w:after="60"/>
      </w:pPr>
      <w:r>
        <w:t>Separate descriptive classifications from genuinely predictive targets and evaluate on out-of-sample data.</w:t>
      </w:r>
    </w:p>
    <w:p>
      <w:pPr>
        <w:pStyle w:val="ListBullet"/>
        <w:spacing w:after="60"/>
      </w:pPr>
      <w:r>
        <w:t>Add automated tests for parsing, classification boundaries, database upserts, and API failure modes.</w:t>
      </w:r>
    </w:p>
    <w:p>
      <w:pPr>
        <w:pStyle w:val="ListBullet"/>
        <w:spacing w:after="60"/>
      </w:pPr>
      <w:r>
        <w:t>Schedule pipeline runs and publish an interactive dashboard from the SQLite outputs.</w:t>
      </w:r>
    </w:p>
    <w:p>
      <w:pPr>
        <w:pStyle w:val="Heading1"/>
        <w:spacing w:before="160" w:after="100"/>
      </w:pPr>
      <w:r>
        <w:t>Conclusion</w:t>
      </w:r>
    </w:p>
    <w:p>
      <w:pPr>
        <w:spacing w:after="120" w:line="259" w:lineRule="auto"/>
      </w:pPr>
      <w:r>
        <w:t>The project demonstrates a complete analytics workflow rather than an isolated script: external data acquisition, JSON validation, numeric transformation, algorithmic business rules, reusable Python design, SQLite persistence, SQL analysis, and communication through charts and a written report. Its primary value is technical integration and interpretability. The system is deliberately positioned as a market-behavior classification tool, not a forecasting or trading product.</w:t>
      </w:r>
    </w:p>
    <w:p>
      <w:pPr>
        <w:pStyle w:val="Heading2"/>
        <w:spacing w:before="160" w:after="100"/>
      </w:pPr>
      <w:r>
        <w:t>Repository Contents</w:t>
      </w:r>
    </w:p>
    <w:tbl>
      <w:tblPr>
        <w:tblStyle w:val="TableGrid"/>
        <w:tblW w:type="auto" w:w="0"/>
        <w:jc w:val="center"/>
        <w:tblLook w:firstColumn="1" w:firstRow="1" w:lastColumn="0" w:lastRow="0" w:noHBand="0" w:noVBand="1" w:val="04A0"/>
      </w:tblPr>
      <w:tblGrid>
        <w:gridCol w:w="5040"/>
        <w:gridCol w:w="5040"/>
      </w:tblGrid>
      <w:tr>
        <w:tc>
          <w:tcPr>
            <w:tcW w:type="dxa" w:w="3600"/>
            <w:shd w:fill="17365D"/>
            <w:vAlign w:val="center"/>
          </w:tcPr>
          <w:p>
            <w:r/>
            <w:r>
              <w:rPr>
                <w:rFonts w:ascii="Arial" w:hAnsi="Arial"/>
                <w:b/>
                <w:color w:val="FFFFFF"/>
                <w:sz w:val="18"/>
              </w:rPr>
              <w:t>Path</w:t>
            </w:r>
          </w:p>
        </w:tc>
        <w:tc>
          <w:tcPr>
            <w:tcW w:type="dxa" w:w="6192"/>
            <w:shd w:fill="17365D"/>
            <w:vAlign w:val="center"/>
          </w:tcPr>
          <w:p>
            <w:r/>
            <w:r>
              <w:rPr>
                <w:rFonts w:ascii="Arial" w:hAnsi="Arial"/>
                <w:b/>
                <w:color w:val="FFFFFF"/>
                <w:sz w:val="18"/>
              </w:rPr>
              <w:t>Purpose</w:t>
            </w:r>
          </w:p>
        </w:tc>
      </w:tr>
      <w:tr>
        <w:tc>
          <w:tcPr>
            <w:tcW w:type="dxa" w:w="3600"/>
            <w:vAlign w:val="center"/>
          </w:tcPr>
          <w:p>
            <w:r/>
            <w:r>
              <w:rPr>
                <w:rFonts w:ascii="Arial" w:hAnsi="Arial"/>
                <w:b w:val="0"/>
                <w:sz w:val="18"/>
              </w:rPr>
              <w:t>src/aapl_financial_pipeline.py</w:t>
            </w:r>
          </w:p>
        </w:tc>
        <w:tc>
          <w:tcPr>
            <w:tcW w:type="dxa" w:w="6192"/>
            <w:vAlign w:val="center"/>
          </w:tcPr>
          <w:p>
            <w:r/>
            <w:r>
              <w:rPr>
                <w:rFonts w:ascii="Arial" w:hAnsi="Arial"/>
                <w:b w:val="0"/>
                <w:sz w:val="18"/>
              </w:rPr>
              <w:t>Main API, processing, classification, and database pipeline.</w:t>
            </w:r>
          </w:p>
        </w:tc>
      </w:tr>
      <w:tr>
        <w:tc>
          <w:tcPr>
            <w:tcW w:type="dxa" w:w="3600"/>
            <w:shd w:fill="F2F2F2"/>
            <w:vAlign w:val="center"/>
          </w:tcPr>
          <w:p>
            <w:r/>
            <w:r>
              <w:rPr>
                <w:rFonts w:ascii="Arial" w:hAnsi="Arial"/>
                <w:b w:val="0"/>
                <w:sz w:val="18"/>
              </w:rPr>
              <w:t>src/generate_charts.py</w:t>
            </w:r>
          </w:p>
        </w:tc>
        <w:tc>
          <w:tcPr>
            <w:tcW w:type="dxa" w:w="6192"/>
            <w:shd w:fill="F2F2F2"/>
            <w:vAlign w:val="center"/>
          </w:tcPr>
          <w:p>
            <w:r/>
            <w:r>
              <w:rPr>
                <w:rFonts w:ascii="Arial" w:hAnsi="Arial"/>
                <w:b w:val="0"/>
                <w:sz w:val="18"/>
              </w:rPr>
              <w:t>Creates portfolio visuals from the SQLite database.</w:t>
            </w:r>
          </w:p>
        </w:tc>
      </w:tr>
      <w:tr>
        <w:tc>
          <w:tcPr>
            <w:tcW w:type="dxa" w:w="3600"/>
            <w:vAlign w:val="center"/>
          </w:tcPr>
          <w:p>
            <w:r/>
            <w:r>
              <w:rPr>
                <w:rFonts w:ascii="Arial" w:hAnsi="Arial"/>
                <w:b w:val="0"/>
                <w:sz w:val="18"/>
              </w:rPr>
              <w:t>sql/schema.sql</w:t>
            </w:r>
          </w:p>
        </w:tc>
        <w:tc>
          <w:tcPr>
            <w:tcW w:type="dxa" w:w="6192"/>
            <w:vAlign w:val="center"/>
          </w:tcPr>
          <w:p>
            <w:r/>
            <w:r>
              <w:rPr>
                <w:rFonts w:ascii="Arial" w:hAnsi="Arial"/>
                <w:b w:val="0"/>
                <w:sz w:val="18"/>
              </w:rPr>
              <w:t>Database table definition.</w:t>
            </w:r>
          </w:p>
        </w:tc>
      </w:tr>
      <w:tr>
        <w:tc>
          <w:tcPr>
            <w:tcW w:type="dxa" w:w="3600"/>
            <w:shd w:fill="F2F2F2"/>
            <w:vAlign w:val="center"/>
          </w:tcPr>
          <w:p>
            <w:r/>
            <w:r>
              <w:rPr>
                <w:rFonts w:ascii="Arial" w:hAnsi="Arial"/>
                <w:b w:val="0"/>
                <w:sz w:val="18"/>
              </w:rPr>
              <w:t>sql/analytics_queries.sql</w:t>
            </w:r>
          </w:p>
        </w:tc>
        <w:tc>
          <w:tcPr>
            <w:tcW w:type="dxa" w:w="6192"/>
            <w:shd w:fill="F2F2F2"/>
            <w:vAlign w:val="center"/>
          </w:tcPr>
          <w:p>
            <w:r/>
            <w:r>
              <w:rPr>
                <w:rFonts w:ascii="Arial" w:hAnsi="Arial"/>
                <w:b w:val="0"/>
                <w:sz w:val="18"/>
              </w:rPr>
              <w:t>Five reusable analytical queries.</w:t>
            </w:r>
          </w:p>
        </w:tc>
      </w:tr>
      <w:tr>
        <w:tc>
          <w:tcPr>
            <w:tcW w:type="dxa" w:w="3600"/>
            <w:vAlign w:val="center"/>
          </w:tcPr>
          <w:p>
            <w:r/>
            <w:r>
              <w:rPr>
                <w:rFonts w:ascii="Arial" w:hAnsi="Arial"/>
                <w:b w:val="0"/>
                <w:sz w:val="18"/>
              </w:rPr>
              <w:t>data/sample_aapl_daily.json</w:t>
            </w:r>
          </w:p>
        </w:tc>
        <w:tc>
          <w:tcPr>
            <w:tcW w:type="dxa" w:w="6192"/>
            <w:vAlign w:val="center"/>
          </w:tcPr>
          <w:p>
            <w:r/>
            <w:r>
              <w:rPr>
                <w:rFonts w:ascii="Arial" w:hAnsi="Arial"/>
                <w:b w:val="0"/>
                <w:sz w:val="18"/>
              </w:rPr>
              <w:t>Saved API response for offline reproducibility.</w:t>
            </w:r>
          </w:p>
        </w:tc>
      </w:tr>
      <w:tr>
        <w:tc>
          <w:tcPr>
            <w:tcW w:type="dxa" w:w="3600"/>
            <w:shd w:fill="F2F2F2"/>
            <w:vAlign w:val="center"/>
          </w:tcPr>
          <w:p>
            <w:r/>
            <w:r>
              <w:rPr>
                <w:rFonts w:ascii="Arial" w:hAnsi="Arial"/>
                <w:b w:val="0"/>
                <w:sz w:val="18"/>
              </w:rPr>
              <w:t>database/aapl_stock_analysis.db</w:t>
            </w:r>
          </w:p>
        </w:tc>
        <w:tc>
          <w:tcPr>
            <w:tcW w:type="dxa" w:w="6192"/>
            <w:shd w:fill="F2F2F2"/>
            <w:vAlign w:val="center"/>
          </w:tcPr>
          <w:p>
            <w:r/>
            <w:r>
              <w:rPr>
                <w:rFonts w:ascii="Arial" w:hAnsi="Arial"/>
                <w:b w:val="0"/>
                <w:sz w:val="18"/>
              </w:rPr>
              <w:t>Sample SQLite output with 20 processed records.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AAPL Financial Analytics Pipeline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