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ADD" w:rsidRPr="0017585B" w:rsidRDefault="00C97396" w:rsidP="003B5E8D">
      <w:pPr>
        <w:jc w:val="both"/>
        <w:rPr>
          <w:rFonts w:ascii="Segoe UI" w:eastAsia="Times New Roman" w:hAnsi="Segoe UI" w:cs="Segoe UI"/>
          <w:b/>
          <w:sz w:val="24"/>
          <w:szCs w:val="24"/>
          <w:lang w:val="es-CO" w:eastAsia="es-CO"/>
        </w:rPr>
      </w:pPr>
      <w:bookmarkStart w:id="0" w:name="_GoBack"/>
      <w:bookmarkEnd w:id="0"/>
      <w:r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Batería</w:t>
      </w:r>
      <w:r w:rsidR="002B348D"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 xml:space="preserve"> de riesgo psicosocial</w:t>
      </w:r>
    </w:p>
    <w:p w:rsidR="001A28E4" w:rsidRPr="0017585B" w:rsidRDefault="00C97396" w:rsidP="003B5E8D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Es</w:t>
      </w:r>
      <w:r w:rsidR="008C0420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una herramienta 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diseñada por el ministerio de trabajo que contiene la Batería para la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identificación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 factores de riesgo psicosocial, la cual es de obligatoria aplicación para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todas las empresas C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olombianas,  sin importar su número de trabajadores ni sector económico. El diagnóstico </w:t>
      </w:r>
      <w:r w:rsidR="001A28E4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permite identificar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el nivel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 riesgo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existente</w:t>
      </w:r>
      <w:r w:rsidR="001A28E4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. </w:t>
      </w:r>
    </w:p>
    <w:p w:rsidR="001A28E4" w:rsidRPr="0017585B" w:rsidRDefault="002E723D" w:rsidP="003B5E8D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</w:t>
      </w:r>
      <w:r w:rsidR="001A28E4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El análisis de los resultados permitirá identificar la procedencia del estrés, conociendo de esta manera si la causa es intra o extra laboral, a partir de esta categorización se pueden definir los planes de acción en pro de la mejora del ambiente laboral. </w:t>
      </w:r>
    </w:p>
    <w:p w:rsidR="000E535A" w:rsidRPr="0017585B" w:rsidRDefault="001A28E4" w:rsidP="003B5E8D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</w:t>
      </w:r>
      <w:r w:rsidR="000E535A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 aplica a los empleadores públicos y privados, a los trabajadores dependientes e independientes, a los contratantes de personal bajo modalidad de contrato civil, comercial o administrativo, a las organizaciones de economía solidaria y del sector cooperativo, a las agremiaciones o asociaciones que afilian trabajadores independientes al Sistema de Seguridad Social integral; a las administradoras de riesgos profesionales; a la Policía en lo que corresponde a su personal no uniformado y al personal civil de las Fuerzas Militares.</w:t>
      </w:r>
    </w:p>
    <w:p w:rsidR="005F2ADD" w:rsidRPr="0017585B" w:rsidRDefault="005F2ADD" w:rsidP="003B5E8D">
      <w:pPr>
        <w:jc w:val="both"/>
        <w:rPr>
          <w:rFonts w:ascii="Segoe UI" w:eastAsia="Times New Roman" w:hAnsi="Segoe UI" w:cs="Segoe UI"/>
          <w:b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P</w:t>
      </w:r>
      <w:r w:rsidR="005567D3"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lan Estratégico de Seguridad Vial (P</w:t>
      </w:r>
      <w:r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ESV</w:t>
      </w:r>
      <w:r w:rsidR="005567D3"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)</w:t>
      </w:r>
    </w:p>
    <w:p w:rsidR="005F2ADD" w:rsidRPr="0017585B" w:rsidRDefault="00630EE5" w:rsidP="003B5E8D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 un instrumento de planificación para las acciones, mecanismos, estrategias y medidas, que deben adoptar de manera obligatoria las diferentes entidades públicas o privadas, para evitar y reducir la accidentalidad de los integrantes de sus organizaciones  y disminuir los efectos de los accidentes de tránsito, el cual se creó en la </w:t>
      </w:r>
      <w:r w:rsidR="002E723D" w:rsidRPr="0017585B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Ley 1503 de 2011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 y fue reglamentada por el </w:t>
      </w:r>
      <w:r w:rsidR="002B348D" w:rsidRPr="0017585B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D</w:t>
      </w:r>
      <w:r w:rsidR="002E723D" w:rsidRPr="0017585B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ecreto 2851 de 2013</w:t>
      </w:r>
      <w:r w:rsidR="002E723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., </w:t>
      </w:r>
      <w:r w:rsidR="005F2AD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donde se definen los pilares del Plan estratégico de seguridad vial </w:t>
      </w:r>
      <w:r w:rsidR="00C0488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con el fin de definir los objetivos y las acciones</w:t>
      </w:r>
      <w:r w:rsidR="005F2AD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o intervenciones concretas que se deben llevar a cabo para alcanzar el propósito de prevenir los accidentes de </w:t>
      </w:r>
      <w:r w:rsidR="007F4E50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tránsito</w:t>
      </w:r>
      <w:r w:rsidR="002B348D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.</w:t>
      </w:r>
      <w:r w:rsidR="00C0488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  </w:t>
      </w:r>
    </w:p>
    <w:p w:rsidR="00477A04" w:rsidRPr="0017585B" w:rsidRDefault="00477A04" w:rsidP="00477A04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Todas las empresas que para el cumplimiento de sus fines misionales o en desarrollo de sus actividades </w:t>
      </w:r>
      <w:r w:rsidRPr="0017585B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posean, fabriquen, ensamblen, comercialicen, contraten o administren flotas de vehículos automotores y no automotores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, sumados superen diez (10) y/o que por otra parte, contraten o administren personal de conductores, deberán cumplir de manera obligatoria con lo establecido en las normas anteriormente mencionadas.</w:t>
      </w:r>
    </w:p>
    <w:p w:rsidR="00477A04" w:rsidRPr="0017585B" w:rsidRDefault="00477A04" w:rsidP="00477A04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Sin embargo, la reglamentación no se limita a las empresas, también se refiere a la importancia y los lineamientos de la enseñanza de la educación vial desde el preescolar, la educación media y superior, pasando por el sector comunitario y llegando al sector empresarial como un actor clave en la protección de los conductores.</w:t>
      </w:r>
    </w:p>
    <w:p w:rsidR="00477A04" w:rsidRPr="0017585B" w:rsidRDefault="00477A04" w:rsidP="00477A04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lastRenderedPageBreak/>
        <w:t>La ley definió unos pilares o ejes de actuación para ordenar la creación de los planes estratégicos de seguridad vial, de este modo las acciones quedarán enmarcados en las siguientes esferas:</w:t>
      </w:r>
    </w:p>
    <w:p w:rsidR="00477A04" w:rsidRPr="00BE4C44" w:rsidRDefault="00477A04" w:rsidP="00477A04">
      <w:pPr>
        <w:numPr>
          <w:ilvl w:val="0"/>
          <w:numId w:val="34"/>
        </w:num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Fortalecimiento de la gestión institucional</w:t>
      </w:r>
    </w:p>
    <w:p w:rsidR="00477A04" w:rsidRPr="00BE4C44" w:rsidRDefault="00477A04" w:rsidP="00477A04">
      <w:pPr>
        <w:numPr>
          <w:ilvl w:val="0"/>
          <w:numId w:val="34"/>
        </w:num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Comportamiento humano</w:t>
      </w:r>
    </w:p>
    <w:p w:rsidR="00477A04" w:rsidRPr="00BE4C44" w:rsidRDefault="00477A04" w:rsidP="00477A04">
      <w:pPr>
        <w:numPr>
          <w:ilvl w:val="0"/>
          <w:numId w:val="34"/>
        </w:num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Vehículos seguros</w:t>
      </w:r>
    </w:p>
    <w:p w:rsidR="00477A04" w:rsidRPr="00BE4C44" w:rsidRDefault="00477A04" w:rsidP="00477A04">
      <w:pPr>
        <w:numPr>
          <w:ilvl w:val="0"/>
          <w:numId w:val="34"/>
        </w:num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infraestructura segura</w:t>
      </w:r>
    </w:p>
    <w:p w:rsidR="00477A04" w:rsidRPr="00BE4C44" w:rsidRDefault="00477A04" w:rsidP="00477A04">
      <w:pPr>
        <w:numPr>
          <w:ilvl w:val="0"/>
          <w:numId w:val="34"/>
        </w:num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bCs/>
          <w:sz w:val="24"/>
          <w:szCs w:val="24"/>
          <w:lang w:val="es-CO" w:eastAsia="es-CO"/>
        </w:rPr>
        <w:t>Atención a víctimas.</w:t>
      </w:r>
    </w:p>
    <w:p w:rsidR="00C53647" w:rsidRPr="0017585B" w:rsidRDefault="00C53647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</w:p>
    <w:p w:rsidR="005567D3" w:rsidRPr="0017585B" w:rsidRDefault="005567D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b/>
          <w:sz w:val="24"/>
          <w:szCs w:val="24"/>
          <w:lang w:val="es-CO" w:eastAsia="es-CO"/>
        </w:rPr>
        <w:t>Sistema de Gestión de Seguridad y Salud en el Trabajo.</w:t>
      </w:r>
    </w:p>
    <w:p w:rsidR="00BC5A03" w:rsidRPr="0017585B" w:rsidRDefault="00BC5A0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Toda empresa desde 1 e</w:t>
      </w:r>
      <w:r w:rsidR="00D2613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mpleado debe realizar el diseño e implementación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del Sistema de Gestión y Seguridad en el Trabajo, pero no todas tienen el tiempo ni el conocimiento para hacerlo.</w:t>
      </w:r>
    </w:p>
    <w:p w:rsidR="00BC5A03" w:rsidRPr="0017585B" w:rsidRDefault="00BC5A0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Te ayudamos con el Diseño e Implementación del Sistema de Gestión Contamos con un equipo de Profesionales en seguridad y salud en el trabajo, dispuestos a prestarte un excelente servicio</w:t>
      </w:r>
      <w:r w:rsidR="00C5364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en el que nos encargamos por completo de cada una de las actividades relacionadas al tema, siendo la cara de tu empresa en</w:t>
      </w:r>
      <w:r w:rsidR="007732AB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la prevención de riesgos laborales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.</w:t>
      </w:r>
    </w:p>
    <w:p w:rsidR="00D26131" w:rsidRPr="0017585B" w:rsidRDefault="00947AB7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GH integral inicialmente</w:t>
      </w:r>
      <w:r w:rsidR="00D2613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realiza un diagnóstico inicial del estado</w:t>
      </w:r>
      <w:r w:rsidR="00DC5A39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actual de tu empresa</w:t>
      </w:r>
      <w:r w:rsidR="00D2613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en caso de que aplique</w:t>
      </w:r>
      <w:r w:rsidR="00DC5A39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, al tener un contrato formal, agendamos la primera visita inicial a tus instalaciones</w:t>
      </w:r>
      <w:r w:rsidR="00BC5A0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,</w:t>
      </w:r>
      <w:r w:rsidR="00DC5A39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al tomar el servicio realizamos la recopilación de información para </w:t>
      </w:r>
      <w:r w:rsidR="00BC5A0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formalizar el diseño del SG SST </w:t>
      </w:r>
      <w:r w:rsidR="00DC5A39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una vez entregado el diseño</w:t>
      </w:r>
      <w:r w:rsidR="00C5364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, nos aseguramos </w:t>
      </w:r>
      <w:r w:rsidR="00BC5A0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del acompañamiento mensual y se</w:t>
      </w:r>
      <w:r w:rsidR="00DC5A39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inicia con la implementación</w:t>
      </w:r>
      <w:r w:rsidR="00BC5A0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en pro de la mejora continua.</w:t>
      </w:r>
    </w:p>
    <w:p w:rsidR="00BC5A03" w:rsidRPr="0017585B" w:rsidRDefault="003E3211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Implementación</w:t>
      </w:r>
      <w:r w:rsidR="00D2613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</w:t>
      </w:r>
      <w:r w:rsidR="00BC5A0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del SG SST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. </w:t>
      </w:r>
    </w:p>
    <w:p w:rsidR="007732AB" w:rsidRPr="0017585B" w:rsidRDefault="007732AB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En GH Integral, somos hacedores de todo lo </w:t>
      </w:r>
      <w:r w:rsidR="000E6B8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concerniente a </w:t>
      </w:r>
      <w:r w:rsidR="00554C12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los procedimientos para la realización, actualización y mejoras</w:t>
      </w:r>
      <w:r w:rsidR="000E6B8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del sistema de gestión. </w:t>
      </w:r>
    </w:p>
    <w:p w:rsidR="00BC5A03" w:rsidRDefault="00BC5A0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Acompañamos en todo el año </w:t>
      </w:r>
      <w:r w:rsidR="00AD5F58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procesos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en las medidas de prevención de riesgos frente a inspecciones de seguridad, inducciones, reinducciones, capacitaciones y entrenamientos.</w:t>
      </w:r>
    </w:p>
    <w:p w:rsidR="00515BDE" w:rsidRDefault="00515BDE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</w:p>
    <w:p w:rsidR="00515BDE" w:rsidRPr="0017585B" w:rsidRDefault="00515BDE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</w:p>
    <w:p w:rsidR="00BC5A03" w:rsidRPr="0017585B" w:rsidRDefault="000938D7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lastRenderedPageBreak/>
        <w:t>Capacitaciones y entrenamientos en:</w:t>
      </w:r>
    </w:p>
    <w:p w:rsidR="00225B54" w:rsidRPr="00BE4C44" w:rsidRDefault="000938D7" w:rsidP="00BE4C44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BE4C44">
        <w:rPr>
          <w:rFonts w:ascii="Segoe UI" w:eastAsia="Times New Roman" w:hAnsi="Segoe UI" w:cs="Segoe UI"/>
          <w:sz w:val="24"/>
          <w:szCs w:val="24"/>
          <w:lang w:val="es-CO" w:eastAsia="es-CO"/>
        </w:rPr>
        <w:t>Inducciones y reinducciones en seguridad y salud en el trabajo.</w:t>
      </w:r>
    </w:p>
    <w:p w:rsidR="00225B54" w:rsidRPr="0017585B" w:rsidRDefault="000938D7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Buen uso de los elementos de protección personal</w:t>
      </w:r>
      <w:r w:rsidR="00225B54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.</w:t>
      </w:r>
    </w:p>
    <w:p w:rsidR="00225B54" w:rsidRPr="0017585B" w:rsidRDefault="00225B54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H</w:t>
      </w:r>
      <w:r w:rsidR="000938D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igiene Postural, pausas activas y calistenia.</w:t>
      </w:r>
    </w:p>
    <w:p w:rsidR="00225B54" w:rsidRPr="0017585B" w:rsidRDefault="00225B54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Formación y acompañamiento al </w:t>
      </w:r>
      <w:proofErr w:type="spellStart"/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Copasst</w:t>
      </w:r>
      <w:proofErr w:type="spellEnd"/>
      <w:r w:rsidR="00515BDE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y/o Vigía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y Comité de convivencia.</w:t>
      </w:r>
    </w:p>
    <w:p w:rsidR="00225B54" w:rsidRPr="0017585B" w:rsidRDefault="000938D7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Charlas generales de seguridad</w:t>
      </w:r>
      <w:r w:rsidR="00F26FAC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en la empresa.</w:t>
      </w:r>
    </w:p>
    <w:p w:rsidR="00225B54" w:rsidRPr="0017585B" w:rsidRDefault="000938D7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Manejo seguro de sustancias químicas.</w:t>
      </w:r>
    </w:p>
    <w:p w:rsidR="000938D7" w:rsidRPr="0017585B" w:rsidRDefault="000938D7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Orden y aseo en lugares de trabajo.</w:t>
      </w:r>
    </w:p>
    <w:p w:rsidR="00D26131" w:rsidRPr="0017585B" w:rsidRDefault="00D26131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Manejo de extintores</w:t>
      </w:r>
    </w:p>
    <w:p w:rsidR="00D26131" w:rsidRPr="0017585B" w:rsidRDefault="00D26131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Plan de emergencia</w:t>
      </w:r>
    </w:p>
    <w:p w:rsidR="00D26131" w:rsidRPr="0017585B" w:rsidRDefault="003E3211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Caídas</w:t>
      </w:r>
      <w:r w:rsidR="00D2613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a mismo y diferente nivel</w:t>
      </w:r>
    </w:p>
    <w:p w:rsidR="00D26131" w:rsidRPr="0017585B" w:rsidRDefault="00D26131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Autocuidado</w:t>
      </w:r>
    </w:p>
    <w:p w:rsidR="00D26131" w:rsidRPr="0017585B" w:rsidRDefault="00D26131" w:rsidP="003B5E8D">
      <w:pPr>
        <w:pStyle w:val="Prrafodelista"/>
        <w:numPr>
          <w:ilvl w:val="1"/>
          <w:numId w:val="30"/>
        </w:numPr>
        <w:shd w:val="clear" w:color="auto" w:fill="FCFCFC"/>
        <w:spacing w:after="15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Trabajo en equipo</w:t>
      </w:r>
    </w:p>
    <w:p w:rsidR="00D26131" w:rsidRPr="0017585B" w:rsidRDefault="00D26131" w:rsidP="00D26131">
      <w:pPr>
        <w:pStyle w:val="Prrafodelista"/>
        <w:shd w:val="clear" w:color="auto" w:fill="FCFCFC"/>
        <w:spacing w:after="15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24"/>
          <w:szCs w:val="24"/>
          <w:lang w:val="es-CO" w:eastAsia="es-CO"/>
        </w:rPr>
      </w:pPr>
    </w:p>
    <w:p w:rsidR="00251605" w:rsidRPr="0017585B" w:rsidRDefault="00D26131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Realizamos la </w:t>
      </w:r>
      <w:r w:rsidR="003E3211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Construcción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 la identificación </w:t>
      </w:r>
      <w:r w:rsidR="00421F20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de peligros evaluación y valoración de riesgos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, matriz de requisitos legales, matriz de caracterización</w:t>
      </w:r>
      <w:r w:rsidR="00421F20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 accidentalidad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, matriz de ausentismo</w:t>
      </w:r>
      <w:r w:rsidR="00421F20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por enfermedad general, enfermedad laboral, accidente común, accidente de trabajo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, </w:t>
      </w:r>
      <w:r w:rsidR="00F26FAC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matriz de recursos, 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matriz de acciones preventivas y correctivas.</w:t>
      </w:r>
    </w:p>
    <w:p w:rsidR="00251605" w:rsidRPr="0017585B" w:rsidRDefault="00251605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Construcción del plan de trabajo anual y cronograma de capacitaciones.</w:t>
      </w:r>
    </w:p>
    <w:p w:rsidR="00251605" w:rsidRPr="0017585B" w:rsidRDefault="00251605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Evaluación inicial de la resolución 0312 del 2019 y del decreto 1072 del 2015.</w:t>
      </w:r>
    </w:p>
    <w:p w:rsidR="00225B54" w:rsidRPr="0017585B" w:rsidRDefault="00225B54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Apoyo a la conformación del </w:t>
      </w:r>
      <w:proofErr w:type="spellStart"/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copasst</w:t>
      </w:r>
      <w:proofErr w:type="spellEnd"/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, convivencia laboral, brigada de emergencia, 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líderes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de evacuación</w:t>
      </w:r>
      <w:r w:rsidR="00251605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.</w:t>
      </w:r>
    </w:p>
    <w:p w:rsidR="000938D7" w:rsidRPr="0017585B" w:rsidRDefault="00225B54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Seguimiento a los accidentes de trabajo, enfermedades laborales y ausentismo en la empresa.</w:t>
      </w:r>
    </w:p>
    <w:p w:rsidR="00225B54" w:rsidRPr="0017585B" w:rsidRDefault="00225B54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Seguimiento a los indicadores de estructura, proceso y resultado.</w:t>
      </w:r>
    </w:p>
    <w:p w:rsidR="002B348D" w:rsidRPr="0017585B" w:rsidRDefault="002B348D" w:rsidP="003B5E8D">
      <w:pPr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A través de nuestra experien</w:t>
      </w:r>
      <w:r w:rsidR="00136D67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cia hemos logrado la eficiencia y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 eficacia con  nues</w:t>
      </w:r>
      <w:r w:rsidR="001968EE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tros servicios  personalizados,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logrando así la fi</w:t>
      </w:r>
      <w:r w:rsidR="001968EE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delización de nuestros clientes. </w:t>
      </w:r>
    </w:p>
    <w:p w:rsidR="002B348D" w:rsidRDefault="002B348D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5567D3" w:rsidRPr="005567D3" w:rsidRDefault="005567D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color w:val="252525"/>
          <w:sz w:val="24"/>
          <w:szCs w:val="24"/>
          <w:lang w:val="es-CO" w:eastAsia="es-CO"/>
        </w:rPr>
      </w:pPr>
      <w:r w:rsidRPr="005567D3">
        <w:rPr>
          <w:rFonts w:ascii="Segoe UI" w:eastAsia="Times New Roman" w:hAnsi="Segoe UI" w:cs="Segoe UI"/>
          <w:b/>
          <w:color w:val="252525"/>
          <w:sz w:val="24"/>
          <w:szCs w:val="24"/>
          <w:lang w:val="es-CO" w:eastAsia="es-CO"/>
        </w:rPr>
        <w:t>Auditoria interna</w:t>
      </w:r>
    </w:p>
    <w:p w:rsidR="005567D3" w:rsidRPr="0017585B" w:rsidRDefault="00421F20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De acuerdo al decreto 1072 del 2015, </w:t>
      </w:r>
      <w:r w:rsidR="00AD5F58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a</w:t>
      </w:r>
      <w:r w:rsidR="005567D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nualmente la empresa necesita realizar </w:t>
      </w: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una </w:t>
      </w:r>
      <w:r w:rsidR="005567D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auditoria interna e indicadores; </w:t>
      </w:r>
      <w:r w:rsidR="00AD5F58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por la motivo, le prestamos nuestro apoyo </w:t>
      </w:r>
      <w:r w:rsidR="005567D3"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en el cumplimiento de las Conformidades y No conformidades e implementar la mejora continua.</w:t>
      </w:r>
    </w:p>
    <w:p w:rsidR="00AD5F58" w:rsidRPr="00AD5F58" w:rsidRDefault="00AD5F58" w:rsidP="00AD5F58">
      <w:pPr>
        <w:shd w:val="clear" w:color="auto" w:fill="FFFFFF"/>
        <w:spacing w:before="300" w:after="150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lastRenderedPageBreak/>
        <w:t xml:space="preserve">Una </w:t>
      </w:r>
      <w:r w:rsidRPr="00AD5F58">
        <w:rPr>
          <w:rFonts w:ascii="Segoe UI" w:eastAsia="Times New Roman" w:hAnsi="Segoe UI" w:cs="Segoe UI"/>
          <w:sz w:val="24"/>
          <w:szCs w:val="24"/>
          <w:lang w:val="es-CO" w:eastAsia="es-CO"/>
        </w:rPr>
        <w:t>de las grandes diferencias del nuevo Sistema de Gestión de Seguridad y Salud en el Trabajo (SG-SST) con los anteriores modelos, es el fuerte énfasis que hace en los procesos de evaluación y mejoramiento continuo y la participación de la ARL en la aprobación del SG-SST.</w:t>
      </w:r>
    </w:p>
    <w:p w:rsidR="00AD5F58" w:rsidRDefault="00AD5F58" w:rsidP="00AD5F58">
      <w:pPr>
        <w:shd w:val="clear" w:color="auto" w:fill="FFFFFF"/>
        <w:spacing w:before="300" w:after="150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AD5F58">
        <w:rPr>
          <w:rFonts w:ascii="Segoe UI" w:eastAsia="Times New Roman" w:hAnsi="Segoe UI" w:cs="Segoe UI"/>
          <w:sz w:val="24"/>
          <w:szCs w:val="24"/>
          <w:lang w:val="es-CO" w:eastAsia="es-CO"/>
        </w:rPr>
        <w:t>Una de las herramientas para lograr ese cometido es la auditoría interna. A través de ese proceso se verifica si la empresa, efectivamente, ha logrado implementar un sistema de gestión coherente, que se ajuste a lo exigido por la ley.</w:t>
      </w:r>
    </w:p>
    <w:p w:rsidR="0017585B" w:rsidRPr="0017585B" w:rsidRDefault="0017585B" w:rsidP="0017585B">
      <w:pPr>
        <w:shd w:val="clear" w:color="auto" w:fill="FFFFFF"/>
        <w:spacing w:before="300" w:after="150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Este proceso, tiene el propósito básico de verificar el cumplimiento de la Política de Seguridad y Salud en el Trabajo, en una organización. Para lograrlo, evalúa 13 aspectos generales que son: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Resultado de los indicadores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Participación de los trabajadores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Desarrollo de las responsabilidades y de la rendición de cuentas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Mecanismo de comunicación de los contenidos del SG-SST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Planificación, desarrollo y aplicación del SG-SST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Gestión del cambio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Consideración de la seguridad y la salud en el proceso de nuevas adquisiciones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Alcance y aplicación del SG-SST frente a los proveedores y contratistas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Supervisión y medición de resultados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Proceso de investigación de incidentes, accidentes de trabajo y enfermedades laborales y su efecto sobre el mejoramiento del sistema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Desarrollo del proceso de auditoría interna</w:t>
      </w:r>
    </w:p>
    <w:p w:rsidR="0017585B" w:rsidRPr="0017585B" w:rsidRDefault="0017585B" w:rsidP="0017585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646"/>
          <w:sz w:val="27"/>
          <w:szCs w:val="27"/>
          <w:lang w:val="es-CO" w:eastAsia="es-CO"/>
        </w:rPr>
      </w:pPr>
      <w:r w:rsidRPr="0017585B">
        <w:rPr>
          <w:rFonts w:ascii="Segoe UI" w:eastAsia="Times New Roman" w:hAnsi="Segoe UI" w:cs="Segoe UI"/>
          <w:sz w:val="24"/>
          <w:szCs w:val="24"/>
          <w:lang w:val="es-CO" w:eastAsia="es-CO"/>
        </w:rPr>
        <w:t>Evaluación por la alta dirección</w:t>
      </w:r>
      <w:r>
        <w:rPr>
          <w:rFonts w:ascii="Segoe UI" w:eastAsia="Times New Roman" w:hAnsi="Segoe UI" w:cs="Segoe UI"/>
          <w:sz w:val="24"/>
          <w:szCs w:val="24"/>
          <w:lang w:val="es-CO" w:eastAsia="es-CO"/>
        </w:rPr>
        <w:t xml:space="preserve">. </w:t>
      </w:r>
    </w:p>
    <w:p w:rsidR="0017585B" w:rsidRPr="00AD5F58" w:rsidRDefault="0017585B" w:rsidP="00AD5F58">
      <w:pPr>
        <w:shd w:val="clear" w:color="auto" w:fill="FFFFFF"/>
        <w:spacing w:before="300" w:after="150" w:line="240" w:lineRule="auto"/>
        <w:rPr>
          <w:rFonts w:ascii="Segoe UI" w:eastAsia="Times New Roman" w:hAnsi="Segoe UI" w:cs="Segoe UI"/>
          <w:sz w:val="24"/>
          <w:szCs w:val="24"/>
          <w:lang w:val="es-CO" w:eastAsia="es-CO"/>
        </w:rPr>
      </w:pPr>
    </w:p>
    <w:p w:rsidR="001968EE" w:rsidRDefault="001968EE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5567D3" w:rsidRPr="00BC5A03" w:rsidRDefault="005567D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5567D3" w:rsidRDefault="005567D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225B54" w:rsidRDefault="00225B54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BC5A03" w:rsidRDefault="00BC5A03" w:rsidP="003B5E8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52525"/>
          <w:sz w:val="24"/>
          <w:szCs w:val="24"/>
          <w:lang w:val="es-CO" w:eastAsia="es-CO"/>
        </w:rPr>
      </w:pPr>
    </w:p>
    <w:p w:rsidR="006C3DA7" w:rsidRPr="002F4F94" w:rsidRDefault="006C3DA7" w:rsidP="003B5E8D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6C3DA7" w:rsidRPr="002F4F94" w:rsidRDefault="006C3DA7" w:rsidP="003B5E8D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7F662C" w:rsidRPr="002F4F94" w:rsidRDefault="007F662C" w:rsidP="003B5E8D">
      <w:pPr>
        <w:jc w:val="both"/>
        <w:rPr>
          <w:rFonts w:ascii="Arial" w:hAnsi="Arial" w:cs="Arial"/>
          <w:color w:val="000000" w:themeColor="text1"/>
          <w:lang w:val="es-CO"/>
        </w:rPr>
      </w:pPr>
    </w:p>
    <w:sectPr w:rsidR="007F662C" w:rsidRPr="002F4F94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BE0" w:rsidRDefault="00763BE0">
      <w:pPr>
        <w:spacing w:after="0" w:line="240" w:lineRule="auto"/>
      </w:pPr>
      <w:r>
        <w:separator/>
      </w:r>
    </w:p>
  </w:endnote>
  <w:endnote w:type="continuationSeparator" w:id="0">
    <w:p w:rsidR="00763BE0" w:rsidRDefault="0076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F94" w:rsidRDefault="002F4F9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8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BE0" w:rsidRDefault="00763BE0">
      <w:pPr>
        <w:spacing w:after="0" w:line="240" w:lineRule="auto"/>
      </w:pPr>
      <w:r>
        <w:separator/>
      </w:r>
    </w:p>
  </w:footnote>
  <w:footnote w:type="continuationSeparator" w:id="0">
    <w:p w:rsidR="00763BE0" w:rsidRDefault="0076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0330"/>
    <w:multiLevelType w:val="multilevel"/>
    <w:tmpl w:val="D18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881ACA"/>
    <w:multiLevelType w:val="multilevel"/>
    <w:tmpl w:val="DC1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D666F"/>
    <w:multiLevelType w:val="multilevel"/>
    <w:tmpl w:val="11D0DA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487B77" w:themeColor="accent6" w:themeShade="BF"/>
        <w:sz w:val="44"/>
        <w:szCs w:val="4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62F50"/>
    <w:multiLevelType w:val="multilevel"/>
    <w:tmpl w:val="82B4D8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487B77" w:themeColor="accent6" w:themeShade="BF"/>
        <w:sz w:val="44"/>
        <w:szCs w:val="4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A56135D"/>
    <w:multiLevelType w:val="multilevel"/>
    <w:tmpl w:val="6B9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D1237"/>
    <w:multiLevelType w:val="multilevel"/>
    <w:tmpl w:val="E11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476F62"/>
    <w:multiLevelType w:val="multilevel"/>
    <w:tmpl w:val="96A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BE2D54"/>
    <w:multiLevelType w:val="multilevel"/>
    <w:tmpl w:val="764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771EA"/>
    <w:multiLevelType w:val="multilevel"/>
    <w:tmpl w:val="D88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22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10"/>
  </w:num>
  <w:num w:numId="29">
    <w:abstractNumId w:val="21"/>
  </w:num>
  <w:num w:numId="30">
    <w:abstractNumId w:val="15"/>
  </w:num>
  <w:num w:numId="31">
    <w:abstractNumId w:val="11"/>
  </w:num>
  <w:num w:numId="32">
    <w:abstractNumId w:val="13"/>
  </w:num>
  <w:num w:numId="33">
    <w:abstractNumId w:val="12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D"/>
    <w:rsid w:val="000938D7"/>
    <w:rsid w:val="000A0F9B"/>
    <w:rsid w:val="000A605D"/>
    <w:rsid w:val="000E535A"/>
    <w:rsid w:val="000E6B87"/>
    <w:rsid w:val="00123E1E"/>
    <w:rsid w:val="0013591F"/>
    <w:rsid w:val="00136D67"/>
    <w:rsid w:val="00154790"/>
    <w:rsid w:val="0017585B"/>
    <w:rsid w:val="001968EE"/>
    <w:rsid w:val="001A28E4"/>
    <w:rsid w:val="001F0542"/>
    <w:rsid w:val="00202987"/>
    <w:rsid w:val="00216BF8"/>
    <w:rsid w:val="00225B54"/>
    <w:rsid w:val="00241E99"/>
    <w:rsid w:val="0024640E"/>
    <w:rsid w:val="00251605"/>
    <w:rsid w:val="002B348D"/>
    <w:rsid w:val="002C1B16"/>
    <w:rsid w:val="002E0C62"/>
    <w:rsid w:val="002E723D"/>
    <w:rsid w:val="002F4F94"/>
    <w:rsid w:val="003B5E8D"/>
    <w:rsid w:val="003C3930"/>
    <w:rsid w:val="003E3211"/>
    <w:rsid w:val="00421F20"/>
    <w:rsid w:val="00477A04"/>
    <w:rsid w:val="00505588"/>
    <w:rsid w:val="00515BDE"/>
    <w:rsid w:val="0054110F"/>
    <w:rsid w:val="00554C12"/>
    <w:rsid w:val="005567D3"/>
    <w:rsid w:val="005F2ADD"/>
    <w:rsid w:val="00630EE5"/>
    <w:rsid w:val="006C3DA7"/>
    <w:rsid w:val="006D0E2F"/>
    <w:rsid w:val="00763BE0"/>
    <w:rsid w:val="00771F16"/>
    <w:rsid w:val="007732AB"/>
    <w:rsid w:val="0078294C"/>
    <w:rsid w:val="007C7E33"/>
    <w:rsid w:val="007D398C"/>
    <w:rsid w:val="007F4E50"/>
    <w:rsid w:val="007F662C"/>
    <w:rsid w:val="00831B60"/>
    <w:rsid w:val="0086355C"/>
    <w:rsid w:val="008B6008"/>
    <w:rsid w:val="008C0420"/>
    <w:rsid w:val="00947AB7"/>
    <w:rsid w:val="00971DEC"/>
    <w:rsid w:val="009F764F"/>
    <w:rsid w:val="00A43526"/>
    <w:rsid w:val="00A81C06"/>
    <w:rsid w:val="00AD5F58"/>
    <w:rsid w:val="00B64B70"/>
    <w:rsid w:val="00B66857"/>
    <w:rsid w:val="00BA3B94"/>
    <w:rsid w:val="00BC5A03"/>
    <w:rsid w:val="00BE474E"/>
    <w:rsid w:val="00BE4C44"/>
    <w:rsid w:val="00C04887"/>
    <w:rsid w:val="00C07BE9"/>
    <w:rsid w:val="00C14891"/>
    <w:rsid w:val="00C23855"/>
    <w:rsid w:val="00C53647"/>
    <w:rsid w:val="00C87094"/>
    <w:rsid w:val="00C97396"/>
    <w:rsid w:val="00D26131"/>
    <w:rsid w:val="00DC5A39"/>
    <w:rsid w:val="00EE0648"/>
    <w:rsid w:val="00F26FAC"/>
    <w:rsid w:val="00F51751"/>
    <w:rsid w:val="00F9577D"/>
    <w:rsid w:val="00FB468C"/>
    <w:rsid w:val="00F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81A72-0D59-44F7-A516-F0A2522D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character" w:styleId="Textoennegrita">
    <w:name w:val="Strong"/>
    <w:basedOn w:val="Fuentedeprrafopredeter"/>
    <w:uiPriority w:val="22"/>
    <w:qFormat/>
    <w:rsid w:val="002E72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unhideWhenUsed/>
    <w:qFormat/>
    <w:rsid w:val="006C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2</TotalTime>
  <Pages>4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López</cp:lastModifiedBy>
  <cp:revision>2</cp:revision>
  <cp:lastPrinted>2019-07-12T15:11:00Z</cp:lastPrinted>
  <dcterms:created xsi:type="dcterms:W3CDTF">2020-01-21T16:51:00Z</dcterms:created>
  <dcterms:modified xsi:type="dcterms:W3CDTF">2020-01-21T16:51:00Z</dcterms:modified>
</cp:coreProperties>
</file>