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Nacional de Colombia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2006437" cy="225724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437" cy="225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Diseño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Presentado por: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18"/>
            <w:szCs w:val="18"/>
            <w:u w:val="single"/>
            <w:rtl w:val="0"/>
          </w:rPr>
          <w:t xml:space="preserve">Daniel Mauricio Marquez Cruz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18"/>
            <w:szCs w:val="18"/>
            <w:u w:val="single"/>
            <w:rtl w:val="0"/>
          </w:rPr>
          <w:t xml:space="preserve">Christian Alejandro Sanabria Pinzon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18"/>
            <w:szCs w:val="18"/>
            <w:u w:val="single"/>
            <w:rtl w:val="0"/>
          </w:rPr>
          <w:t xml:space="preserve">Juliana Parra Caro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18"/>
            <w:szCs w:val="18"/>
            <w:u w:val="single"/>
            <w:rtl w:val="0"/>
          </w:rPr>
          <w:t xml:space="preserve">William David Pinilla Ocampo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18"/>
            <w:szCs w:val="18"/>
            <w:u w:val="single"/>
            <w:rtl w:val="0"/>
          </w:rPr>
          <w:t xml:space="preserve">David Alejandro Sepulveda Amaya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Asignatura: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Ingeniería de Software II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o7vq05c2limc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CRC Cards: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863200" cy="5080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u85ubtrn1xfu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Mockups</w:t>
      </w:r>
    </w:p>
    <w:p w:rsidR="00000000" w:rsidDel="00000000" w:rsidP="00000000" w:rsidRDefault="00000000" w:rsidRPr="00000000" w14:paraId="00000018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n3ekdyi7y0y" w:id="2"/>
      <w:bookmarkEnd w:id="2"/>
      <w:r w:rsidDel="00000000" w:rsidR="00000000" w:rsidRPr="00000000">
        <w:rPr>
          <w:sz w:val="22"/>
          <w:szCs w:val="22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843838" cy="467845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3838" cy="46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Entrenamientos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756685" cy="518636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6685" cy="5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28137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2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-235649</wp:posOffset>
            </wp:positionH>
            <wp:positionV relativeFrom="paragraph">
              <wp:posOffset>259175</wp:posOffset>
            </wp:positionV>
            <wp:extent cx="9336650" cy="4319588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6650" cy="4319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Logros</w:t>
      </w:r>
      <w:r w:rsidDel="00000000" w:rsidR="00000000" w:rsidRPr="00000000">
        <w:rPr/>
        <w:drawing>
          <wp:inline distB="114300" distT="114300" distL="114300" distR="114300">
            <wp:extent cx="8341445" cy="49254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1445" cy="492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Cuenta</w:t>
      </w:r>
      <w:r w:rsidDel="00000000" w:rsidR="00000000" w:rsidRPr="00000000">
        <w:rPr/>
        <w:drawing>
          <wp:inline distB="114300" distT="114300" distL="114300" distR="114300">
            <wp:extent cx="8863200" cy="5181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empleado </w:t>
      </w:r>
      <w:r w:rsidDel="00000000" w:rsidR="00000000" w:rsidRPr="00000000">
        <w:rPr/>
        <w:drawing>
          <wp:inline distB="114300" distT="114300" distL="114300" distR="114300">
            <wp:extent cx="8863200" cy="5270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mctm0wzczrry" w:id="3"/>
      <w:bookmarkEnd w:id="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8863200" cy="520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5497v4x0002i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Model Processes: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651100" cy="5248275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11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tblwf75nlfns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Architecture Diagram: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Architectural Style: Modular Monolith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GymFlow was designed following a Modular Monolith architectural style. This means the application is deployed as a single unit, but its internal codebase is organized into independent modules grouped by business domain: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. Each module owns its routing, business logic, data access, and validation schemas, communicating through defined interfaces rather than direct cross-module imports.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style was chosen over the alternatives for three concrete reasons.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it fits the team size. With five developers and no predefined work division, the module-per-domain structure provides natural ownership boundaries. Each team member can take full responsibility for one module without interfering with others. The only shared integration point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which registers all routers in a single place.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it matches the project scope. GymFlow is a gym access control system with well-defined and stable domains. Microservices would introduce significant operational overhead — independent deployments, service discovery, inter-service communication — that is not justified for a system of this scale. A well-structured monolith delivers the same separation of concerns at a fraction of the complexity.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/>
        <w:drawing>
          <wp:inline distB="114300" distT="114300" distL="114300" distR="114300">
            <wp:extent cx="4167188" cy="4809594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809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qp36us48y977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UML de clases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8258175" cy="515324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7765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515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nmiat9ljhbs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Relational Database Model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648575" cy="5233236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523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5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4.png"/><Relationship Id="rId21" Type="http://schemas.openxmlformats.org/officeDocument/2006/relationships/image" Target="media/image6.jpg"/><Relationship Id="rId24" Type="http://schemas.openxmlformats.org/officeDocument/2006/relationships/image" Target="media/image2.jp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parraca@unal.edu.co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amarquezc@unal.edu.co" TargetMode="External"/><Relationship Id="rId8" Type="http://schemas.openxmlformats.org/officeDocument/2006/relationships/hyperlink" Target="mailto:csanabriap@unal.edu.co" TargetMode="External"/><Relationship Id="rId11" Type="http://schemas.openxmlformats.org/officeDocument/2006/relationships/hyperlink" Target="mailto:dsepulvedaa@unal.edu.co" TargetMode="External"/><Relationship Id="rId10" Type="http://schemas.openxmlformats.org/officeDocument/2006/relationships/hyperlink" Target="mailto:wpinilla@unal.edu.co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