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41DC" w:rsidRDefault="00282D08">
      <w:pPr>
        <w:spacing w:after="40"/>
      </w:pPr>
      <w:r>
        <w:rPr>
          <w:rFonts w:ascii="Arial" w:hAnsi="Arial"/>
          <w:b/>
          <w:color w:val="0D6AA3"/>
          <w:sz w:val="44"/>
        </w:rPr>
        <w:t>Findings Report</w:t>
      </w:r>
    </w:p>
    <w:p w:rsidR="000D41DC" w:rsidRDefault="00282D08">
      <w:pPr>
        <w:spacing w:after="320"/>
      </w:pPr>
      <w:r>
        <w:rPr>
          <w:rFonts w:ascii="Arial" w:hAnsi="Arial"/>
          <w:b/>
          <w:color w:val="FF5200"/>
          <w:sz w:val="24"/>
        </w:rPr>
        <w:t>Operational Analytics &amp; Financial Data Integrity Audit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D41DC">
        <w:trPr>
          <w:jc w:val="center"/>
        </w:trPr>
        <w:tc>
          <w:tcPr>
            <w:tcW w:w="10080" w:type="dxa"/>
            <w:tcBorders>
              <w:left w:val="single" w:sz="24" w:space="0" w:color="0D6AA3"/>
            </w:tcBorders>
            <w:shd w:val="clear" w:color="auto" w:fill="F4F8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b/>
                <w:color w:val="282828"/>
                <w:sz w:val="20"/>
              </w:rPr>
              <w:t xml:space="preserve">Overview: </w:t>
            </w:r>
            <w:r>
              <w:rPr>
                <w:rFonts w:ascii="Arial" w:hAnsi="Arial"/>
                <w:color w:val="282828"/>
                <w:sz w:val="20"/>
              </w:rPr>
              <w:t>This report summarizes key insights derived from the database auditing framework across order subtotal reconciliation, delivery logistics performance, and</w:t>
            </w:r>
            <w:r>
              <w:rPr>
                <w:rFonts w:ascii="Arial" w:hAnsi="Arial"/>
                <w:color w:val="282828"/>
                <w:sz w:val="20"/>
              </w:rPr>
              <w:t xml:space="preserve"> customer lifetime value segmentation.</w:t>
            </w:r>
          </w:p>
        </w:tc>
      </w:tr>
    </w:tbl>
    <w:p w:rsidR="000D41DC" w:rsidRDefault="000D41DC">
      <w:pPr>
        <w:spacing w:after="240"/>
      </w:pPr>
    </w:p>
    <w:p w:rsidR="000D41DC" w:rsidRDefault="00282D08">
      <w:pPr>
        <w:spacing w:before="240" w:after="120"/>
      </w:pPr>
      <w:r>
        <w:rPr>
          <w:rFonts w:ascii="Arial" w:hAnsi="Arial"/>
          <w:b/>
          <w:color w:val="0D6AA3"/>
          <w:sz w:val="28"/>
        </w:rPr>
        <w:t>1. Financial Integrity &amp; Subtotal Audit</w:t>
      </w:r>
    </w:p>
    <w:p w:rsidR="000D41DC" w:rsidRDefault="00282D08">
      <w:r>
        <w:rPr>
          <w:rFonts w:ascii="Arial" w:hAnsi="Arial"/>
          <w:color w:val="282828"/>
          <w:sz w:val="20"/>
        </w:rPr>
        <w:t>Comparing order-level subtotals with calculated line-item sums (quantity × unit_price) allows us to isolate data discrepancies, floating-point rounding artifacts, and systemat</w:t>
      </w:r>
      <w:r>
        <w:rPr>
          <w:rFonts w:ascii="Arial" w:hAnsi="Arial"/>
          <w:color w:val="282828"/>
          <w:sz w:val="20"/>
        </w:rPr>
        <w:t>ic billing errors. Non-active order states (Cancelled, Failed, Refunded) are excluded to ensure active revenue compliance.</w:t>
      </w:r>
    </w:p>
    <w:tbl>
      <w:tblPr>
        <w:tblW w:w="0" w:type="auto"/>
        <w:jc w:val="center"/>
        <w:tblBorders>
          <w:top w:val="single" w:sz="4" w:space="0" w:color="CCCCCC"/>
          <w:bottom w:val="single" w:sz="6" w:space="0" w:color="0D6AA3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0D41DC">
        <w:trPr>
          <w:jc w:val="center"/>
        </w:trPr>
        <w:tc>
          <w:tcPr>
            <w:tcW w:w="2520" w:type="dxa"/>
            <w:shd w:val="clear" w:color="auto" w:fill="0D6AA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Audit Category</w:t>
            </w:r>
          </w:p>
        </w:tc>
        <w:tc>
          <w:tcPr>
            <w:tcW w:w="2520" w:type="dxa"/>
            <w:shd w:val="clear" w:color="auto" w:fill="0D6AA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Metric / Status</w:t>
            </w:r>
          </w:p>
        </w:tc>
        <w:tc>
          <w:tcPr>
            <w:tcW w:w="2520" w:type="dxa"/>
            <w:shd w:val="clear" w:color="auto" w:fill="0D6AA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Threshold Filter</w:t>
            </w:r>
          </w:p>
        </w:tc>
        <w:tc>
          <w:tcPr>
            <w:tcW w:w="2520" w:type="dxa"/>
            <w:shd w:val="clear" w:color="auto" w:fill="0D6AA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Business Impact</w:t>
            </w:r>
          </w:p>
        </w:tc>
      </w:tr>
      <w:tr w:rsidR="000D41DC">
        <w:trPr>
          <w:jc w:val="center"/>
        </w:trPr>
        <w:tc>
          <w:tcPr>
            <w:tcW w:w="25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Subtotal Match</w:t>
            </w:r>
          </w:p>
        </w:tc>
        <w:tc>
          <w:tcPr>
            <w:tcW w:w="25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Passed Clean Audit</w:t>
            </w:r>
          </w:p>
        </w:tc>
        <w:tc>
          <w:tcPr>
            <w:tcW w:w="25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ABS(diff) &lt;= 0.01</w:t>
            </w:r>
          </w:p>
        </w:tc>
        <w:tc>
          <w:tcPr>
            <w:tcW w:w="25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 xml:space="preserve">Verified </w:t>
            </w:r>
            <w:r>
              <w:rPr>
                <w:rFonts w:ascii="Arial" w:hAnsi="Arial"/>
                <w:color w:val="282828"/>
                <w:sz w:val="19"/>
              </w:rPr>
              <w:t>transaction integrity</w:t>
            </w:r>
          </w:p>
        </w:tc>
      </w:tr>
      <w:tr w:rsidR="000D41DC">
        <w:trPr>
          <w:jc w:val="center"/>
        </w:trPr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Precision Noise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Floating Point Artifacts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ABS(diff) &gt; 0.01 Filtered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Eliminated false positive alerts</w:t>
            </w:r>
          </w:p>
        </w:tc>
      </w:tr>
      <w:tr w:rsidR="000D41DC">
        <w:trPr>
          <w:jc w:val="center"/>
        </w:trPr>
        <w:tc>
          <w:tcPr>
            <w:tcW w:w="25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Active Orders</w:t>
            </w:r>
          </w:p>
        </w:tc>
        <w:tc>
          <w:tcPr>
            <w:tcW w:w="25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Excluded Cancelled/Refunded</w:t>
            </w:r>
          </w:p>
        </w:tc>
        <w:tc>
          <w:tcPr>
            <w:tcW w:w="25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WHERE status NOT IN (...)</w:t>
            </w:r>
          </w:p>
        </w:tc>
        <w:tc>
          <w:tcPr>
            <w:tcW w:w="25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Prevents distorted revenue metrics</w:t>
            </w:r>
          </w:p>
        </w:tc>
      </w:tr>
    </w:tbl>
    <w:p w:rsidR="000D41DC" w:rsidRDefault="000D41DC">
      <w:pPr>
        <w:spacing w:after="240"/>
      </w:pPr>
    </w:p>
    <w:p w:rsidR="000D41DC" w:rsidRDefault="00282D08">
      <w:pPr>
        <w:spacing w:before="240" w:after="120"/>
      </w:pPr>
      <w:r>
        <w:rPr>
          <w:rFonts w:ascii="Arial" w:hAnsi="Arial"/>
          <w:b/>
          <w:color w:val="0D6AA3"/>
          <w:sz w:val="28"/>
        </w:rPr>
        <w:t xml:space="preserve">2. Logistics Efficiency &amp; </w:t>
      </w:r>
      <w:r>
        <w:rPr>
          <w:rFonts w:ascii="Arial" w:hAnsi="Arial"/>
          <w:b/>
          <w:color w:val="0D6AA3"/>
          <w:sz w:val="28"/>
        </w:rPr>
        <w:t>Statistical Delivery Outliers</w:t>
      </w:r>
    </w:p>
    <w:p w:rsidR="000D41DC" w:rsidRDefault="00282D08">
      <w:r>
        <w:rPr>
          <w:rFonts w:ascii="Arial" w:hAnsi="Arial"/>
          <w:color w:val="282828"/>
          <w:sz w:val="20"/>
        </w:rPr>
        <w:t>Delivery durations are tracked from order_date to delivery_date. Unusually slow deliveries are identified using a statistical threshold of Mean + (2 × Standard Deviation). This rule flags the upper tail (slowest ~2.5% of deliv</w:t>
      </w:r>
      <w:r>
        <w:rPr>
          <w:rFonts w:ascii="Arial" w:hAnsi="Arial"/>
          <w:color w:val="282828"/>
          <w:sz w:val="20"/>
        </w:rPr>
        <w:t>eries) as operational anomalies requiring vendor or courier review.</w:t>
      </w:r>
    </w:p>
    <w:tbl>
      <w:tblPr>
        <w:tblW w:w="0" w:type="auto"/>
        <w:jc w:val="center"/>
        <w:tblBorders>
          <w:top w:val="single" w:sz="4" w:space="0" w:color="CCCCCC"/>
          <w:bottom w:val="single" w:sz="6" w:space="0" w:color="0D6AA3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0D41DC">
        <w:trPr>
          <w:jc w:val="center"/>
        </w:trPr>
        <w:tc>
          <w:tcPr>
            <w:tcW w:w="2520" w:type="dxa"/>
            <w:shd w:val="clear" w:color="auto" w:fill="0D6AA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Fulfillment Metric</w:t>
            </w:r>
          </w:p>
        </w:tc>
        <w:tc>
          <w:tcPr>
            <w:tcW w:w="2520" w:type="dxa"/>
            <w:shd w:val="clear" w:color="auto" w:fill="0D6AA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Calculation Basis</w:t>
            </w:r>
          </w:p>
        </w:tc>
        <w:tc>
          <w:tcPr>
            <w:tcW w:w="2520" w:type="dxa"/>
            <w:shd w:val="clear" w:color="auto" w:fill="0D6AA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Statistical Threshold</w:t>
            </w:r>
          </w:p>
        </w:tc>
        <w:tc>
          <w:tcPr>
            <w:tcW w:w="2520" w:type="dxa"/>
            <w:shd w:val="clear" w:color="auto" w:fill="0D6AA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Operational Action</w:t>
            </w:r>
          </w:p>
        </w:tc>
      </w:tr>
      <w:tr w:rsidR="000D41DC">
        <w:trPr>
          <w:jc w:val="center"/>
        </w:trPr>
        <w:tc>
          <w:tcPr>
            <w:tcW w:w="25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Average Delivery Time</w:t>
            </w:r>
          </w:p>
        </w:tc>
        <w:tc>
          <w:tcPr>
            <w:tcW w:w="25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DATEDIFF / TIMESTAMPDIFF</w:t>
            </w:r>
          </w:p>
        </w:tc>
        <w:tc>
          <w:tcPr>
            <w:tcW w:w="25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Mean Duration</w:t>
            </w:r>
          </w:p>
        </w:tc>
        <w:tc>
          <w:tcPr>
            <w:tcW w:w="25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Establishes baseline SLA performance</w:t>
            </w:r>
          </w:p>
        </w:tc>
      </w:tr>
      <w:tr w:rsidR="000D41DC">
        <w:trPr>
          <w:jc w:val="center"/>
        </w:trPr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 xml:space="preserve">Outlier </w:t>
            </w:r>
            <w:r>
              <w:rPr>
                <w:rFonts w:ascii="Arial" w:hAnsi="Arial"/>
                <w:color w:val="282828"/>
                <w:sz w:val="19"/>
              </w:rPr>
              <w:t>Cutoff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Mean + 2 * Standard Deviation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Upper ~2.5% Tail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Isolates severe delays from daily variance</w:t>
            </w:r>
          </w:p>
        </w:tc>
      </w:tr>
      <w:tr w:rsidR="000D41DC">
        <w:trPr>
          <w:jc w:val="center"/>
        </w:trPr>
        <w:tc>
          <w:tcPr>
            <w:tcW w:w="25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Platform Breakdown</w:t>
            </w:r>
          </w:p>
        </w:tc>
        <w:tc>
          <w:tcPr>
            <w:tcW w:w="25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GROUP BY Platform, City/State</w:t>
            </w:r>
          </w:p>
        </w:tc>
        <w:tc>
          <w:tcPr>
            <w:tcW w:w="25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Regional Segments</w:t>
            </w:r>
          </w:p>
        </w:tc>
        <w:tc>
          <w:tcPr>
            <w:tcW w:w="25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Identifies logistics &amp; hub bottlenecks</w:t>
            </w:r>
          </w:p>
        </w:tc>
      </w:tr>
    </w:tbl>
    <w:p w:rsidR="000D41DC" w:rsidRDefault="000D41DC">
      <w:pPr>
        <w:spacing w:after="240"/>
      </w:pPr>
    </w:p>
    <w:p w:rsidR="002A6010" w:rsidRDefault="002A6010">
      <w:pPr>
        <w:spacing w:before="240" w:after="120"/>
        <w:rPr>
          <w:rFonts w:ascii="Arial" w:hAnsi="Arial"/>
          <w:b/>
          <w:color w:val="0D6AA3"/>
          <w:sz w:val="28"/>
        </w:rPr>
      </w:pPr>
    </w:p>
    <w:p w:rsidR="002A6010" w:rsidRDefault="002A6010">
      <w:pPr>
        <w:spacing w:before="240" w:after="120"/>
        <w:rPr>
          <w:rFonts w:ascii="Arial" w:hAnsi="Arial"/>
          <w:b/>
          <w:color w:val="0D6AA3"/>
          <w:sz w:val="28"/>
        </w:rPr>
      </w:pPr>
    </w:p>
    <w:p w:rsidR="002A6010" w:rsidRDefault="002A6010">
      <w:pPr>
        <w:spacing w:before="240" w:after="120"/>
        <w:rPr>
          <w:rFonts w:ascii="Arial" w:hAnsi="Arial"/>
          <w:b/>
          <w:color w:val="0D6AA3"/>
          <w:sz w:val="28"/>
        </w:rPr>
      </w:pPr>
    </w:p>
    <w:p w:rsidR="000D41DC" w:rsidRDefault="00282D08">
      <w:pPr>
        <w:spacing w:before="240" w:after="120"/>
      </w:pPr>
      <w:bookmarkStart w:id="0" w:name="_GoBack"/>
      <w:bookmarkEnd w:id="0"/>
      <w:r>
        <w:rPr>
          <w:rFonts w:ascii="Arial" w:hAnsi="Arial"/>
          <w:b/>
          <w:color w:val="0D6AA3"/>
          <w:sz w:val="28"/>
        </w:rPr>
        <w:lastRenderedPageBreak/>
        <w:t>3. Customer Value &amp; Revenue Segmentation</w:t>
      </w:r>
    </w:p>
    <w:p w:rsidR="000D41DC" w:rsidRDefault="00282D08">
      <w:r>
        <w:rPr>
          <w:rFonts w:ascii="Arial" w:hAnsi="Arial"/>
          <w:color w:val="282828"/>
          <w:sz w:val="20"/>
        </w:rPr>
        <w:t xml:space="preserve">A </w:t>
      </w:r>
      <w:r>
        <w:rPr>
          <w:rFonts w:ascii="Arial" w:hAnsi="Arial"/>
          <w:color w:val="282828"/>
          <w:sz w:val="20"/>
        </w:rPr>
        <w:t>single-row customer report aggregates spending metrics, coupon engagement, and order frequency. Customers are categorized into segments based on total spending thresholds to drive targeted marketing campaigns.</w:t>
      </w:r>
    </w:p>
    <w:tbl>
      <w:tblPr>
        <w:tblW w:w="0" w:type="auto"/>
        <w:jc w:val="center"/>
        <w:tblBorders>
          <w:top w:val="single" w:sz="4" w:space="0" w:color="CCCCCC"/>
          <w:bottom w:val="single" w:sz="6" w:space="0" w:color="0D6AA3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0D41DC">
        <w:trPr>
          <w:jc w:val="center"/>
        </w:trPr>
        <w:tc>
          <w:tcPr>
            <w:tcW w:w="2520" w:type="dxa"/>
            <w:shd w:val="clear" w:color="auto" w:fill="0D6AA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Segment Name</w:t>
            </w:r>
          </w:p>
        </w:tc>
        <w:tc>
          <w:tcPr>
            <w:tcW w:w="2520" w:type="dxa"/>
            <w:shd w:val="clear" w:color="auto" w:fill="0D6AA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Total Spend Threshold</w:t>
            </w:r>
          </w:p>
        </w:tc>
        <w:tc>
          <w:tcPr>
            <w:tcW w:w="2520" w:type="dxa"/>
            <w:shd w:val="clear" w:color="auto" w:fill="0D6AA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Key Charact</w:t>
            </w:r>
            <w:r>
              <w:rPr>
                <w:rFonts w:ascii="Arial" w:hAnsi="Arial"/>
                <w:b/>
                <w:color w:val="FFFFFF"/>
                <w:sz w:val="19"/>
              </w:rPr>
              <w:t>eristics</w:t>
            </w:r>
          </w:p>
        </w:tc>
        <w:tc>
          <w:tcPr>
            <w:tcW w:w="2520" w:type="dxa"/>
            <w:shd w:val="clear" w:color="auto" w:fill="0D6AA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Strategic Goal</w:t>
            </w:r>
          </w:p>
        </w:tc>
      </w:tr>
      <w:tr w:rsidR="000D41DC">
        <w:trPr>
          <w:jc w:val="center"/>
        </w:trPr>
        <w:tc>
          <w:tcPr>
            <w:tcW w:w="25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High Value</w:t>
            </w:r>
          </w:p>
        </w:tc>
        <w:tc>
          <w:tcPr>
            <w:tcW w:w="25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&gt;= 10,000</w:t>
            </w:r>
          </w:p>
        </w:tc>
        <w:tc>
          <w:tcPr>
            <w:tcW w:w="25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High lifetime spend, frequent purchases</w:t>
            </w:r>
          </w:p>
        </w:tc>
        <w:tc>
          <w:tcPr>
            <w:tcW w:w="25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VIP loyalty perks &amp; concierge service</w:t>
            </w:r>
          </w:p>
        </w:tc>
      </w:tr>
      <w:tr w:rsidR="000D41DC">
        <w:trPr>
          <w:jc w:val="center"/>
        </w:trPr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Medium Value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3,000 - 9,999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Consistent orders, moderate coupon use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Cross-sell incentives &amp; repeat push</w:t>
            </w:r>
          </w:p>
        </w:tc>
      </w:tr>
      <w:tr w:rsidR="000D41DC">
        <w:trPr>
          <w:jc w:val="center"/>
        </w:trPr>
        <w:tc>
          <w:tcPr>
            <w:tcW w:w="25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Low Value</w:t>
            </w:r>
          </w:p>
        </w:tc>
        <w:tc>
          <w:tcPr>
            <w:tcW w:w="25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&lt; 3,000</w:t>
            </w:r>
          </w:p>
        </w:tc>
        <w:tc>
          <w:tcPr>
            <w:tcW w:w="25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Occasional</w:t>
            </w:r>
            <w:r>
              <w:rPr>
                <w:rFonts w:ascii="Arial" w:hAnsi="Arial"/>
                <w:color w:val="282828"/>
                <w:sz w:val="19"/>
              </w:rPr>
              <w:t xml:space="preserve"> buyers or single-order accounts</w:t>
            </w:r>
          </w:p>
        </w:tc>
        <w:tc>
          <w:tcPr>
            <w:tcW w:w="252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D41DC" w:rsidRDefault="00282D08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Re-engagement campaigns &amp; discount offers</w:t>
            </w:r>
          </w:p>
        </w:tc>
      </w:tr>
    </w:tbl>
    <w:p w:rsidR="00282D08" w:rsidRDefault="00282D08"/>
    <w:sectPr w:rsidR="00282D08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41DC"/>
    <w:rsid w:val="0015074B"/>
    <w:rsid w:val="00282D08"/>
    <w:rsid w:val="0029639D"/>
    <w:rsid w:val="002A6010"/>
    <w:rsid w:val="00326F90"/>
    <w:rsid w:val="00AA1D8D"/>
    <w:rsid w:val="00B47730"/>
    <w:rsid w:val="00CB0664"/>
    <w:rsid w:val="00E86E62"/>
    <w:rsid w:val="00F558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59A4E10-0D9F-4F26-B436-8990F90C3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2FA456-B468-4D46-8167-7D843DCEA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2013-12-23T23:15:00Z</dcterms:created>
  <dcterms:modified xsi:type="dcterms:W3CDTF">2026-10-26T13:43:00Z</dcterms:modified>
  <cp:category/>
</cp:coreProperties>
</file>