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  <w:rPr>
          <w:rFonts w:ascii="Arial" w:cs="Arial" w:eastAsia="Arial" w:hAnsi="Arial"/>
          <w:b/>
          <w:bCs/>
          <w:color w:val="0F3460"/>
          <w:sz w:val="48"/>
          <w:szCs w:val="48"/>
        </w:rPr>
      </w:pPr>
      <w:r>
        <w:t xml:space="preserve">Sayfe.ai Industry Brand Portfolio Strategy</w:t>
      </w:r>
    </w:p>
    <w:p>
      <w:pPr>
        <w:spacing w:after="400"/>
        <w:jc w:val="center"/>
        <w:rPr>
          <w:rFonts w:ascii="Arial" w:cs="Arial" w:eastAsia="Arial" w:hAnsi="Arial"/>
          <w:color w:val="2d8cf0"/>
          <w:sz w:val="26"/>
          <w:szCs w:val="26"/>
        </w:rPr>
      </w:pPr>
      <w:r>
        <w:t xml:space="preserve">Multi-Domain Vertical Approach for ChatGPT Business Referral Volume</w:t>
      </w:r>
    </w:p>
    <w:p>
      <w:pPr>
        <w:spacing w:after="600"/>
        <w:jc w:val="center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March 2026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Executive Summary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Sayfe.ai operates as a parent brand with a multi-domain, vertical-specific approach. Each of the 15 key industries receives its own branded microsite or domain that feels like an industry specialist—similar to how Marriott owns Courtyard, Westin, and Ritz-Carlton as distinct sub-brands.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This strategy delivers three critical advantages: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Increased conversion rates through industry-specific messaging and proof points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Enhanced SEO authority for niche keywords across 15+ verticals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Perceived specialization in each vertical, building trust with industry-specific audiences</w:t>
      </w:r>
    </w:p>
    <w:p>
      <w:pPr>
        <w:spacing w:after="12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The Microsite Advantage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Rather than forcing all industries through a single homepage, each vertical domain (e.g., MedPilot.ai, LegalStack.ai, BuildPilot.ai) provides: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Industry-specific landing pages with vertical-native testimonials and case studies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Niche keyword targeting (e.g., "ChatGPT for healthcare," "AI for construction")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Topical authority signals that boost Google ranking within each vertical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Perceived specialization that increases trust and conversion rates</w:t>
      </w:r>
    </w:p>
    <w:p>
      <w:pPr>
        <w:spacing w:after="12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Revenue Opportunity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15 industry domains × 20–50 referrals/month per domain = 300–750 total referrals monthly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At 5 seats × $30/month per referral = $45,000–$112,500 in referral revenue monthly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Year 1 commission (50%) = $270,000–$675,000 annually</w:t>
      </w:r>
    </w:p>
    <w:r>
      <w:br w:type="page"/>
    </w:r>
    <w:p>
      <w:pPr>
        <w:pStyle w:val="Heading1"/>
        <w:spacing w:after="200" w:before="200"/>
        <w:rPr>
          <w:rFonts w:ascii="Arial" w:cs="Arial" w:eastAsia="Arial" w:hAnsi="Arial"/>
          <w:b/>
          <w:bCs/>
          <w:color w:val="0F3460"/>
          <w:sz w:val="32"/>
          <w:szCs w:val="32"/>
        </w:rPr>
      </w:pPr>
      <w:r>
        <w:t xml:space="preserve">Referral Site Best Practices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Research across high-converting referral sites and vertical SaaS platforms reveals consistent patterns for success:</w:t>
      </w:r>
    </w:p>
    <w:p>
      <w:pPr>
        <w:spacing w:after="12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Conversion Drivers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Personalized CTAs convert 202% better than generic calls-to-action (e.g., "Get ChatGPT for Legal" vs. "Try ChatGPT")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Industry-specific landing pages with vertical testimonials and use cases lift conversions significantly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Healthcare SaaS converts at 21.5% baseline; CRM verticals at 29%—vertical focus directly impacts conversion rates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Vertical SaaS companies see 35–60% higher retention rates compared to horizontal alternatives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Microsites build topical authority, boosting SEO rankings for niche keywords within 6–9 months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Design &amp; UX Best Practices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Short headlines (under 44 characters) with one prominent CTA per page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Industry-specific proof: testimonials, case studies, ROI calculators that speak to vertical pain points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Mobile-first design ensures 40%+ of referral traffic converts on smartphones and tablets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Outcome-driven storytelling beats feature lists—focus on "what this solves" not "what this does"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Fast load times (under 3 seconds) reduce bounce rates by up to 40%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Incentive Structure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Bi-directional rewards work best: both the referrer AND the customer receive incentives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This two-sided model reduces customer acquisition friction and improves referral velocity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Examples: $10 credit for customer + affiliate bonus for referrer drives 30–50% higher engagement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Key Metrics to Track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Click-through rate (CTR) by industry domain: target 3–5%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Conversion rate (referral signup): target 8–12% for industry-specific microsites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Customer lifetime value (CLV): track repeat purchases and upsells by vertical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Referral quality: monitor seat adoption and trial-to-paid conversion rates</w:t>
      </w:r>
    </w:p>
    <w:r>
      <w:br w:type="page"/>
    </w:r>
    <w:p>
      <w:pPr>
        <w:pStyle w:val="Heading1"/>
        <w:spacing w:after="200" w:before="200"/>
        <w:rPr>
          <w:rFonts w:ascii="Arial" w:cs="Arial" w:eastAsia="Arial" w:hAnsi="Arial"/>
          <w:b/>
          <w:bCs/>
          <w:color w:val="0F3460"/>
          <w:sz w:val="32"/>
          <w:szCs w:val="32"/>
        </w:rPr>
      </w:pPr>
      <w:r>
        <w:t xml:space="preserve">Industry Brand Names &amp; Domain Strategy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Below are the 15 recommended industry vertical brands. Each has three naming options (AI-forward, Industry-native, Compound) with domain recommendations and rationale.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Healthcare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MedPilot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MedPilot.ai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PracticeIQ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PracticeIQ.ai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HealthStack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HealthStack.ai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"MedPilot" evokes precision and guidance—critical for medical practice management. All three domains feel specialist-focused, building trust with healthcare providers.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Chiropractic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ChiroAssist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ChiroAssist.ai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SpineLogic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SpineLogic.ai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AdjustIQ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AdjustIQ.ai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"ChiroAssist" and "AdjustIQ" directly reference adjustment workflows. "SpineLogic" positions the brand as intelligent, data-driven. All feel vertical-native.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Legal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CounselAI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CounselAI.co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BriefPilot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BriefPilot.ai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LegalStack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LegalStack.ai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"CounselAI" evokes legal advice and intelligence. "BriefPilot" speaks to document drafting workflows. All resonate with law firms seeking efficiency.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Manufacturing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ShopFloorAI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ShopFloorAI.com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ForgeIQ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ForgeIQ.ai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MfgPilot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MfgPilot.ai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"ShopFloorAI" directly targets manufacturing floor operations. "ForgeIQ" implies precision and intelligence. "MfgPilot" positions AI as the decision-maker.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Consulting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AdvisoryAI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AdvisoryAI.co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EngagePilot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EngagePilot.ai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ConsultStack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ConsultStack.ai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"AdvisoryAI" positions the brand as a trusted advisor. "EngagePilot" speaks to client engagement and project delivery. Appeals to consulting firms seeking operational leverage.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Construction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BuildPilot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BuildPilot.ai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SiteBrain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SiteBrain.ai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CrewIQ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CrewIQ.ai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"BuildPilot" directly resonates with construction site management. "SiteBrain" implies intelligence on-site. "CrewIQ" targets crew coordination. High-impact names for a high-value vertical.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Real Estate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ListingPilot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ListingPilot.ai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AgentIQ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AgentIQ.ai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PropStack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PropStack.ai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"ListingPilot" and "AgentIQ" directly address real estate workflows (listings, agent productivity). "PropStack" is modern and tech-forward. All drive engagement with agents and brokers.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Finance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LedgerPilot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LedgerPilot.ai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FirmIQ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FirmIQ.ai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FinStack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FinStack.ai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"LedgerPilot" evokes bookkeeping/accounting automation. "FirmIQ" positions intelligence for financial firms. "FinStack" feels modern and scalable. Targets CFOs and finance teams.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Insurance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PolicyPilot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PolicyPilot.ai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CoverageIQ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CoverageIQ.ai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InsureStack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InsureStack.ai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"PolicyPilot" and "CoverageIQ" directly address underwriting and policy management. "InsureStack" feels modern and modular. Resonates with brokers and underwriters.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Logistics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RoutePilot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RoutePilot.ai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FreightIQ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FreightIQ.ai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LogiStack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LogiStack.ai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"RoutePilot" targets route optimization—a key pain point. "FreightIQ" positions data intelligence for freight. "LogiStack" is scalable for enterprise logistics.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Retail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ShelfPilot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ShelfPilot.ai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RetailIQ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RetailIQ.ai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StoreStack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StoreStack.ai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"ShelfPilot" evokes inventory and merchandising management. "RetailIQ" positions intelligence for retail operations. "StoreStack" feels modern and omnichannel-ready.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Marketing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CampaignPilot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CampaignPilot.ai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AgencyIQ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AgencyIQ.ai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AdStack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AdStack.ai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"CampaignPilot" targets campaign management and optimization. "AgencyIQ" positions intelligence for marketing agencies. "AdStack" resonates with creative and media teams.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Education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ClassPilot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ClassPilot.ai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EduIQ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EduIQ.ai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LearnStack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LearnStack.ai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"ClassPilot" targets classroom and curriculum management. "EduIQ" positions intelligence for educational leaders. "LearnStack" resonates with modern learning platforms.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Professional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FirmPilot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FirmPilot.ai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ProIQ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ProIQ.ai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ServiceStack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ServiceStack.ai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"FirmPilot" positions AI as operational leadership for professional service firms. "ProIQ" targets pro services professionals. "ServiceStack" feels enterprise-ready.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Nonprofit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Option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Brand Name</w:t>
            </w:r>
          </w:p>
        </w:tc>
        <w:tc>
          <w:tcPr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A (AI-forward)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GrantPilot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GrantPilot.ai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B (Industry-native)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MissionIQ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MissionIQ.ai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C (Compound)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ImpactStack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</w:pPr>
            <w:r>
              <w:t xml:space="preserve">ImpactStack.ai</w:t>
            </w:r>
          </w:p>
        </w:tc>
      </w:tr>
    </w:tbl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Rationale: "GrantPilot" targets grant writing and fundraising workflows. "MissionIQ" and "ImpactStack" position AI as a force multiplier for mission-driven organizations. Resonates emotionally.</w:t>
      </w:r>
    </w:p>
    <w:r>
      <w:br w:type="page"/>
    </w:r>
    <w:p>
      <w:pPr>
        <w:pStyle w:val="Heading1"/>
        <w:spacing w:after="200" w:before="200"/>
        <w:rPr>
          <w:rFonts w:ascii="Arial" w:cs="Arial" w:eastAsia="Arial" w:hAnsi="Arial"/>
          <w:b/>
          <w:bCs/>
          <w:color w:val="0F3460"/>
          <w:sz w:val="32"/>
          <w:szCs w:val="32"/>
        </w:rPr>
      </w:pPr>
      <w:r>
        <w:t xml:space="preserve">Implementation Strategy</w:t>
      </w: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Phase 1: Foundation (Weeks 1–2)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Register and configure top 5 priority domains: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MedPilot.ai or PracticeIQ.ai (Healthcare)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LegalStack.ai or CounselAI.co (Legal)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BuildPilot.ai (Construction)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ListingPilot.ai or AgentIQ.ai (Real Estate)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AdvisoryAI.co or ConsultStack.ai (Consulting)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These five verticals represent the highest seat counts and fastest payback. Prioritize registration and DNS setup.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Phase 2: Vertical Landing Pages (Weeks 3–4)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Create industry-specific landing pages for each of the 5 priority domains that: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Feel native to the industry (healthcare pages speak to practitioners, legal pages cite compliance concerns, etc.)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Feature vertical-specific testimonials and case studies from existing customers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Include ROI calculators or outcome-driven CTAs unique to each industry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Implement SEO optimizations (industry-specific keywords, H1 tags, schema markup)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Mobile-responsive design with sub-3-second load times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Phase 3: Expand (Month 2)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Register and launch landing pages for remaining 10 industry domains. Replicate Phase 2 approach. Establish content calendar for industry-specific blog posts and resources.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Phase 4: Ongoing Growth (Month 3+)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For each of the 15 domains: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Publish 1–2 blog posts per month targeting industry-specific keywords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Create and maintain Google Business Profile for each brand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Build social media presence on LinkedIn, Twitter, and Facebook (2–3 posts/week per brand)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Monitor referral performance metrics and optimize highest-converting verticals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Technical Architecture: Two Options</w:t>
      </w: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2d8cf0"/>
          <w:sz w:val="28"/>
          <w:szCs w:val="28"/>
        </w:rPr>
      </w:pPr>
      <w:r>
        <w:t xml:space="preserve">Option A: 301 Redirects (Recommended for Launch)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Each domain (MedPilot.ai, LegalStack.ai, etc.) redirects to sayfe.ai/[industry]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Consolidates all traffic and analytics to parent domain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Simplifies content management (single CMS for all verticals)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SEO benefits accrue to sayfe.ai parent domain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Best for: Quick launch, content consolidation, analytics simplicity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2d8cf0"/>
          <w:sz w:val="28"/>
          <w:szCs w:val="28"/>
        </w:rPr>
      </w:pPr>
      <w:r>
        <w:t xml:space="preserve">Option B: Separate Microsites (Long-term Scale)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Each domain has unique content, design, and infrastructure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Maximum SEO surface area—each domain builds topical authority independently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Higher perceived specialization and vertical authenticity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Requires separate hosting, content management, and analytics tracking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Best for: Scaling beyond 300+ referrals/month, building long-term topical authority</w:t>
      </w:r>
    </w:p>
    <w:p>
      <w:pPr>
        <w:spacing w:after="200"/>
      </w:pP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Recommendation: Start with Option A (redirects) for rapid launch and proven conversions. Upgrade to Option B (microsites) once referral volume justifies the engineering investment.</w:t>
      </w:r>
    </w:p>
    <w:r>
      <w:br w:type="page"/>
    </w:r>
    <w:p>
      <w:pPr>
        <w:pStyle w:val="Heading1"/>
        <w:spacing w:after="200" w:before="200"/>
        <w:rPr>
          <w:rFonts w:ascii="Arial" w:cs="Arial" w:eastAsia="Arial" w:hAnsi="Arial"/>
          <w:b/>
          <w:bCs/>
          <w:color w:val="0F3460"/>
          <w:sz w:val="32"/>
          <w:szCs w:val="32"/>
        </w:rPr>
      </w:pPr>
      <w:r>
        <w:t xml:space="preserve">Revenue Model &amp; Financial Projections</w:t>
      </w: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Conservative Scenario (20 referrals/month per domain)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15 industry domains × 20 referrals/month = 300 total referrals monthly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Average deal size: 5 seats × $30/month = $150/month revenue per referral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Monthly referral revenue: 300 × $150 = $45,000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Year 1 commission (50% of eligible revenue): $22,500/month = $270,000 annually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Year 2 commission (20% of eligible revenue): $9,000/month = $108,000 annually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Growth Scenario (50 referrals/month per domain)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15 industry domains × 50 referrals/month = 750 total referrals monthly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Monthly referral revenue: 750 × $150 = $112,500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Year 1 commission (50%): $56,250/month = $675,000 annually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Year 2 commission (20%): $22,500/month = $270,000 annually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Aggressive Scenario (100 referrals/month per domain)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15 industry domains × 100 referrals/month = 1,500 total referrals monthly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Monthly referral revenue: 1,500 × $150 = $225,000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Year 1 commission (50%): $112,500/month = $1,350,000 annually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Year 2 commission (20%): $45,000/month = $540,000 annually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Key Assumptions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Average deal size: 5 seats per referral (conservative for SMB segment)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ChatGPT Business price: $30/user/month (stable per OpenAI pricing)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Year 1 conversion rate: 5–10% of landing page visitors become referrals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Commission structure per OpenAI Partner Guide (50% Year 1, 20% Year 2+)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Referral period: 12 months with auto-renewal (recurring revenue)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Payback threshold: 2nd consecutive monthly payment (no revenue cliff for canceled customers)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Unit Economics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Cost per referral acquisition: ~$50–$150 (SEO, content, paid ads)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Lifetime value per referral: ~$10,800 (5 seats × $30 × 12 months × Year 2 @ 20% commission)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Payback period: 1–3 months (highly favorable LTV:CAC ratio)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Revenue Composition by Vertical (Conservative Scenario)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High-value verticals (legal, construction, real estate, healthcare, consulting): 40% of referrals = 120 referrals/month = $18,000/month revenue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Mid-value verticals (finance, insurance, manufacturing, marketing): 40% of referrals = 120 referrals/month = $18,000/month revenue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Growth verticals (nonprofit, education, retail, logistics, professional services, chiropractic): 20% of referrals = 60 referrals/month = $9,000/month revenue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Path to $1M+ in Annual Commissions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Year 1: $270k (conservative) → $675k (growth) via 15 industry domains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Year 2: Upgrade high-performing verticals to microsites; expand to adjacent verticals (bookkeeping, immigration, recruiting, etc.)</w:t>
      </w:r>
    </w:p>
    <w:p>
      <w:pPr>
        <w:spacing w:after="120" w:line="240"/>
        <w:jc w:val="left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Year 3: 25–30 industry microsites × 50+ referrals/month = $1.35M+ annual commissions</w:t>
      </w:r>
    </w:p>
    <w:r>
      <w:br w:type="page"/>
    </w:r>
    <w:p>
      <w:pPr>
        <w:pStyle w:val="Heading1"/>
        <w:spacing w:after="200" w:before="200"/>
        <w:rPr>
          <w:rFonts w:ascii="Arial" w:cs="Arial" w:eastAsia="Arial" w:hAnsi="Arial"/>
          <w:b/>
          <w:bCs/>
          <w:color w:val="0F3460"/>
          <w:sz w:val="32"/>
          <w:szCs w:val="32"/>
        </w:rPr>
      </w:pPr>
      <w:r>
        <w:t xml:space="preserve">Next Steps &amp; Actionable Checklist</w:t>
      </w: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Week 1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Domain registration: Secure top 5 priority domains (MedPilot.ai, LegalStack.ai, BuildPilot.ai, ListingPilot.ai, AdvisoryAI.co)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Competitive analysis: Research top referral sites in legal, healthcare, construction, real estate, and consulting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Messaging framework: Draft industry-specific value propositions and CTAs for each vertical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Week 2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Landing page templates: Design 2–3 mobile-responsive templates for industry pages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Testimonial collection: Gather 3–5 customer testimonials per high-priority vertical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SEO keyword research: Identify top 50 keywords per vertical (e.g., "ChatGPT for healthcare," "AI for legal practices")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Weeks 3–4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Deploy Phase 1: Launch 301 redirects from top 5 domains to sayfe.ai/[industry]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Create landing pages: Build and publish industry-specific pages with testimonials and ROI messaging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Set up analytics: Configure UTM parameters and conversion tracking for each domain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Draft blog content: Outline 10–15 SEO-targeted blog posts for Phase 1 verticals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Month 2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Launch blog: Publish 5+ industry-specific blog posts targeting long-tail keywords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Expand domains: Register remaining 10 industry domains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Create landing pages: Deploy landing pages for all 15 verticals (Phases 2–3)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Social strategy: Launch social media accounts for top 5 brands (LinkedIn, Twitter)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Month 3+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Performance optimization: Analyze conversion data per vertical; optimize top performers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Scale content: Publish 2–4 blog posts per vertical per month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Paid amplification: Test paid ads ($500–$1k/month) on top 3–5 verticals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Customer case studies: Document wins and build vertical-specific case study library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Microsite evaluation: Assess volume and ROI to justify migration from redirects to separate microsites</w:t>
      </w:r>
    </w:p>
    <w:p>
      <w:pPr>
        <w:spacing w:after="200"/>
      </w:pPr>
    </w:p>
    <w:p>
      <w:pPr>
        <w:pStyle w:val="Heading2"/>
        <w:spacing w:after="80" w:before="120"/>
        <w:rPr>
          <w:rFonts w:ascii="Arial" w:cs="Arial" w:eastAsia="Arial" w:hAnsi="Arial"/>
          <w:b/>
          <w:bCs/>
          <w:color w:val="0F3460"/>
          <w:sz w:val="28"/>
          <w:szCs w:val="28"/>
        </w:rPr>
      </w:pPr>
      <w:r>
        <w:t xml:space="preserve">Success Metrics (3-Month Target)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Domain authority: Each domain reaches Domain Authority 20+ within 3 months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Organic traffic: 500+ monthly sessions per domain from organic search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Referral conversion: 50–150 referrals across all domains (conservative scenario)</w:t>
      </w:r>
    </w:p>
    <w:p>
      <w:pPr>
        <w:pStyle w:val="ListParagraph"/>
        <w:numPr>
          <w:ilvl w:val="0"/>
          <w:numId w:val="1"/>
        </w:numPr>
        <w:spacing w:after="40" w:before="40" w:line="24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Cost per referral: Below $100 (paid ads + organic amortized)</w:t>
      </w:r>
    </w:p>
    <w:p>
      <w:pPr>
        <w:spacing w:after="200"/>
      </w:pPr>
    </w:p>
    <w:p>
      <w:pPr>
        <w:spacing w:before="400"/>
        <w:jc w:val="center"/>
        <w:rPr>
          <w:rFonts w:ascii="Arial" w:cs="Arial" w:eastAsia="Arial" w:hAnsi="Arial"/>
          <w:color w:val="0F3460"/>
          <w:sz w:val="22"/>
          <w:szCs w:val="22"/>
        </w:rPr>
      </w:pPr>
      <w:r>
        <w:t xml:space="preserve">Questions? Contact: chris@sayfe.ai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2026-03-19T01:00:10.773Z</dcterms:created>
  <dcterms:modified xsi:type="dcterms:W3CDTF">2026-03-19T01:00:10.773Z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