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6491" w:rsidRPr="00B66491" w:rsidRDefault="00B66491" w:rsidP="00B66491">
      <w:pPr>
        <w:widowControl/>
        <w:outlineLvl w:val="0"/>
        <w:rPr>
          <w:rFonts w:ascii="新細明體" w:eastAsia="新細明體" w:hAnsi="新細明體" w:cs="新細明體"/>
          <w:kern w:val="36"/>
          <w:sz w:val="44"/>
          <w:szCs w:val="44"/>
        </w:rPr>
      </w:pPr>
      <w:r w:rsidRPr="00B66491">
        <w:rPr>
          <w:rFonts w:ascii="新細明體" w:eastAsia="新細明體" w:hAnsi="新細明體" w:cs="新細明體"/>
          <w:kern w:val="36"/>
          <w:sz w:val="44"/>
          <w:szCs w:val="44"/>
        </w:rPr>
        <w:t>《科技》工研院：今年台灣生</w:t>
      </w:r>
      <w:proofErr w:type="gramStart"/>
      <w:r w:rsidRPr="00B66491">
        <w:rPr>
          <w:rFonts w:ascii="新細明體" w:eastAsia="新細明體" w:hAnsi="新細明體" w:cs="新細明體"/>
          <w:kern w:val="36"/>
          <w:sz w:val="44"/>
          <w:szCs w:val="44"/>
        </w:rPr>
        <w:t>醫</w:t>
      </w:r>
      <w:proofErr w:type="gramEnd"/>
      <w:r w:rsidRPr="00B66491">
        <w:rPr>
          <w:rFonts w:ascii="新細明體" w:eastAsia="新細明體" w:hAnsi="新細明體" w:cs="新細明體"/>
          <w:kern w:val="36"/>
          <w:sz w:val="44"/>
          <w:szCs w:val="44"/>
        </w:rPr>
        <w:t>產值估增3.2%，明年再成長2%</w:t>
      </w:r>
    </w:p>
    <w:p w:rsidR="00B66491" w:rsidRPr="00B66491" w:rsidRDefault="00B66491" w:rsidP="00B66491">
      <w:pPr>
        <w:widowControl/>
        <w:shd w:val="clear" w:color="auto" w:fill="FFFFFF"/>
        <w:spacing w:after="192"/>
        <w:rPr>
          <w:rFonts w:ascii="Helvetica" w:eastAsia="新細明體" w:hAnsi="Helvetica" w:cs="Helvetica"/>
          <w:color w:val="1D2228"/>
          <w:kern w:val="0"/>
          <w:sz w:val="31"/>
          <w:szCs w:val="31"/>
        </w:rPr>
      </w:pPr>
      <w:r w:rsidRPr="00B66491">
        <w:rPr>
          <w:rFonts w:ascii="Helvetica" w:eastAsia="新細明體" w:hAnsi="Helvetica" w:cs="Helvetica"/>
          <w:color w:val="1D2228"/>
          <w:kern w:val="0"/>
          <w:sz w:val="31"/>
          <w:szCs w:val="31"/>
        </w:rPr>
        <w:t>【時報記者郭鴻慧台北報導】工研院舉辦眺望</w:t>
      </w:r>
      <w:r w:rsidRPr="00B66491">
        <w:rPr>
          <w:rFonts w:ascii="Helvetica" w:eastAsia="新細明體" w:hAnsi="Helvetica" w:cs="Helvetica"/>
          <w:color w:val="1D2228"/>
          <w:kern w:val="0"/>
          <w:sz w:val="31"/>
          <w:szCs w:val="31"/>
        </w:rPr>
        <w:t>2019</w:t>
      </w:r>
      <w:r w:rsidRPr="00B66491">
        <w:rPr>
          <w:rFonts w:ascii="Helvetica" w:eastAsia="新細明體" w:hAnsi="Helvetica" w:cs="Helvetica"/>
          <w:color w:val="1D2228"/>
          <w:kern w:val="0"/>
          <w:sz w:val="31"/>
          <w:szCs w:val="31"/>
        </w:rPr>
        <w:t>產業發展趨勢研討會，工研院</w:t>
      </w:r>
      <w:proofErr w:type="spellStart"/>
      <w:r w:rsidRPr="00B66491">
        <w:rPr>
          <w:rFonts w:ascii="Helvetica" w:eastAsia="新細明體" w:hAnsi="Helvetica" w:cs="Helvetica"/>
          <w:color w:val="1D2228"/>
          <w:kern w:val="0"/>
          <w:sz w:val="31"/>
          <w:szCs w:val="31"/>
        </w:rPr>
        <w:t>IEKConsulting</w:t>
      </w:r>
      <w:proofErr w:type="spellEnd"/>
      <w:r w:rsidRPr="00B66491">
        <w:rPr>
          <w:rFonts w:ascii="Helvetica" w:eastAsia="新細明體" w:hAnsi="Helvetica" w:cs="Helvetica"/>
          <w:color w:val="1D2228"/>
          <w:kern w:val="0"/>
          <w:sz w:val="31"/>
          <w:szCs w:val="31"/>
        </w:rPr>
        <w:t>預估，</w:t>
      </w:r>
      <w:r w:rsidRPr="00B66491">
        <w:rPr>
          <w:rFonts w:ascii="Helvetica" w:eastAsia="新細明體" w:hAnsi="Helvetica" w:cs="Helvetica"/>
          <w:color w:val="1D2228"/>
          <w:kern w:val="0"/>
          <w:sz w:val="31"/>
          <w:szCs w:val="31"/>
        </w:rPr>
        <w:t>2018</w:t>
      </w:r>
      <w:r w:rsidRPr="00B66491">
        <w:rPr>
          <w:rFonts w:ascii="Helvetica" w:eastAsia="新細明體" w:hAnsi="Helvetica" w:cs="Helvetica"/>
          <w:color w:val="1D2228"/>
          <w:kern w:val="0"/>
          <w:sz w:val="31"/>
          <w:szCs w:val="31"/>
        </w:rPr>
        <w:t>年台灣生技醫藥產業</w:t>
      </w:r>
      <w:r w:rsidRPr="00B66491">
        <w:rPr>
          <w:rFonts w:ascii="Helvetica" w:eastAsia="新細明體" w:hAnsi="Helvetica" w:cs="Helvetica"/>
          <w:color w:val="1D2228"/>
          <w:kern w:val="0"/>
          <w:sz w:val="31"/>
          <w:szCs w:val="31"/>
        </w:rPr>
        <w:t>(</w:t>
      </w:r>
      <w:r w:rsidRPr="00B66491">
        <w:rPr>
          <w:rFonts w:ascii="Helvetica" w:eastAsia="新細明體" w:hAnsi="Helvetica" w:cs="Helvetica"/>
          <w:color w:val="1D2228"/>
          <w:kern w:val="0"/>
          <w:sz w:val="31"/>
          <w:szCs w:val="31"/>
        </w:rPr>
        <w:t>包括原料藥、小分子藥與生物製劑</w:t>
      </w:r>
      <w:r w:rsidRPr="00B66491">
        <w:rPr>
          <w:rFonts w:ascii="Helvetica" w:eastAsia="新細明體" w:hAnsi="Helvetica" w:cs="Helvetica"/>
          <w:color w:val="1D2228"/>
          <w:kern w:val="0"/>
          <w:sz w:val="31"/>
          <w:szCs w:val="31"/>
        </w:rPr>
        <w:t>)</w:t>
      </w:r>
      <w:r w:rsidRPr="00B66491">
        <w:rPr>
          <w:rFonts w:ascii="Helvetica" w:eastAsia="新細明體" w:hAnsi="Helvetica" w:cs="Helvetica"/>
          <w:color w:val="1D2228"/>
          <w:kern w:val="0"/>
          <w:sz w:val="31"/>
          <w:szCs w:val="31"/>
        </w:rPr>
        <w:t>產值成長</w:t>
      </w:r>
      <w:r w:rsidRPr="00B66491">
        <w:rPr>
          <w:rFonts w:ascii="Helvetica" w:eastAsia="新細明體" w:hAnsi="Helvetica" w:cs="Helvetica"/>
          <w:color w:val="1D2228"/>
          <w:kern w:val="0"/>
          <w:sz w:val="31"/>
          <w:szCs w:val="31"/>
        </w:rPr>
        <w:t>3.2%</w:t>
      </w:r>
      <w:r w:rsidRPr="00B66491">
        <w:rPr>
          <w:rFonts w:ascii="Helvetica" w:eastAsia="新細明體" w:hAnsi="Helvetica" w:cs="Helvetica"/>
          <w:color w:val="1D2228"/>
          <w:kern w:val="0"/>
          <w:sz w:val="31"/>
          <w:szCs w:val="31"/>
        </w:rPr>
        <w:t>，預估</w:t>
      </w:r>
      <w:r w:rsidRPr="00B66491">
        <w:rPr>
          <w:rFonts w:ascii="Helvetica" w:eastAsia="新細明體" w:hAnsi="Helvetica" w:cs="Helvetica"/>
          <w:color w:val="1D2228"/>
          <w:kern w:val="0"/>
          <w:sz w:val="31"/>
          <w:szCs w:val="31"/>
        </w:rPr>
        <w:t>2019</w:t>
      </w:r>
      <w:r w:rsidRPr="00B66491">
        <w:rPr>
          <w:rFonts w:ascii="Helvetica" w:eastAsia="新細明體" w:hAnsi="Helvetica" w:cs="Helvetica"/>
          <w:color w:val="1D2228"/>
          <w:kern w:val="0"/>
          <w:sz w:val="31"/>
          <w:szCs w:val="31"/>
        </w:rPr>
        <w:t>年可成長</w:t>
      </w:r>
      <w:r w:rsidRPr="00B66491">
        <w:rPr>
          <w:rFonts w:ascii="Helvetica" w:eastAsia="新細明體" w:hAnsi="Helvetica" w:cs="Helvetica"/>
          <w:color w:val="1D2228"/>
          <w:kern w:val="0"/>
          <w:sz w:val="31"/>
          <w:szCs w:val="31"/>
        </w:rPr>
        <w:t>2%</w:t>
      </w:r>
      <w:r w:rsidRPr="00B66491">
        <w:rPr>
          <w:rFonts w:ascii="Helvetica" w:eastAsia="新細明體" w:hAnsi="Helvetica" w:cs="Helvetica"/>
          <w:color w:val="1D2228"/>
          <w:kern w:val="0"/>
          <w:sz w:val="31"/>
          <w:szCs w:val="31"/>
        </w:rPr>
        <w:t>，</w:t>
      </w:r>
      <w:r w:rsidRPr="00B66491">
        <w:rPr>
          <w:rFonts w:ascii="Helvetica" w:eastAsia="新細明體" w:hAnsi="Helvetica" w:cs="Helvetica"/>
          <w:color w:val="1D2228"/>
          <w:kern w:val="0"/>
          <w:sz w:val="31"/>
          <w:szCs w:val="31"/>
        </w:rPr>
        <w:t>2019</w:t>
      </w:r>
      <w:r w:rsidRPr="00B66491">
        <w:rPr>
          <w:rFonts w:ascii="Helvetica" w:eastAsia="新細明體" w:hAnsi="Helvetica" w:cs="Helvetica"/>
          <w:color w:val="1D2228"/>
          <w:kern w:val="0"/>
          <w:sz w:val="31"/>
          <w:szCs w:val="31"/>
        </w:rPr>
        <w:t>年產值將達</w:t>
      </w:r>
      <w:r w:rsidRPr="00B66491">
        <w:rPr>
          <w:rFonts w:ascii="Helvetica" w:eastAsia="新細明體" w:hAnsi="Helvetica" w:cs="Helvetica"/>
          <w:color w:val="1D2228"/>
          <w:kern w:val="0"/>
          <w:sz w:val="31"/>
          <w:szCs w:val="31"/>
        </w:rPr>
        <w:t>633.5</w:t>
      </w:r>
      <w:r w:rsidRPr="00B66491">
        <w:rPr>
          <w:rFonts w:ascii="Helvetica" w:eastAsia="新細明體" w:hAnsi="Helvetica" w:cs="Helvetica"/>
          <w:color w:val="1D2228"/>
          <w:kern w:val="0"/>
          <w:sz w:val="31"/>
          <w:szCs w:val="31"/>
        </w:rPr>
        <w:t>億元新台幣。在政府法規改善與加大對生</w:t>
      </w:r>
      <w:proofErr w:type="gramStart"/>
      <w:r w:rsidRPr="00B66491">
        <w:rPr>
          <w:rFonts w:ascii="Helvetica" w:eastAsia="新細明體" w:hAnsi="Helvetica" w:cs="Helvetica"/>
          <w:color w:val="1D2228"/>
          <w:kern w:val="0"/>
          <w:sz w:val="31"/>
          <w:szCs w:val="31"/>
        </w:rPr>
        <w:t>醫</w:t>
      </w:r>
      <w:proofErr w:type="gramEnd"/>
      <w:r w:rsidRPr="00B66491">
        <w:rPr>
          <w:rFonts w:ascii="Helvetica" w:eastAsia="新細明體" w:hAnsi="Helvetica" w:cs="Helvetica"/>
          <w:color w:val="1D2228"/>
          <w:kern w:val="0"/>
          <w:sz w:val="31"/>
          <w:szCs w:val="31"/>
        </w:rPr>
        <w:t>投資環境改善下，除了傳統製藥業與生物製劑產業將持續看到成果外，預料新興技術產業如細胞治療、再生療法等也將逐漸萌芽。</w:t>
      </w:r>
    </w:p>
    <w:p w:rsidR="00B66491" w:rsidRPr="00B66491" w:rsidRDefault="00B66491" w:rsidP="00B66491">
      <w:pPr>
        <w:widowControl/>
        <w:shd w:val="clear" w:color="auto" w:fill="FFFFFF"/>
        <w:spacing w:after="192"/>
        <w:rPr>
          <w:rFonts w:ascii="Helvetica" w:eastAsia="新細明體" w:hAnsi="Helvetica" w:cs="Helvetica"/>
          <w:color w:val="1D2228"/>
          <w:kern w:val="0"/>
          <w:sz w:val="31"/>
          <w:szCs w:val="31"/>
        </w:rPr>
      </w:pPr>
      <w:r w:rsidRPr="00B66491">
        <w:rPr>
          <w:rFonts w:ascii="Helvetica" w:eastAsia="新細明體" w:hAnsi="Helvetica" w:cs="Helvetica"/>
          <w:color w:val="1D2228"/>
          <w:kern w:val="0"/>
          <w:sz w:val="31"/>
          <w:szCs w:val="31"/>
        </w:rPr>
        <w:t>2018</w:t>
      </w:r>
      <w:r w:rsidRPr="00B66491">
        <w:rPr>
          <w:rFonts w:ascii="Helvetica" w:eastAsia="新細明體" w:hAnsi="Helvetica" w:cs="Helvetica"/>
          <w:color w:val="1D2228"/>
          <w:kern w:val="0"/>
          <w:sz w:val="31"/>
          <w:szCs w:val="31"/>
        </w:rPr>
        <w:t>年全球藥品市場預估高達</w:t>
      </w:r>
      <w:r w:rsidRPr="00B66491">
        <w:rPr>
          <w:rFonts w:ascii="Helvetica" w:eastAsia="新細明體" w:hAnsi="Helvetica" w:cs="Helvetica"/>
          <w:color w:val="1D2228"/>
          <w:kern w:val="0"/>
          <w:sz w:val="31"/>
          <w:szCs w:val="31"/>
        </w:rPr>
        <w:t>11,237</w:t>
      </w:r>
      <w:r w:rsidRPr="00B66491">
        <w:rPr>
          <w:rFonts w:ascii="Helvetica" w:eastAsia="新細明體" w:hAnsi="Helvetica" w:cs="Helvetica"/>
          <w:color w:val="1D2228"/>
          <w:kern w:val="0"/>
          <w:sz w:val="31"/>
          <w:szCs w:val="31"/>
        </w:rPr>
        <w:t>億美元，預期未來</w:t>
      </w:r>
      <w:r w:rsidRPr="00B66491">
        <w:rPr>
          <w:rFonts w:ascii="Helvetica" w:eastAsia="新細明體" w:hAnsi="Helvetica" w:cs="Helvetica"/>
          <w:color w:val="1D2228"/>
          <w:kern w:val="0"/>
          <w:sz w:val="31"/>
          <w:szCs w:val="31"/>
        </w:rPr>
        <w:t>5</w:t>
      </w:r>
      <w:r w:rsidRPr="00B66491">
        <w:rPr>
          <w:rFonts w:ascii="Helvetica" w:eastAsia="新細明體" w:hAnsi="Helvetica" w:cs="Helvetica"/>
          <w:color w:val="1D2228"/>
          <w:kern w:val="0"/>
          <w:sz w:val="31"/>
          <w:szCs w:val="31"/>
        </w:rPr>
        <w:t>年將以年複合成長率</w:t>
      </w:r>
      <w:r w:rsidRPr="00B66491">
        <w:rPr>
          <w:rFonts w:ascii="Helvetica" w:eastAsia="新細明體" w:hAnsi="Helvetica" w:cs="Helvetica"/>
          <w:color w:val="1D2228"/>
          <w:kern w:val="0"/>
          <w:sz w:val="31"/>
          <w:szCs w:val="31"/>
        </w:rPr>
        <w:t>6.6%</w:t>
      </w:r>
      <w:r w:rsidRPr="00B66491">
        <w:rPr>
          <w:rFonts w:ascii="Helvetica" w:eastAsia="新細明體" w:hAnsi="Helvetica" w:cs="Helvetica"/>
          <w:color w:val="1D2228"/>
          <w:kern w:val="0"/>
          <w:sz w:val="31"/>
          <w:szCs w:val="31"/>
        </w:rPr>
        <w:t>，至</w:t>
      </w:r>
      <w:r w:rsidRPr="00B66491">
        <w:rPr>
          <w:rFonts w:ascii="Helvetica" w:eastAsia="新細明體" w:hAnsi="Helvetica" w:cs="Helvetica"/>
          <w:color w:val="1D2228"/>
          <w:kern w:val="0"/>
          <w:sz w:val="31"/>
          <w:szCs w:val="31"/>
        </w:rPr>
        <w:t>2023</w:t>
      </w:r>
      <w:r w:rsidRPr="00B66491">
        <w:rPr>
          <w:rFonts w:ascii="Helvetica" w:eastAsia="新細明體" w:hAnsi="Helvetica" w:cs="Helvetica"/>
          <w:color w:val="1D2228"/>
          <w:kern w:val="0"/>
          <w:sz w:val="31"/>
          <w:szCs w:val="31"/>
        </w:rPr>
        <w:t>年達</w:t>
      </w:r>
      <w:r w:rsidRPr="00B66491">
        <w:rPr>
          <w:rFonts w:ascii="Helvetica" w:eastAsia="新細明體" w:hAnsi="Helvetica" w:cs="Helvetica"/>
          <w:color w:val="1D2228"/>
          <w:kern w:val="0"/>
          <w:sz w:val="31"/>
          <w:szCs w:val="31"/>
        </w:rPr>
        <w:t>15,496</w:t>
      </w:r>
      <w:r w:rsidRPr="00B66491">
        <w:rPr>
          <w:rFonts w:ascii="Helvetica" w:eastAsia="新細明體" w:hAnsi="Helvetica" w:cs="Helvetica"/>
          <w:color w:val="1D2228"/>
          <w:kern w:val="0"/>
          <w:sz w:val="31"/>
          <w:szCs w:val="31"/>
        </w:rPr>
        <w:t>億美元。市場同時受到新技術產品、醫療保險普及率提升等成長因子與產品專利過期，學名藥</w:t>
      </w:r>
      <w:r w:rsidRPr="00B66491">
        <w:rPr>
          <w:rFonts w:ascii="Helvetica" w:eastAsia="新細明體" w:hAnsi="Helvetica" w:cs="Helvetica"/>
          <w:color w:val="1D2228"/>
          <w:kern w:val="0"/>
          <w:sz w:val="31"/>
          <w:szCs w:val="31"/>
        </w:rPr>
        <w:t>/</w:t>
      </w:r>
      <w:r w:rsidRPr="00B66491">
        <w:rPr>
          <w:rFonts w:ascii="Helvetica" w:eastAsia="新細明體" w:hAnsi="Helvetica" w:cs="Helvetica"/>
          <w:color w:val="1D2228"/>
          <w:kern w:val="0"/>
          <w:sz w:val="31"/>
          <w:szCs w:val="31"/>
        </w:rPr>
        <w:t>生物相似藥進入市場競爭、來自政府與付費者對高價藥品的壓力。</w:t>
      </w:r>
    </w:p>
    <w:p w:rsidR="00B66491" w:rsidRPr="00B66491" w:rsidRDefault="00B66491" w:rsidP="00B66491">
      <w:pPr>
        <w:widowControl/>
        <w:shd w:val="clear" w:color="auto" w:fill="FFFFFF"/>
        <w:spacing w:after="192"/>
        <w:rPr>
          <w:rFonts w:ascii="Helvetica" w:eastAsia="新細明體" w:hAnsi="Helvetica" w:cs="Helvetica"/>
          <w:color w:val="1D2228"/>
          <w:kern w:val="0"/>
          <w:sz w:val="31"/>
          <w:szCs w:val="31"/>
        </w:rPr>
      </w:pPr>
      <w:r w:rsidRPr="00B66491">
        <w:rPr>
          <w:rFonts w:ascii="Helvetica" w:eastAsia="新細明體" w:hAnsi="Helvetica" w:cs="Helvetica"/>
          <w:color w:val="1D2228"/>
          <w:kern w:val="0"/>
          <w:sz w:val="31"/>
          <w:szCs w:val="31"/>
        </w:rPr>
        <w:t>回顧</w:t>
      </w:r>
      <w:r w:rsidRPr="00B66491">
        <w:rPr>
          <w:rFonts w:ascii="Helvetica" w:eastAsia="新細明體" w:hAnsi="Helvetica" w:cs="Helvetica"/>
          <w:color w:val="1D2228"/>
          <w:kern w:val="0"/>
          <w:sz w:val="31"/>
          <w:szCs w:val="31"/>
        </w:rPr>
        <w:t>2018</w:t>
      </w:r>
      <w:r w:rsidRPr="00B66491">
        <w:rPr>
          <w:rFonts w:ascii="Helvetica" w:eastAsia="新細明體" w:hAnsi="Helvetica" w:cs="Helvetica"/>
          <w:color w:val="1D2228"/>
          <w:kern w:val="0"/>
          <w:sz w:val="31"/>
          <w:szCs w:val="31"/>
        </w:rPr>
        <w:t>的國際製藥產業，處處</w:t>
      </w:r>
      <w:proofErr w:type="gramStart"/>
      <w:r w:rsidRPr="00B66491">
        <w:rPr>
          <w:rFonts w:ascii="Helvetica" w:eastAsia="新細明體" w:hAnsi="Helvetica" w:cs="Helvetica"/>
          <w:color w:val="1D2228"/>
          <w:kern w:val="0"/>
          <w:sz w:val="31"/>
          <w:szCs w:val="31"/>
        </w:rPr>
        <w:t>展現跨域與</w:t>
      </w:r>
      <w:proofErr w:type="gramEnd"/>
      <w:r w:rsidRPr="00B66491">
        <w:rPr>
          <w:rFonts w:ascii="Helvetica" w:eastAsia="新細明體" w:hAnsi="Helvetica" w:cs="Helvetica"/>
          <w:color w:val="1D2228"/>
          <w:kern w:val="0"/>
          <w:sz w:val="31"/>
          <w:szCs w:val="31"/>
        </w:rPr>
        <w:t>創新的力量，隨著生</w:t>
      </w:r>
      <w:proofErr w:type="gramStart"/>
      <w:r w:rsidRPr="00B66491">
        <w:rPr>
          <w:rFonts w:ascii="Helvetica" w:eastAsia="新細明體" w:hAnsi="Helvetica" w:cs="Helvetica"/>
          <w:color w:val="1D2228"/>
          <w:kern w:val="0"/>
          <w:sz w:val="31"/>
          <w:szCs w:val="31"/>
        </w:rPr>
        <w:t>醫</w:t>
      </w:r>
      <w:proofErr w:type="gramEnd"/>
      <w:r w:rsidRPr="00B66491">
        <w:rPr>
          <w:rFonts w:ascii="Helvetica" w:eastAsia="新細明體" w:hAnsi="Helvetica" w:cs="Helvetica"/>
          <w:color w:val="1D2228"/>
          <w:kern w:val="0"/>
          <w:sz w:val="31"/>
          <w:szCs w:val="31"/>
        </w:rPr>
        <w:t>資訊的累積與資料分析等軟硬體技術成熟，醫藥界掀起數位化應用的潮流。而大廠也加快數位技術導入以加速藥品開發進程，除了藉由人工智慧導入加速候選藥品開發外，透過智慧化的</w:t>
      </w:r>
      <w:proofErr w:type="gramStart"/>
      <w:r w:rsidRPr="00B66491">
        <w:rPr>
          <w:rFonts w:ascii="Helvetica" w:eastAsia="新細明體" w:hAnsi="Helvetica" w:cs="Helvetica"/>
          <w:color w:val="1D2228"/>
          <w:kern w:val="0"/>
          <w:sz w:val="31"/>
          <w:szCs w:val="31"/>
        </w:rPr>
        <w:t>醫療物聯網</w:t>
      </w:r>
      <w:proofErr w:type="gramEnd"/>
      <w:r w:rsidRPr="00B66491">
        <w:rPr>
          <w:rFonts w:ascii="Helvetica" w:eastAsia="新細明體" w:hAnsi="Helvetica" w:cs="Helvetica"/>
          <w:color w:val="1D2228"/>
          <w:kern w:val="0"/>
          <w:sz w:val="31"/>
          <w:szCs w:val="31"/>
        </w:rPr>
        <w:t>絡進行臨床試驗招募與監督臨床試驗以加</w:t>
      </w:r>
      <w:r w:rsidRPr="00B66491">
        <w:rPr>
          <w:rFonts w:ascii="Helvetica" w:eastAsia="新細明體" w:hAnsi="Helvetica" w:cs="Helvetica"/>
          <w:color w:val="1D2228"/>
          <w:kern w:val="0"/>
          <w:sz w:val="31"/>
          <w:szCs w:val="31"/>
        </w:rPr>
        <w:lastRenderedPageBreak/>
        <w:t>速臨床開發；應用電子藥丸技術則改善病患用藥順服度與治療效果。工研院觀察指出，數位化、生</w:t>
      </w:r>
      <w:proofErr w:type="gramStart"/>
      <w:r w:rsidRPr="00B66491">
        <w:rPr>
          <w:rFonts w:ascii="Helvetica" w:eastAsia="新細明體" w:hAnsi="Helvetica" w:cs="Helvetica"/>
          <w:color w:val="1D2228"/>
          <w:kern w:val="0"/>
          <w:sz w:val="31"/>
          <w:szCs w:val="31"/>
        </w:rPr>
        <w:t>醫</w:t>
      </w:r>
      <w:proofErr w:type="gramEnd"/>
      <w:r w:rsidRPr="00B66491">
        <w:rPr>
          <w:rFonts w:ascii="Helvetica" w:eastAsia="新細明體" w:hAnsi="Helvetica" w:cs="Helvetica"/>
          <w:color w:val="1D2228"/>
          <w:kern w:val="0"/>
          <w:sz w:val="31"/>
          <w:szCs w:val="31"/>
        </w:rPr>
        <w:t>資訊與大數據的分析為知識密集型的製藥產業帶來創新與轉型的契機。</w:t>
      </w:r>
      <w:proofErr w:type="gramStart"/>
      <w:r w:rsidRPr="00B66491">
        <w:rPr>
          <w:rFonts w:ascii="Helvetica" w:eastAsia="新細明體" w:hAnsi="Helvetica" w:cs="Helvetica"/>
          <w:color w:val="1D2228"/>
          <w:kern w:val="0"/>
          <w:sz w:val="31"/>
          <w:szCs w:val="31"/>
        </w:rPr>
        <w:t>此外，</w:t>
      </w:r>
      <w:proofErr w:type="gramEnd"/>
      <w:r w:rsidRPr="00B66491">
        <w:rPr>
          <w:rFonts w:ascii="Helvetica" w:eastAsia="新細明體" w:hAnsi="Helvetica" w:cs="Helvetica"/>
          <w:color w:val="1D2228"/>
          <w:kern w:val="0"/>
          <w:sz w:val="31"/>
          <w:szCs w:val="31"/>
        </w:rPr>
        <w:t>針對目前尚無有效治療方法的疾病之創新療法也正蓬勃發展中，例如：</w:t>
      </w:r>
      <w:proofErr w:type="gramStart"/>
      <w:r w:rsidRPr="00B66491">
        <w:rPr>
          <w:rFonts w:ascii="Helvetica" w:eastAsia="新細明體" w:hAnsi="Helvetica" w:cs="Helvetica"/>
          <w:color w:val="1D2228"/>
          <w:kern w:val="0"/>
          <w:sz w:val="31"/>
          <w:szCs w:val="31"/>
        </w:rPr>
        <w:t>微菌叢</w:t>
      </w:r>
      <w:proofErr w:type="gramEnd"/>
      <w:r w:rsidRPr="00B66491">
        <w:rPr>
          <w:rFonts w:ascii="Helvetica" w:eastAsia="新細明體" w:hAnsi="Helvetica" w:cs="Helvetica"/>
          <w:color w:val="1D2228"/>
          <w:kern w:val="0"/>
          <w:sz w:val="31"/>
          <w:szCs w:val="31"/>
        </w:rPr>
        <w:t>藥品、免疫細胞療法、基因治療等，為複雜難治疾病帶來新的系統性治療思維，也帶來產業生態的新一波變革。</w:t>
      </w:r>
    </w:p>
    <w:p w:rsidR="00B66491" w:rsidRPr="00B66491" w:rsidRDefault="00B66491" w:rsidP="00B66491">
      <w:pPr>
        <w:widowControl/>
        <w:shd w:val="clear" w:color="auto" w:fill="FFFFFF"/>
        <w:spacing w:after="192"/>
        <w:rPr>
          <w:rFonts w:ascii="Helvetica" w:eastAsia="新細明體" w:hAnsi="Helvetica" w:cs="Helvetica"/>
          <w:color w:val="1D2228"/>
          <w:kern w:val="0"/>
          <w:sz w:val="31"/>
          <w:szCs w:val="31"/>
        </w:rPr>
      </w:pPr>
      <w:r w:rsidRPr="00B66491">
        <w:rPr>
          <w:rFonts w:ascii="Helvetica" w:eastAsia="新細明體" w:hAnsi="Helvetica" w:cs="Helvetica"/>
          <w:color w:val="1D2228"/>
          <w:kern w:val="0"/>
          <w:sz w:val="31"/>
          <w:szCs w:val="31"/>
        </w:rPr>
        <w:t>台灣生技醫藥產業在多年的努力，近年來已逐漸展現成果，包含產品授權國外廠商、蛋白質新藥上市、持續深耕國內外市場經營等，活絡資本市場，也吸引國外投資者的目光。工研院</w:t>
      </w:r>
      <w:proofErr w:type="spellStart"/>
      <w:r w:rsidRPr="00B66491">
        <w:rPr>
          <w:rFonts w:ascii="Helvetica" w:eastAsia="新細明體" w:hAnsi="Helvetica" w:cs="Helvetica"/>
          <w:color w:val="1D2228"/>
          <w:kern w:val="0"/>
          <w:sz w:val="31"/>
          <w:szCs w:val="31"/>
        </w:rPr>
        <w:t>IEKConsulting</w:t>
      </w:r>
      <w:proofErr w:type="spellEnd"/>
      <w:r w:rsidRPr="00B66491">
        <w:rPr>
          <w:rFonts w:ascii="Helvetica" w:eastAsia="新細明體" w:hAnsi="Helvetica" w:cs="Helvetica"/>
          <w:color w:val="1D2228"/>
          <w:kern w:val="0"/>
          <w:sz w:val="31"/>
          <w:szCs w:val="31"/>
        </w:rPr>
        <w:t>預估，</w:t>
      </w:r>
      <w:r w:rsidRPr="00B66491">
        <w:rPr>
          <w:rFonts w:ascii="Helvetica" w:eastAsia="新細明體" w:hAnsi="Helvetica" w:cs="Helvetica"/>
          <w:color w:val="1D2228"/>
          <w:kern w:val="0"/>
          <w:sz w:val="31"/>
          <w:szCs w:val="31"/>
        </w:rPr>
        <w:t>2018</w:t>
      </w:r>
      <w:r w:rsidRPr="00B66491">
        <w:rPr>
          <w:rFonts w:ascii="Helvetica" w:eastAsia="新細明體" w:hAnsi="Helvetica" w:cs="Helvetica"/>
          <w:color w:val="1D2228"/>
          <w:kern w:val="0"/>
          <w:sz w:val="31"/>
          <w:szCs w:val="31"/>
        </w:rPr>
        <w:t>年台灣生技醫藥產業產值成長</w:t>
      </w:r>
      <w:r w:rsidRPr="00B66491">
        <w:rPr>
          <w:rFonts w:ascii="Helvetica" w:eastAsia="新細明體" w:hAnsi="Helvetica" w:cs="Helvetica"/>
          <w:color w:val="1D2228"/>
          <w:kern w:val="0"/>
          <w:sz w:val="31"/>
          <w:szCs w:val="31"/>
        </w:rPr>
        <w:t>3.2%</w:t>
      </w:r>
      <w:r w:rsidRPr="00B66491">
        <w:rPr>
          <w:rFonts w:ascii="Helvetica" w:eastAsia="新細明體" w:hAnsi="Helvetica" w:cs="Helvetica"/>
          <w:color w:val="1D2228"/>
          <w:kern w:val="0"/>
          <w:sz w:val="31"/>
          <w:szCs w:val="31"/>
        </w:rPr>
        <w:t>，預估</w:t>
      </w:r>
      <w:r w:rsidRPr="00B66491">
        <w:rPr>
          <w:rFonts w:ascii="Helvetica" w:eastAsia="新細明體" w:hAnsi="Helvetica" w:cs="Helvetica"/>
          <w:color w:val="1D2228"/>
          <w:kern w:val="0"/>
          <w:sz w:val="31"/>
          <w:szCs w:val="31"/>
        </w:rPr>
        <w:t>2019</w:t>
      </w:r>
      <w:r w:rsidRPr="00B66491">
        <w:rPr>
          <w:rFonts w:ascii="Helvetica" w:eastAsia="新細明體" w:hAnsi="Helvetica" w:cs="Helvetica"/>
          <w:color w:val="1D2228"/>
          <w:kern w:val="0"/>
          <w:sz w:val="31"/>
          <w:szCs w:val="31"/>
        </w:rPr>
        <w:t>年可成長</w:t>
      </w:r>
      <w:r w:rsidRPr="00B66491">
        <w:rPr>
          <w:rFonts w:ascii="Helvetica" w:eastAsia="新細明體" w:hAnsi="Helvetica" w:cs="Helvetica"/>
          <w:color w:val="1D2228"/>
          <w:kern w:val="0"/>
          <w:sz w:val="31"/>
          <w:szCs w:val="31"/>
        </w:rPr>
        <w:t>2%</w:t>
      </w:r>
      <w:r w:rsidRPr="00B66491">
        <w:rPr>
          <w:rFonts w:ascii="Helvetica" w:eastAsia="新細明體" w:hAnsi="Helvetica" w:cs="Helvetica"/>
          <w:color w:val="1D2228"/>
          <w:kern w:val="0"/>
          <w:sz w:val="31"/>
          <w:szCs w:val="31"/>
        </w:rPr>
        <w:t>，</w:t>
      </w:r>
      <w:r w:rsidRPr="00B66491">
        <w:rPr>
          <w:rFonts w:ascii="Helvetica" w:eastAsia="新細明體" w:hAnsi="Helvetica" w:cs="Helvetica"/>
          <w:color w:val="1D2228"/>
          <w:kern w:val="0"/>
          <w:sz w:val="31"/>
          <w:szCs w:val="31"/>
        </w:rPr>
        <w:t>2019</w:t>
      </w:r>
      <w:r w:rsidRPr="00B66491">
        <w:rPr>
          <w:rFonts w:ascii="Helvetica" w:eastAsia="新細明體" w:hAnsi="Helvetica" w:cs="Helvetica"/>
          <w:color w:val="1D2228"/>
          <w:kern w:val="0"/>
          <w:sz w:val="31"/>
          <w:szCs w:val="31"/>
        </w:rPr>
        <w:t>年產值將達</w:t>
      </w:r>
      <w:r w:rsidRPr="00B66491">
        <w:rPr>
          <w:rFonts w:ascii="Helvetica" w:eastAsia="新細明體" w:hAnsi="Helvetica" w:cs="Helvetica"/>
          <w:color w:val="1D2228"/>
          <w:kern w:val="0"/>
          <w:sz w:val="31"/>
          <w:szCs w:val="31"/>
        </w:rPr>
        <w:t>633.5</w:t>
      </w:r>
      <w:r w:rsidRPr="00B66491">
        <w:rPr>
          <w:rFonts w:ascii="Helvetica" w:eastAsia="新細明體" w:hAnsi="Helvetica" w:cs="Helvetica"/>
          <w:color w:val="1D2228"/>
          <w:kern w:val="0"/>
          <w:sz w:val="31"/>
          <w:szCs w:val="31"/>
        </w:rPr>
        <w:t>億元新台幣。在政府法規改善與加大對生</w:t>
      </w:r>
      <w:proofErr w:type="gramStart"/>
      <w:r w:rsidRPr="00B66491">
        <w:rPr>
          <w:rFonts w:ascii="Helvetica" w:eastAsia="新細明體" w:hAnsi="Helvetica" w:cs="Helvetica"/>
          <w:color w:val="1D2228"/>
          <w:kern w:val="0"/>
          <w:sz w:val="31"/>
          <w:szCs w:val="31"/>
        </w:rPr>
        <w:t>醫</w:t>
      </w:r>
      <w:proofErr w:type="gramEnd"/>
      <w:r w:rsidRPr="00B66491">
        <w:rPr>
          <w:rFonts w:ascii="Helvetica" w:eastAsia="新細明體" w:hAnsi="Helvetica" w:cs="Helvetica"/>
          <w:color w:val="1D2228"/>
          <w:kern w:val="0"/>
          <w:sz w:val="31"/>
          <w:szCs w:val="31"/>
        </w:rPr>
        <w:t>投資環境改善下，除了傳統製藥業與生物製劑產業將持續看到成果外，預料新興技術產業如細</w:t>
      </w:r>
      <w:bookmarkStart w:id="0" w:name="_GoBack"/>
      <w:bookmarkEnd w:id="0"/>
      <w:r w:rsidRPr="00B66491">
        <w:rPr>
          <w:rFonts w:ascii="Helvetica" w:eastAsia="新細明體" w:hAnsi="Helvetica" w:cs="Helvetica"/>
          <w:color w:val="1D2228"/>
          <w:kern w:val="0"/>
          <w:sz w:val="31"/>
          <w:szCs w:val="31"/>
        </w:rPr>
        <w:t>胞治療、再生療法等也將逐漸萌芽。</w:t>
      </w:r>
    </w:p>
    <w:p w:rsidR="003512D5" w:rsidRPr="00B66491" w:rsidRDefault="003512D5"/>
    <w:sectPr w:rsidR="003512D5" w:rsidRPr="00B6649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491"/>
    <w:rsid w:val="003512D5"/>
    <w:rsid w:val="00B664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basedOn w:val="a"/>
    <w:link w:val="10"/>
    <w:uiPriority w:val="9"/>
    <w:qFormat/>
    <w:rsid w:val="00B66491"/>
    <w:pPr>
      <w:widowControl/>
      <w:spacing w:before="100" w:beforeAutospacing="1" w:after="100" w:afterAutospacing="1"/>
      <w:outlineLvl w:val="0"/>
    </w:pPr>
    <w:rPr>
      <w:rFonts w:ascii="新細明體" w:eastAsia="新細明體" w:hAnsi="新細明體" w:cs="新細明體"/>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66491"/>
    <w:rPr>
      <w:rFonts w:ascii="新細明體" w:eastAsia="新細明體" w:hAnsi="新細明體" w:cs="新細明體"/>
      <w:b/>
      <w:bCs/>
      <w:kern w:val="36"/>
      <w:sz w:val="48"/>
      <w:szCs w:val="48"/>
    </w:rPr>
  </w:style>
  <w:style w:type="paragraph" w:styleId="Web">
    <w:name w:val="Normal (Web)"/>
    <w:basedOn w:val="a"/>
    <w:uiPriority w:val="99"/>
    <w:semiHidden/>
    <w:unhideWhenUsed/>
    <w:rsid w:val="00B66491"/>
    <w:pPr>
      <w:widowControl/>
      <w:spacing w:before="100" w:beforeAutospacing="1" w:after="100" w:afterAutospacing="1"/>
    </w:pPr>
    <w:rPr>
      <w:rFonts w:ascii="新細明體" w:eastAsia="新細明體" w:hAnsi="新細明體" w:cs="新細明體"/>
      <w:kern w:val="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basedOn w:val="a"/>
    <w:link w:val="10"/>
    <w:uiPriority w:val="9"/>
    <w:qFormat/>
    <w:rsid w:val="00B66491"/>
    <w:pPr>
      <w:widowControl/>
      <w:spacing w:before="100" w:beforeAutospacing="1" w:after="100" w:afterAutospacing="1"/>
      <w:outlineLvl w:val="0"/>
    </w:pPr>
    <w:rPr>
      <w:rFonts w:ascii="新細明體" w:eastAsia="新細明體" w:hAnsi="新細明體" w:cs="新細明體"/>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66491"/>
    <w:rPr>
      <w:rFonts w:ascii="新細明體" w:eastAsia="新細明體" w:hAnsi="新細明體" w:cs="新細明體"/>
      <w:b/>
      <w:bCs/>
      <w:kern w:val="36"/>
      <w:sz w:val="48"/>
      <w:szCs w:val="48"/>
    </w:rPr>
  </w:style>
  <w:style w:type="paragraph" w:styleId="Web">
    <w:name w:val="Normal (Web)"/>
    <w:basedOn w:val="a"/>
    <w:uiPriority w:val="99"/>
    <w:semiHidden/>
    <w:unhideWhenUsed/>
    <w:rsid w:val="00B66491"/>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7752783">
      <w:bodyDiv w:val="1"/>
      <w:marLeft w:val="0"/>
      <w:marRight w:val="0"/>
      <w:marTop w:val="0"/>
      <w:marBottom w:val="0"/>
      <w:divBdr>
        <w:top w:val="none" w:sz="0" w:space="0" w:color="auto"/>
        <w:left w:val="none" w:sz="0" w:space="0" w:color="auto"/>
        <w:bottom w:val="none" w:sz="0" w:space="0" w:color="auto"/>
        <w:right w:val="none" w:sz="0" w:space="0" w:color="auto"/>
      </w:divBdr>
      <w:divsChild>
        <w:div w:id="1021051633">
          <w:marLeft w:val="0"/>
          <w:marRight w:val="0"/>
          <w:marTop w:val="0"/>
          <w:marBottom w:val="150"/>
          <w:divBdr>
            <w:top w:val="none" w:sz="0" w:space="0" w:color="auto"/>
            <w:left w:val="none" w:sz="0" w:space="0" w:color="auto"/>
            <w:bottom w:val="none" w:sz="0" w:space="0" w:color="auto"/>
            <w:right w:val="none" w:sz="0" w:space="0" w:color="auto"/>
          </w:divBdr>
          <w:divsChild>
            <w:div w:id="341208357">
              <w:marLeft w:val="0"/>
              <w:marRight w:val="0"/>
              <w:marTop w:val="0"/>
              <w:marBottom w:val="0"/>
              <w:divBdr>
                <w:top w:val="none" w:sz="0" w:space="0" w:color="auto"/>
                <w:left w:val="none" w:sz="0" w:space="0" w:color="auto"/>
                <w:bottom w:val="none" w:sz="0" w:space="0" w:color="auto"/>
                <w:right w:val="none" w:sz="0" w:space="0" w:color="auto"/>
              </w:divBdr>
              <w:divsChild>
                <w:div w:id="868840369">
                  <w:marLeft w:val="0"/>
                  <w:marRight w:val="0"/>
                  <w:marTop w:val="0"/>
                  <w:marBottom w:val="0"/>
                  <w:divBdr>
                    <w:top w:val="none" w:sz="0" w:space="0" w:color="auto"/>
                    <w:left w:val="none" w:sz="0" w:space="0" w:color="auto"/>
                    <w:bottom w:val="none" w:sz="0" w:space="0" w:color="auto"/>
                    <w:right w:val="none" w:sz="0" w:space="0" w:color="auto"/>
                  </w:divBdr>
                  <w:divsChild>
                    <w:div w:id="1634560519">
                      <w:marLeft w:val="0"/>
                      <w:marRight w:val="0"/>
                      <w:marTop w:val="0"/>
                      <w:marBottom w:val="0"/>
                      <w:divBdr>
                        <w:top w:val="none" w:sz="0" w:space="0" w:color="auto"/>
                        <w:left w:val="none" w:sz="0" w:space="0" w:color="auto"/>
                        <w:bottom w:val="none" w:sz="0" w:space="0" w:color="auto"/>
                        <w:right w:val="none" w:sz="0" w:space="0" w:color="auto"/>
                      </w:divBdr>
                    </w:div>
                  </w:divsChild>
                </w:div>
                <w:div w:id="188810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75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130</Words>
  <Characters>746</Characters>
  <Application>Microsoft Office Word</Application>
  <DocSecurity>0</DocSecurity>
  <Lines>6</Lines>
  <Paragraphs>1</Paragraphs>
  <ScaleCrop>false</ScaleCrop>
  <Company/>
  <LinksUpToDate>false</LinksUpToDate>
  <CharactersWithSpaces>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chsu</dc:creator>
  <cp:lastModifiedBy>chsu</cp:lastModifiedBy>
  <cp:revision>1</cp:revision>
  <dcterms:created xsi:type="dcterms:W3CDTF">2018-11-14T06:23:00Z</dcterms:created>
  <dcterms:modified xsi:type="dcterms:W3CDTF">2018-11-14T06:24:00Z</dcterms:modified>
</cp:coreProperties>
</file>