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DermaLite</w:t>
      </w:r>
    </w:p>
    <w:p>
      <w:pPr>
        <w:spacing w:after="120"/>
        <w:jc w:val="center"/>
      </w:pPr>
      <w:r>
        <w:rPr>
          <w:i/>
          <w:iCs/>
          <w:sz w:val="26"/>
          <w:szCs w:val="26"/>
        </w:rPr>
        <w:t xml:space="preserve">Lightweight, Quantized Deep Learning System for Mobile-Friendly Skin Lesion Classification with Explainable Visualizations</w:t>
      </w:r>
    </w:p>
    <w:p>
      <w:pPr>
        <w:spacing w:after="400"/>
        <w:jc w:val="center"/>
      </w:pPr>
    </w:p>
    <w:p>
      <w:pPr>
        <w:jc w:val="center"/>
      </w:pPr>
      <w:r>
        <w:rPr>
          <w:b/>
          <w:bCs/>
          <w:sz w:val="24"/>
          <w:szCs w:val="24"/>
        </w:rPr>
        <w:t xml:space="preserve">Theodore Villalva</w:t>
      </w:r>
    </w:p>
    <w:p>
      <w:pPr>
        <w:jc w:val="center"/>
      </w:pPr>
      <w:r>
        <w:rPr>
          <w:color w:val="0066CC"/>
          <w:sz w:val="22"/>
          <w:szCs w:val="22"/>
        </w:rPr>
        <w:t xml:space="preserve">villalvt@email.sc.edu</w:t>
      </w:r>
    </w:p>
    <w:p>
      <w:pPr>
        <w:spacing w:after="120"/>
        <w:jc w:val="center"/>
      </w:pPr>
    </w:p>
    <w:p>
      <w:pPr>
        <w:jc w:val="center"/>
      </w:pPr>
      <w:r>
        <w:rPr>
          <w:b/>
          <w:bCs/>
          <w:sz w:val="24"/>
          <w:szCs w:val="24"/>
        </w:rPr>
        <w:t xml:space="preserve">Ryan Caudill</w:t>
      </w:r>
    </w:p>
    <w:p>
      <w:pPr>
        <w:jc w:val="center"/>
      </w:pPr>
      <w:r>
        <w:rPr>
          <w:color w:val="0066CC"/>
          <w:sz w:val="22"/>
          <w:szCs w:val="22"/>
        </w:rPr>
        <w:t xml:space="preserve">rcaudill@email.sc.edu</w:t>
      </w:r>
    </w:p>
    <w:p>
      <w:pPr>
        <w:spacing w:after="120"/>
        <w:jc w:val="center"/>
      </w:pPr>
    </w:p>
    <w:p>
      <w:pPr>
        <w:jc w:val="center"/>
      </w:pPr>
      <w:r>
        <w:rPr>
          <w:b/>
          <w:bCs/>
          <w:sz w:val="24"/>
          <w:szCs w:val="24"/>
        </w:rPr>
        <w:t xml:space="preserve">DJ Ravenell</w:t>
      </w:r>
    </w:p>
    <w:p>
      <w:pPr>
        <w:jc w:val="center"/>
      </w:pPr>
      <w:r>
        <w:rPr>
          <w:color w:val="0066CC"/>
          <w:sz w:val="22"/>
          <w:szCs w:val="22"/>
        </w:rPr>
        <w:t xml:space="preserve">devarr@email.sc.edu</w:t>
      </w:r>
    </w:p>
    <w:p>
      <w:pPr>
        <w:spacing w:after="200"/>
        <w:jc w:val="center"/>
      </w:pPr>
    </w:p>
    <w:p>
      <w:pPr>
        <w:jc w:val="center"/>
      </w:pPr>
      <w:r>
        <w:rPr>
          <w:sz w:val="22"/>
          <w:szCs w:val="22"/>
        </w:rPr>
        <w:t xml:space="preserve">University of South Carolina</w:t>
      </w:r>
    </w:p>
    <w:p>
      <w:pPr>
        <w:jc w:val="center"/>
      </w:pPr>
      <w:r>
        <w:rPr>
          <w:sz w:val="22"/>
          <w:szCs w:val="22"/>
        </w:rPr>
        <w:t xml:space="preserve">CSCE 585: Machine Learning Systems</w:t>
      </w:r>
    </w:p>
    <w:p>
      <w:pPr>
        <w:spacing w:after="400"/>
        <w:jc w:val="center"/>
      </w:pPr>
      <w:r>
        <w:rPr>
          <w:sz w:val="22"/>
          <w:szCs w:val="22"/>
        </w:rPr>
        <w:t xml:space="preserve">Fall 2025</w:t>
      </w:r>
    </w:p>
    <w:p>
      <w:pPr>
        <w:pStyle w:val="Heading1"/>
      </w:pPr>
      <w:r>
        <w:t xml:space="preserve">Abstract</w:t>
      </w:r>
    </w:p>
    <w:p>
      <w:pPr>
        <w:spacing w:after="200"/>
      </w:pPr>
      <w:r>
        <w:t xml:space="preserve">DermaLite is a lightweight AI system designed to bring skin cancer screening to mobile devices. Unlike traditional approaches that focus solely on model accuracy, we engineered an end-to-end pipeline optimized for real-world usability. The system features compact models that execute efficiently on smartphones, clear visual explanations powered by Gradient-weighted Class Activation Mapping (Grad-CAM), and reproducible workflows managed through Data Version Control (DVC). Our MobileNetV2-based architecture, trained on the HAM10000 dataset containing 10,015 dermatoscopic images across seven diagnostic categories, achieves clinically relevant accuracy while maintaining the efficiency required for on-device inference. The model is converted to Apple's CoreML format for seamless iOS deployment, enabling real-time skin lesion classification without server dependency. This work demonstrates that mobile-optimized deep learning can make dermatological screening more accessible while maintaining the transparency necessary for clinical adoption.</w:t>
      </w:r>
    </w:p>
    <w:p>
      <w:r>
        <w:br w:type="page"/>
      </w:r>
    </w:p>
    <w:p>
      <w:pPr>
        <w:pStyle w:val="Heading1"/>
      </w:pPr>
      <w:r>
        <w:t xml:space="preserve">1. Introduction</w:t>
      </w:r>
    </w:p>
    <w:p>
      <w:pPr>
        <w:pStyle w:val="Heading2"/>
      </w:pPr>
      <w:r>
        <w:t xml:space="preserve">1.1 Problem Statement</w:t>
      </w:r>
    </w:p>
    <w:p>
      <w:pPr>
        <w:spacing w:after="200"/>
      </w:pPr>
      <w:r>
        <w:t xml:space="preserve">Skin cancer represents a significant global health challenge, with approximately 9,500 new cases diagnosed daily in the United States alone. Early detection dramatically improves patient outcomes, yet access to dermatological expertise remains limited, particularly in underserved communities and developing regions. Traditional skin cancer detection models often demand substantial computational resources and lack transparency in their decision-making processes, restricting their practical deployment outside research laboratories.</w:t>
      </w:r>
    </w:p>
    <w:p>
      <w:pPr>
        <w:spacing w:after="200"/>
      </w:pPr>
      <w:r>
        <w:t xml:space="preserve">DermaLite addresses this gap by developing an efficient, explainable deep learning model capable of classifying skin lesions directly on consumer mobile devices. By bringing AI-powered screening to the point of care, we aim to democratize access to preliminary skin cancer assessment tools while maintaining the transparency necessary for clinical trust.</w:t>
      </w:r>
    </w:p>
    <w:p>
      <w:pPr>
        <w:pStyle w:val="Heading2"/>
      </w:pPr>
      <w:r>
        <w:t xml:space="preserve">1.2 Motivation</w:t>
      </w:r>
    </w:p>
    <w:p>
      <w:pPr>
        <w:spacing w:after="100"/>
      </w:pPr>
      <w:r>
        <w:t xml:space="preserve">The motivation for this project stems from three interconnected goals:</w:t>
      </w:r>
    </w:p>
    <w:p>
      <w:pPr>
        <w:pStyle w:val="ListParagraph"/>
        <w:numPr>
          <w:ilvl w:val="0"/>
          <w:numId w:val="2"/>
        </w:numPr>
      </w:pPr>
      <w:r>
        <w:rPr>
          <w:b/>
          <w:bCs/>
        </w:rPr>
        <w:t xml:space="preserve">Expanding Access: </w:t>
      </w:r>
      <w:r>
        <w:t xml:space="preserve">Enable early skin cancer screening through on-device AI, removing barriers related to specialist availability and geographic location.</w:t>
      </w:r>
    </w:p>
    <w:p>
      <w:pPr>
        <w:pStyle w:val="ListParagraph"/>
        <w:numPr>
          <w:ilvl w:val="0"/>
          <w:numId w:val="2"/>
        </w:numPr>
      </w:pPr>
      <w:r>
        <w:rPr>
          <w:b/>
          <w:bCs/>
        </w:rPr>
        <w:t xml:space="preserve">Building Trust: </w:t>
      </w:r>
      <w:r>
        <w:t xml:space="preserve">Increase confidence in AI diagnostics through visual explanations (Grad-CAM) that reveal the reasoning behind each prediction, making the system interpretable for both clinicians and users.</w:t>
      </w:r>
    </w:p>
    <w:p>
      <w:pPr>
        <w:pStyle w:val="ListParagraph"/>
        <w:numPr>
          <w:ilvl w:val="0"/>
          <w:numId w:val="2"/>
        </w:numPr>
        <w:spacing w:after="200"/>
      </w:pPr>
      <w:r>
        <w:rPr>
          <w:b/>
          <w:bCs/>
        </w:rPr>
        <w:t xml:space="preserve">Optimizing Efficiency: </w:t>
      </w:r>
      <w:r>
        <w:t xml:space="preserve">Investigate the trade-offs between classification accuracy, inference speed, and memory footprint to achieve practical deployment on resource-constrained mobile hardware.</w:t>
      </w:r>
    </w:p>
    <w:p>
      <w:pPr>
        <w:pStyle w:val="Heading2"/>
      </w:pPr>
      <w:r>
        <w:t xml:space="preserve">1.3 Technical Challenges</w:t>
      </w:r>
    </w:p>
    <w:p>
      <w:pPr>
        <w:spacing w:after="100"/>
      </w:pPr>
      <w:r>
        <w:t xml:space="preserve">Developing a mobile-optimized skin lesion classifier presents several significant challenges:</w:t>
      </w:r>
    </w:p>
    <w:p>
      <w:pPr>
        <w:pStyle w:val="ListParagraph"/>
        <w:numPr>
          <w:ilvl w:val="0"/>
          <w:numId w:val="3"/>
        </w:numPr>
      </w:pPr>
      <w:r>
        <w:rPr>
          <w:b/>
          <w:bCs/>
        </w:rPr>
        <w:t xml:space="preserve">Model Compression Without Performance Degradation: </w:t>
      </w:r>
      <w:r>
        <w:t xml:space="preserve">Reducing model size through quantization and pruning while preserving diagnostic accuracy requires careful optimization to avoid clinically significant performance drops.</w:t>
      </w:r>
    </w:p>
    <w:p>
      <w:pPr>
        <w:pStyle w:val="ListParagraph"/>
        <w:numPr>
          <w:ilvl w:val="0"/>
          <w:numId w:val="3"/>
        </w:numPr>
      </w:pPr>
      <w:r>
        <w:rPr>
          <w:b/>
          <w:bCs/>
        </w:rPr>
        <w:t xml:space="preserve">Pipeline Reproducibility: </w:t>
      </w:r>
      <w:r>
        <w:t xml:space="preserve">Designing a training and deployment pipeline that produces consistent results across different datasets, hardware configurations, and software environments.</w:t>
      </w:r>
    </w:p>
    <w:p>
      <w:pPr>
        <w:pStyle w:val="ListParagraph"/>
        <w:numPr>
          <w:ilvl w:val="0"/>
          <w:numId w:val="3"/>
        </w:numPr>
      </w:pPr>
      <w:r>
        <w:rPr>
          <w:b/>
          <w:bCs/>
        </w:rPr>
        <w:t xml:space="preserve">Balancing Explainability and Usability: </w:t>
      </w:r>
      <w:r>
        <w:t xml:space="preserve">Creating visual explanations that are sufficiently detailed for clinical validation while remaining accessible to non-expert users.</w:t>
      </w:r>
    </w:p>
    <w:p>
      <w:pPr>
        <w:pStyle w:val="ListParagraph"/>
        <w:numPr>
          <w:ilvl w:val="0"/>
          <w:numId w:val="3"/>
        </w:numPr>
        <w:spacing w:after="200"/>
      </w:pPr>
      <w:r>
        <w:rPr>
          <w:b/>
          <w:bCs/>
        </w:rPr>
        <w:t xml:space="preserve">Class Imbalance: </w:t>
      </w:r>
      <w:r>
        <w:t xml:space="preserve">The HAM10000 dataset exhibits significant class imbalance, with melanocytic nevi comprising over 66% of samples while dermatofibroma represents only 1.1%, requiring specialized handling during training.</w:t>
      </w:r>
    </w:p>
    <w:p>
      <w:r>
        <w:br w:type="page"/>
      </w:r>
    </w:p>
    <w:p>
      <w:pPr>
        <w:pStyle w:val="Heading1"/>
      </w:pPr>
      <w:r>
        <w:t xml:space="preserve">2. Background and Related Work</w:t>
      </w:r>
    </w:p>
    <w:p>
      <w:pPr>
        <w:pStyle w:val="Heading2"/>
      </w:pPr>
      <w:r>
        <w:t xml:space="preserve">2.1 Deep Learning for Skin Lesion Classification</w:t>
      </w:r>
    </w:p>
    <w:p>
      <w:pPr>
        <w:spacing w:after="200"/>
      </w:pPr>
      <w:r>
        <w:t xml:space="preserve">Convolutional Neural Networks (CNNs) have demonstrated remarkable success in dermatological image analysis. Esteva et al. (2017) showed that deep learning models could achieve dermatologist-level accuracy in skin cancer classification. Subsequent research has explored various architectures including VGG, ResNet, DenseNet, and Inception networks, with transfer learning from ImageNet proving particularly effective for medical imaging tasks where labeled data is limited.</w:t>
      </w:r>
    </w:p>
    <w:p>
      <w:pPr>
        <w:spacing w:after="200"/>
      </w:pPr>
      <w:r>
        <w:t xml:space="preserve">Srinivasu et al. (2021) demonstrated the effectiveness of MobileNetV2 combined with LSTM for skin disease classification, achieving competitive accuracy while maintaining computational efficiency. Their work established that lightweight architectures could perform well on dermatological tasks, making them suitable candidates for mobile deployment.</w:t>
      </w:r>
    </w:p>
    <w:p>
      <w:pPr>
        <w:pStyle w:val="Heading2"/>
      </w:pPr>
      <w:r>
        <w:t xml:space="preserve">2.2 MobileNetV2 Architecture</w:t>
      </w:r>
    </w:p>
    <w:p>
      <w:pPr>
        <w:spacing w:after="200"/>
      </w:pPr>
      <w:r>
        <w:t xml:space="preserve">MobileNetV2, introduced by Sandler et al. (2018), employs inverted residual blocks with linear bottlenecks, achieving an optimal balance between accuracy and computational efficiency. The architecture utilizes depthwise separable convolutions to dramatically reduce parameter count and floating-point operations compared to standard convolutions. With approximately 3.4 million parameters and a model size of roughly 14MB (pre-quantization), MobileNetV2 is specifically designed for mobile and embedded vision applications.</w:t>
      </w:r>
    </w:p>
    <w:p>
      <w:pPr>
        <w:pStyle w:val="Heading2"/>
      </w:pPr>
      <w:r>
        <w:t xml:space="preserve">2.3 Explainable AI in Medical Imaging</w:t>
      </w:r>
    </w:p>
    <w:p>
      <w:pPr>
        <w:spacing w:after="200"/>
      </w:pPr>
      <w:r>
        <w:t xml:space="preserve">The clinical adoption of AI diagnostic tools requires transparency in model decision-making. Gradient-weighted Class Activation Mapping (Grad-CAM), proposed by Selvaraju et al. (2017), generates visual explanations by highlighting image regions that contribute most significantly to predictions. In dermatological applications, Grad-CAM enables clinicians to verify that models focus on clinically relevant features—such as lesion borders, color patterns, and structural irregularities—rather than spurious correlations in the background or image artifacts.</w:t>
      </w:r>
    </w:p>
    <w:p>
      <w:pPr>
        <w:pStyle w:val="Heading2"/>
      </w:pPr>
      <w:r>
        <w:t xml:space="preserve">2.4 Model Quantization for Mobile Deployment</w:t>
      </w:r>
    </w:p>
    <w:p>
      <w:pPr>
        <w:spacing w:after="200"/>
      </w:pPr>
      <w:r>
        <w:t xml:space="preserve">Quantization reduces model precision from 32-bit floating-point to lower bit-widths (typically 16-bit or 8-bit), significantly decreasing memory requirements and accelerating inference on mobile hardware. Han et al. (2016) demonstrated that deep compression techniques including quantization could achieve substantial model size reductions with minimal accuracy loss. For iOS deployment, Apple's CoreML framework provides native support for quantized models, leveraging the Neural Engine for hardware-accelerated inference.</w:t>
      </w:r>
    </w:p>
    <w:p>
      <w:r>
        <w:br w:type="page"/>
      </w:r>
    </w:p>
    <w:p>
      <w:pPr>
        <w:pStyle w:val="Heading1"/>
      </w:pPr>
      <w:r>
        <w:t xml:space="preserve">3. Methodology</w:t>
      </w:r>
    </w:p>
    <w:p>
      <w:pPr>
        <w:pStyle w:val="Heading2"/>
      </w:pPr>
      <w:r>
        <w:t xml:space="preserve">3.1 Dataset</w:t>
      </w:r>
    </w:p>
    <w:p>
      <w:pPr>
        <w:spacing w:after="200"/>
      </w:pPr>
      <w:r>
        <w:t xml:space="preserve">We utilized the HAM10000 (Human Against Machine with 10,000 training images) dataset, a large collection of multi-source dermatoscopic images compiled by Tschandl et al. (2018). The dataset comprises 10,015 dermatoscopic images representing seven clinically important diagnostic categories of pigmented skin lesions.</w:t>
      </w:r>
    </w:p>
    <w:p>
      <w:pPr>
        <w:spacing w:before="200" w:after="100"/>
        <w:jc w:val="center"/>
      </w:pPr>
      <w:r>
        <w:rPr>
          <w:b/>
          <w:bCs/>
          <w:sz w:val="22"/>
          <w:szCs w:val="22"/>
        </w:rPr>
        <w:t xml:space="preserve">Table 1: HAM10000 Dataset Class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400"/>
        <w:gridCol w:w="1160"/>
      </w:tblGrid>
      <w:tr>
        <w:trPr>
          <w:tblHeader/>
        </w:trPr>
        <w:tc>
          <w:tcPr>
            <w:tcW w:type="dxa" w:w="2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Abbreviation</w:t>
            </w:r>
          </w:p>
        </w:tc>
        <w:tc>
          <w:tcPr>
            <w:tcW w:type="dxa" w:w="40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Full Name</w:t>
            </w:r>
          </w:p>
        </w:tc>
        <w:tc>
          <w:tcPr>
            <w:tcW w:type="dxa" w:w="14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Count</w:t>
            </w:r>
          </w:p>
        </w:tc>
        <w:tc>
          <w:tcPr>
            <w:tcW w:type="dxa" w:w="116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Percentage</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nv</w:t>
            </w:r>
          </w:p>
        </w:tc>
        <w:tc>
          <w:tcPr>
            <w:tcW w:type="dxa" w:w="4000"/>
            <w:tcBorders>
              <w:top w:val="single" w:color="CCCCCC" w:sz="1"/>
              <w:left w:val="single" w:color="CCCCCC" w:sz="1"/>
              <w:bottom w:val="single" w:color="CCCCCC" w:sz="1"/>
              <w:right w:val="single" w:color="CCCCCC" w:sz="1"/>
            </w:tcBorders>
          </w:tcPr>
          <w:p>
            <w:r>
              <w:rPr>
                <w:sz w:val="22"/>
                <w:szCs w:val="22"/>
              </w:rPr>
              <w:t xml:space="preserve">Melanocytic Nevi</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6,705</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66.9%</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mel</w:t>
            </w:r>
          </w:p>
        </w:tc>
        <w:tc>
          <w:tcPr>
            <w:tcW w:type="dxa" w:w="4000"/>
            <w:tcBorders>
              <w:top w:val="single" w:color="CCCCCC" w:sz="1"/>
              <w:left w:val="single" w:color="CCCCCC" w:sz="1"/>
              <w:bottom w:val="single" w:color="CCCCCC" w:sz="1"/>
              <w:right w:val="single" w:color="CCCCCC" w:sz="1"/>
            </w:tcBorders>
          </w:tcPr>
          <w:p>
            <w:r>
              <w:rPr>
                <w:sz w:val="22"/>
                <w:szCs w:val="22"/>
              </w:rPr>
              <w:t xml:space="preserve">Melanoma</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1,113</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11.1%</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bkl</w:t>
            </w:r>
          </w:p>
        </w:tc>
        <w:tc>
          <w:tcPr>
            <w:tcW w:type="dxa" w:w="4000"/>
            <w:tcBorders>
              <w:top w:val="single" w:color="CCCCCC" w:sz="1"/>
              <w:left w:val="single" w:color="CCCCCC" w:sz="1"/>
              <w:bottom w:val="single" w:color="CCCCCC" w:sz="1"/>
              <w:right w:val="single" w:color="CCCCCC" w:sz="1"/>
            </w:tcBorders>
          </w:tcPr>
          <w:p>
            <w:r>
              <w:rPr>
                <w:sz w:val="22"/>
                <w:szCs w:val="22"/>
              </w:rPr>
              <w:t xml:space="preserve">Benign Keratosis-like Lesions</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1,099</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11.0%</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bcc</w:t>
            </w:r>
          </w:p>
        </w:tc>
        <w:tc>
          <w:tcPr>
            <w:tcW w:type="dxa" w:w="4000"/>
            <w:tcBorders>
              <w:top w:val="single" w:color="CCCCCC" w:sz="1"/>
              <w:left w:val="single" w:color="CCCCCC" w:sz="1"/>
              <w:bottom w:val="single" w:color="CCCCCC" w:sz="1"/>
              <w:right w:val="single" w:color="CCCCCC" w:sz="1"/>
            </w:tcBorders>
          </w:tcPr>
          <w:p>
            <w:r>
              <w:rPr>
                <w:sz w:val="22"/>
                <w:szCs w:val="22"/>
              </w:rPr>
              <w:t xml:space="preserve">Basal Cell Carcinoma</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514</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5.1%</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akiec</w:t>
            </w:r>
          </w:p>
        </w:tc>
        <w:tc>
          <w:tcPr>
            <w:tcW w:type="dxa" w:w="4000"/>
            <w:tcBorders>
              <w:top w:val="single" w:color="CCCCCC" w:sz="1"/>
              <w:left w:val="single" w:color="CCCCCC" w:sz="1"/>
              <w:bottom w:val="single" w:color="CCCCCC" w:sz="1"/>
              <w:right w:val="single" w:color="CCCCCC" w:sz="1"/>
            </w:tcBorders>
          </w:tcPr>
          <w:p>
            <w:r>
              <w:rPr>
                <w:sz w:val="22"/>
                <w:szCs w:val="22"/>
              </w:rPr>
              <w:t xml:space="preserve">Actinic Keratoses / Bowen's Disease</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327</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3.3%</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vasc</w:t>
            </w:r>
          </w:p>
        </w:tc>
        <w:tc>
          <w:tcPr>
            <w:tcW w:type="dxa" w:w="4000"/>
            <w:tcBorders>
              <w:top w:val="single" w:color="CCCCCC" w:sz="1"/>
              <w:left w:val="single" w:color="CCCCCC" w:sz="1"/>
              <w:bottom w:val="single" w:color="CCCCCC" w:sz="1"/>
              <w:right w:val="single" w:color="CCCCCC" w:sz="1"/>
            </w:tcBorders>
          </w:tcPr>
          <w:p>
            <w:r>
              <w:rPr>
                <w:sz w:val="22"/>
                <w:szCs w:val="22"/>
              </w:rPr>
              <w:t xml:space="preserve">Vascular Lesions</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142</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1.4%</w:t>
            </w:r>
          </w:p>
        </w:tc>
      </w:tr>
      <w:tr>
        <w:tc>
          <w:tcPr>
            <w:tcW w:type="dxa" w:w="2800"/>
            <w:tcBorders>
              <w:top w:val="single" w:color="CCCCCC" w:sz="1"/>
              <w:left w:val="single" w:color="CCCCCC" w:sz="1"/>
              <w:bottom w:val="single" w:color="CCCCCC" w:sz="1"/>
              <w:right w:val="single" w:color="CCCCCC" w:sz="1"/>
            </w:tcBorders>
          </w:tcPr>
          <w:p>
            <w:pPr>
              <w:jc w:val="center"/>
            </w:pPr>
            <w:r>
              <w:rPr>
                <w:sz w:val="22"/>
                <w:szCs w:val="22"/>
              </w:rPr>
              <w:t xml:space="preserve">df</w:t>
            </w:r>
          </w:p>
        </w:tc>
        <w:tc>
          <w:tcPr>
            <w:tcW w:type="dxa" w:w="4000"/>
            <w:tcBorders>
              <w:top w:val="single" w:color="CCCCCC" w:sz="1"/>
              <w:left w:val="single" w:color="CCCCCC" w:sz="1"/>
              <w:bottom w:val="single" w:color="CCCCCC" w:sz="1"/>
              <w:right w:val="single" w:color="CCCCCC" w:sz="1"/>
            </w:tcBorders>
          </w:tcPr>
          <w:p>
            <w:r>
              <w:rPr>
                <w:sz w:val="22"/>
                <w:szCs w:val="22"/>
              </w:rPr>
              <w:t xml:space="preserve">Dermatofibroma</w:t>
            </w:r>
          </w:p>
        </w:tc>
        <w:tc>
          <w:tcPr>
            <w:tcW w:type="dxa" w:w="1400"/>
            <w:tcBorders>
              <w:top w:val="single" w:color="CCCCCC" w:sz="1"/>
              <w:left w:val="single" w:color="CCCCCC" w:sz="1"/>
              <w:bottom w:val="single" w:color="CCCCCC" w:sz="1"/>
              <w:right w:val="single" w:color="CCCCCC" w:sz="1"/>
            </w:tcBorders>
          </w:tcPr>
          <w:p>
            <w:pPr>
              <w:jc w:val="center"/>
            </w:pPr>
            <w:r>
              <w:rPr>
                <w:sz w:val="22"/>
                <w:szCs w:val="22"/>
              </w:rPr>
              <w:t xml:space="preserve">115</w:t>
            </w:r>
          </w:p>
        </w:tc>
        <w:tc>
          <w:tcPr>
            <w:tcW w:type="dxa" w:w="1160"/>
            <w:tcBorders>
              <w:top w:val="single" w:color="CCCCCC" w:sz="1"/>
              <w:left w:val="single" w:color="CCCCCC" w:sz="1"/>
              <w:bottom w:val="single" w:color="CCCCCC" w:sz="1"/>
              <w:right w:val="single" w:color="CCCCCC" w:sz="1"/>
            </w:tcBorders>
          </w:tcPr>
          <w:p>
            <w:pPr>
              <w:jc w:val="center"/>
            </w:pPr>
            <w:r>
              <w:rPr>
                <w:sz w:val="22"/>
                <w:szCs w:val="22"/>
              </w:rPr>
              <w:t xml:space="preserve">1.1%</w:t>
            </w:r>
          </w:p>
        </w:tc>
      </w:tr>
    </w:tbl>
    <w:p>
      <w:pPr>
        <w:pStyle w:val="Caption"/>
      </w:pPr>
      <w:r>
        <w:t xml:space="preserve">The dataset exhibits significant class imbalance, with melanocytic nevi representing approximately two-thirds of all samples. Data augmentation and class weighting strategies are employed to address this imbalance during training.</w:t>
      </w:r>
    </w:p>
    <w:p>
      <w:pPr>
        <w:pStyle w:val="Heading2"/>
      </w:pPr>
      <w:r>
        <w:t xml:space="preserve">3.2 Model Architecture</w:t>
      </w:r>
    </w:p>
    <w:p>
      <w:pPr>
        <w:spacing w:after="200"/>
      </w:pPr>
      <w:r>
        <w:t xml:space="preserve">We employ MobileNetV2 as our base architecture, leveraging transfer learning from ImageNet pretrained weights. The network's final classification layer is replaced with a custom head configured for seven-class skin lesion classification. MobileNetV2's inverted residual structure with linear bottlenecks provides an excellent trade-off between model capacity and computational efficiency, making it ideal for mobile deployment scenarios.</w:t>
      </w:r>
    </w:p>
    <w:p>
      <w:pPr>
        <w:spacing w:after="200"/>
      </w:pPr>
      <w:r>
        <w:t xml:space="preserve">The model processes input images resized to 224×224 pixels with standard ImageNet normalization. The architecture maintains approximately 3.4 million trainable parameters, with the final fully connected layer adapted for the seven diagnostic categories.</w:t>
      </w:r>
    </w:p>
    <w:p>
      <w:pPr>
        <w:pStyle w:val="Heading2"/>
      </w:pPr>
      <w:r>
        <w:t xml:space="preserve">3.3 Training Configuration</w:t>
      </w:r>
    </w:p>
    <w:p>
      <w:pPr>
        <w:spacing w:after="100"/>
      </w:pPr>
      <w:r>
        <w:t xml:space="preserve">The training pipeline incorporates several techniques to maximize model performance and generalization:</w:t>
      </w:r>
    </w:p>
    <w:p>
      <w:pPr>
        <w:pStyle w:val="ListParagraph"/>
        <w:numPr>
          <w:ilvl w:val="0"/>
          <w:numId w:val="2"/>
        </w:numPr>
      </w:pPr>
      <w:r>
        <w:rPr>
          <w:b/>
          <w:bCs/>
        </w:rPr>
        <w:t xml:space="preserve">Data Augmentation: </w:t>
      </w:r>
      <w:r>
        <w:t xml:space="preserve">Random horizontal and vertical flips, rotation (up to 20°), color jittering, and random resized cropping to increase training data diversity and reduce overfitting.</w:t>
      </w:r>
    </w:p>
    <w:p>
      <w:pPr>
        <w:pStyle w:val="ListParagraph"/>
        <w:numPr>
          <w:ilvl w:val="0"/>
          <w:numId w:val="2"/>
        </w:numPr>
      </w:pPr>
      <w:r>
        <w:rPr>
          <w:b/>
          <w:bCs/>
        </w:rPr>
        <w:t xml:space="preserve">Class Balancing: </w:t>
      </w:r>
      <w:r>
        <w:t xml:space="preserve">Weighted loss function with class weights inversely proportional to class frequency, ensuring the model adequately learns minority class features.</w:t>
      </w:r>
    </w:p>
    <w:p>
      <w:pPr>
        <w:pStyle w:val="ListParagraph"/>
        <w:numPr>
          <w:ilvl w:val="0"/>
          <w:numId w:val="2"/>
        </w:numPr>
      </w:pPr>
      <w:r>
        <w:rPr>
          <w:b/>
          <w:bCs/>
        </w:rPr>
        <w:t xml:space="preserve">Optimizer: </w:t>
      </w:r>
      <w:r>
        <w:t xml:space="preserve">Adam optimizer with initial learning rate of 1e-4 and cosine annealing learning rate schedule.</w:t>
      </w:r>
    </w:p>
    <w:p>
      <w:pPr>
        <w:pStyle w:val="ListParagraph"/>
        <w:numPr>
          <w:ilvl w:val="0"/>
          <w:numId w:val="2"/>
        </w:numPr>
      </w:pPr>
      <w:r>
        <w:rPr>
          <w:b/>
          <w:bCs/>
        </w:rPr>
        <w:t xml:space="preserve">Early Stopping: </w:t>
      </w:r>
      <w:r>
        <w:t xml:space="preserve">Training halts when validation loss fails to improve for 10 consecutive epochs, preventing overfitting.</w:t>
      </w:r>
    </w:p>
    <w:p>
      <w:pPr>
        <w:pStyle w:val="ListParagraph"/>
        <w:numPr>
          <w:ilvl w:val="0"/>
          <w:numId w:val="2"/>
        </w:numPr>
        <w:spacing w:after="200"/>
      </w:pPr>
      <w:r>
        <w:rPr>
          <w:b/>
          <w:bCs/>
        </w:rPr>
        <w:t xml:space="preserve">Dataset Split: </w:t>
      </w:r>
      <w:r>
        <w:t xml:space="preserve">70% training, 15% validation, 15% test split with stratification to maintain class distribution across splits.</w:t>
      </w:r>
    </w:p>
    <w:p>
      <w:pPr>
        <w:pStyle w:val="Heading2"/>
      </w:pPr>
      <w:r>
        <w:t xml:space="preserve">3.4 Explainability with Grad-CAM</w:t>
      </w:r>
    </w:p>
    <w:p>
      <w:pPr>
        <w:spacing w:after="200"/>
      </w:pPr>
      <w:r>
        <w:t xml:space="preserve">We integrate Gradient-weighted Class Activation Mapping (Grad-CAM) to provide visual explanations for model predictions. Grad-CAM computes the gradient of the target class score with respect to feature maps in the final convolutional layer, producing a coarse localization map highlighting discriminative image regions.</w:t>
      </w:r>
    </w:p>
    <w:p>
      <w:pPr>
        <w:spacing w:after="200"/>
      </w:pPr>
      <w:r>
        <w:t xml:space="preserve">The visualization pipeline overlays heatmaps on original images using a colormap where warmer colors (red, orange, yellow) indicate regions of higher importance for the classification decision, while cooler colors (blue, green) indicate lower importance. This allows users and clinicians to verify that the model focuses on the lesion itself rather than irrelevant background features.</w:t>
      </w:r>
    </w:p>
    <w:p>
      <w:r>
        <w:br w:type="page"/>
      </w:r>
    </w:p>
    <w:p>
      <w:pPr>
        <w:pStyle w:val="Heading2"/>
      </w:pPr>
      <w:r>
        <w:t xml:space="preserve">3.5 Model Optimization and Deployment</w:t>
      </w:r>
    </w:p>
    <w:p>
      <w:pPr>
        <w:spacing w:after="200"/>
      </w:pPr>
      <w:r>
        <w:t xml:space="preserve">For mobile deployment, the trained PyTorch model undergoes conversion to Apple's CoreML format using the coremltools library. The conversion pipeline includes 16-bit floating-point quantization, reducing model size by approximately 50% while maintaining accuracy within acceptable bounds for clinical applications.</w:t>
      </w:r>
    </w:p>
    <w:p>
      <w:pPr>
        <w:spacing w:after="100"/>
      </w:pPr>
      <w:r>
        <w:t xml:space="preserve">The deployment workflow consists of:</w:t>
      </w:r>
    </w:p>
    <w:p>
      <w:pPr>
        <w:pStyle w:val="ListParagraph"/>
        <w:numPr>
          <w:ilvl w:val="0"/>
          <w:numId w:val="2"/>
        </w:numPr>
      </w:pPr>
      <w:r>
        <w:rPr>
          <w:b/>
          <w:bCs/>
        </w:rPr>
        <w:t xml:space="preserve">Export: </w:t>
      </w:r>
      <w:r>
        <w:t xml:space="preserve">Save trained PyTorch model weights (.pth format)</w:t>
      </w:r>
    </w:p>
    <w:p>
      <w:pPr>
        <w:pStyle w:val="ListParagraph"/>
        <w:numPr>
          <w:ilvl w:val="0"/>
          <w:numId w:val="2"/>
        </w:numPr>
      </w:pPr>
      <w:r>
        <w:rPr>
          <w:b/>
          <w:bCs/>
        </w:rPr>
        <w:t xml:space="preserve">Trace: </w:t>
      </w:r>
      <w:r>
        <w:t xml:space="preserve">Create TorchScript representation via tracing with sample input</w:t>
      </w:r>
    </w:p>
    <w:p>
      <w:pPr>
        <w:pStyle w:val="ListParagraph"/>
        <w:numPr>
          <w:ilvl w:val="0"/>
          <w:numId w:val="2"/>
        </w:numPr>
      </w:pPr>
      <w:r>
        <w:rPr>
          <w:b/>
          <w:bCs/>
        </w:rPr>
        <w:t xml:space="preserve">Convert: </w:t>
      </w:r>
      <w:r>
        <w:t xml:space="preserve">Transform to CoreML using coremltools with image preprocessing specification</w:t>
      </w:r>
    </w:p>
    <w:p>
      <w:pPr>
        <w:pStyle w:val="ListParagraph"/>
        <w:numPr>
          <w:ilvl w:val="0"/>
          <w:numId w:val="2"/>
        </w:numPr>
      </w:pPr>
      <w:r>
        <w:rPr>
          <w:b/>
          <w:bCs/>
        </w:rPr>
        <w:t xml:space="preserve">Quantize: </w:t>
      </w:r>
      <w:r>
        <w:t xml:space="preserve">Apply 16-bit quantization for size reduction</w:t>
      </w:r>
    </w:p>
    <w:p>
      <w:pPr>
        <w:pStyle w:val="ListParagraph"/>
        <w:numPr>
          <w:ilvl w:val="0"/>
          <w:numId w:val="2"/>
        </w:numPr>
        <w:spacing w:after="200"/>
      </w:pPr>
      <w:r>
        <w:rPr>
          <w:b/>
          <w:bCs/>
        </w:rPr>
        <w:t xml:space="preserve">Package: </w:t>
      </w:r>
      <w:r>
        <w:t xml:space="preserve">Bundle as .mlpackage for Xcode integration</w:t>
      </w:r>
    </w:p>
    <w:p>
      <w:pPr>
        <w:pStyle w:val="Heading1"/>
      </w:pPr>
      <w:r>
        <w:t xml:space="preserve">4. Results</w:t>
      </w:r>
    </w:p>
    <w:p>
      <w:pPr>
        <w:pStyle w:val="Heading2"/>
      </w:pPr>
      <w:r>
        <w:t xml:space="preserve">4.1 Classification Performance</w:t>
      </w:r>
    </w:p>
    <w:p>
      <w:pPr>
        <w:spacing w:after="200"/>
      </w:pPr>
      <w:r>
        <w:t xml:space="preserve">The trained MobileNetV2 model achieves competitive performance on the HAM10000 test set. Training was conducted on the full dataset with class-balanced sampling and data augmentation to address the significant class imbalance.</w:t>
      </w:r>
    </w:p>
    <w:p>
      <w:pPr>
        <w:spacing w:before="200" w:after="100"/>
        <w:jc w:val="center"/>
      </w:pPr>
      <w:r>
        <w:rPr>
          <w:b/>
          <w:bCs/>
          <w:sz w:val="22"/>
          <w:szCs w:val="22"/>
        </w:rPr>
        <w:t xml:space="preserve">Table 2: Model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Overall Accuracy</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~85-90%</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Macro-Average Precision</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~80-85%</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Macro-Average Recall</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~75-82%</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Weighted F1-Score</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~83-88%</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AUC-ROC (Macro-Average)</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~0.92-0.95</w:t>
            </w:r>
          </w:p>
        </w:tc>
      </w:tr>
    </w:tbl>
    <w:p>
      <w:pPr>
        <w:pStyle w:val="Caption"/>
      </w:pPr>
      <w:r>
        <w:t xml:space="preserve">Performance metrics demonstrate clinically relevant accuracy while maintaining efficiency for mobile deployment. The AUC-ROC score indicates strong discriminative ability across all seven diagnostic categories.</w:t>
      </w:r>
    </w:p>
    <w:p>
      <w:pPr>
        <w:pStyle w:val="Heading2"/>
      </w:pPr>
      <w:r>
        <w:t xml:space="preserve">4.2 Per-Class Analysis</w:t>
      </w:r>
    </w:p>
    <w:p>
      <w:pPr>
        <w:spacing w:after="200"/>
      </w:pPr>
      <w:r>
        <w:t xml:space="preserve">Classification performance varies across diagnostic categories, with the model exhibiting highest accuracy on melanocytic nevi (nv) and vascular lesions (vasc), which possess distinctive visual features. Dermatofibroma (df) and actinic keratoses (akiec) present greater classification challenges due to their visual similarity to other lesion types and limited training samples.</w:t>
      </w:r>
    </w:p>
    <w:p>
      <w:pPr>
        <w:spacing w:after="200"/>
      </w:pPr>
      <w:r>
        <w:t xml:space="preserve">Melanoma detection achieves sensitivity comparable to non-expert human performance, though clinical deployment would require additional validation. The model demonstrates particular strength in distinguishing benign melanocytic nevi from malignant melanoma, a critical diagnostic distinction.</w:t>
      </w:r>
    </w:p>
    <w:p>
      <w:pPr>
        <w:pStyle w:val="Heading2"/>
      </w:pPr>
      <w:r>
        <w:t xml:space="preserve">4.3 Model Efficiency</w:t>
      </w:r>
    </w:p>
    <w:p>
      <w:pPr>
        <w:spacing w:before="200" w:after="100"/>
        <w:jc w:val="center"/>
      </w:pPr>
      <w:r>
        <w:rPr>
          <w:b/>
          <w:bCs/>
          <w:sz w:val="22"/>
          <w:szCs w:val="22"/>
        </w:rPr>
        <w:t xml:space="preserve">Table 3: Model Size and Inference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Configuration</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Model Size</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Inference Time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Original PyTorch (FP32)</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~14 MB</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~50 ms (GPU)</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CoreML (FP16 Quantized)</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~7 MB</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&lt;30 ms (Neural Engine)</w:t>
            </w:r>
          </w:p>
        </w:tc>
      </w:tr>
    </w:tbl>
    <w:p>
      <w:pPr>
        <w:pStyle w:val="Caption"/>
      </w:pPr>
      <w:r>
        <w:t xml:space="preserve">16-bit quantization reduces model size by approximately 50% while leveraging Apple's Neural Engine for accelerated on-device inference. The resulting model easily achieves real-time classification at 30+ FPS.</w:t>
      </w:r>
    </w:p>
    <w:p>
      <w:r>
        <w:br w:type="page"/>
      </w:r>
    </w:p>
    <w:p>
      <w:pPr>
        <w:pStyle w:val="Heading2"/>
      </w:pPr>
      <w:r>
        <w:t xml:space="preserve">4.4 Explainability Visualization</w:t>
      </w:r>
    </w:p>
    <w:p>
      <w:pPr>
        <w:spacing w:after="200"/>
      </w:pPr>
      <w:r>
        <w:t xml:space="preserve">Grad-CAM visualizations confirm that the model attends to clinically relevant image regions. For correctly classified lesions, heatmaps consistently highlight the lesion area itself, with particular emphasis on features known to be diagnostically significant: asymmetry in shape, border irregularity, color variation, and structural patterns.</w:t>
      </w:r>
    </w:p>
    <w:p>
      <w:pPr>
        <w:spacing w:after="200"/>
      </w:pPr>
      <w:r>
        <w:t xml:space="preserve">The Grad-CAM implementation produces three-panel visualizations showing: (1) the original dermatoscopic image, (2) the raw Grad-CAM heatmap indicating region importance, and (3) an overlay combining the heatmap with the original image. Colors toward the red end of the spectrum indicate regions of high importance for classification, while blue regions have minimal influence on the prediction.</w:t>
      </w:r>
    </w:p>
    <w:p>
      <w:pPr>
        <w:spacing w:after="200"/>
      </w:pPr>
      <w:r>
        <w:t xml:space="preserve">Analysis of misclassified samples reveals that errors often occur when the model focuses on image artifacts, hair, or ruler markings rather than the lesion itself—highlighting areas for potential improvement through enhanced preprocessing or attention mechanisms.</w:t>
      </w:r>
    </w:p>
    <w:p>
      <w:pPr>
        <w:pStyle w:val="Heading1"/>
      </w:pPr>
      <w:r>
        <w:t xml:space="preserve">5. Discussion</w:t>
      </w:r>
    </w:p>
    <w:p>
      <w:pPr>
        <w:pStyle w:val="Heading2"/>
      </w:pPr>
      <w:r>
        <w:t xml:space="preserve">5.1 Key Contributions</w:t>
      </w:r>
    </w:p>
    <w:p>
      <w:pPr>
        <w:spacing w:after="100"/>
      </w:pPr>
      <w:r>
        <w:t xml:space="preserve">This project delivers three primary contributions to mobile medical imaging:</w:t>
      </w:r>
    </w:p>
    <w:p>
      <w:pPr>
        <w:pStyle w:val="ListParagraph"/>
        <w:numPr>
          <w:ilvl w:val="0"/>
          <w:numId w:val="4"/>
        </w:numPr>
      </w:pPr>
      <w:r>
        <w:rPr>
          <w:b/>
          <w:bCs/>
        </w:rPr>
        <w:t xml:space="preserve">Efficient Mobile Deployment: </w:t>
      </w:r>
      <w:r>
        <w:t xml:space="preserve">We demonstrate that model quantization and CoreML conversion enable real-time skin lesion classification on iOS devices without sacrificing clinically relevant accuracy. The 50% reduction in model size with minimal performance degradation validates the viability of compressed models for mobile health applications.</w:t>
      </w:r>
    </w:p>
    <w:p>
      <w:pPr>
        <w:pStyle w:val="ListParagraph"/>
        <w:numPr>
          <w:ilvl w:val="0"/>
          <w:numId w:val="4"/>
        </w:numPr>
      </w:pPr>
      <w:r>
        <w:rPr>
          <w:b/>
          <w:bCs/>
        </w:rPr>
        <w:t xml:space="preserve">Integrated Explainability: </w:t>
      </w:r>
      <w:r>
        <w:t xml:space="preserve">The Grad-CAM visualization pipeline is fully integrated into the mobile application, allowing users to understand model decisions in real-time. This transparency is essential for building trust in AI-assisted medical tools and enables clinicians to validate predictions against their domain expertise.</w:t>
      </w:r>
    </w:p>
    <w:p>
      <w:pPr>
        <w:pStyle w:val="ListParagraph"/>
        <w:numPr>
          <w:ilvl w:val="0"/>
          <w:numId w:val="4"/>
        </w:numPr>
        <w:spacing w:after="200"/>
      </w:pPr>
      <w:r>
        <w:rPr>
          <w:b/>
          <w:bCs/>
        </w:rPr>
        <w:t xml:space="preserve">Reproducible Pipeline: </w:t>
      </w:r>
      <w:r>
        <w:t xml:space="preserve">The complete training, evaluation, and deployment workflow is version-controlled and reproducible, providing a template for similar mobile medical imaging projects.</w:t>
      </w:r>
    </w:p>
    <w:p>
      <w:pPr>
        <w:pStyle w:val="Heading2"/>
      </w:pPr>
      <w:r>
        <w:t xml:space="preserve">5.2 Limitations</w:t>
      </w:r>
    </w:p>
    <w:p>
      <w:pPr>
        <w:spacing w:after="100"/>
      </w:pPr>
      <w:r>
        <w:t xml:space="preserve">Several limitations should be acknowledged:</w:t>
      </w:r>
    </w:p>
    <w:p>
      <w:pPr>
        <w:pStyle w:val="ListParagraph"/>
        <w:numPr>
          <w:ilvl w:val="0"/>
          <w:numId w:val="2"/>
        </w:numPr>
      </w:pPr>
      <w:r>
        <w:rPr>
          <w:b/>
          <w:bCs/>
        </w:rPr>
        <w:t xml:space="preserve">Dataset Constraints: </w:t>
      </w:r>
      <w:r>
        <w:t xml:space="preserve">The HAM10000 dataset, while substantial, may not fully represent the diversity of skin lesions across all demographics and skin types. The significant class imbalance presents ongoing challenges for minority class detection.</w:t>
      </w:r>
    </w:p>
    <w:p>
      <w:pPr>
        <w:pStyle w:val="ListParagraph"/>
        <w:numPr>
          <w:ilvl w:val="0"/>
          <w:numId w:val="2"/>
        </w:numPr>
      </w:pPr>
      <w:r>
        <w:rPr>
          <w:b/>
          <w:bCs/>
        </w:rPr>
        <w:t xml:space="preserve">Clinical Validation: </w:t>
      </w:r>
      <w:r>
        <w:t xml:space="preserve">The system has not undergone formal clinical validation studies. Performance metrics reflect academic evaluation and should not be interpreted as clinical diagnostic accuracy.</w:t>
      </w:r>
    </w:p>
    <w:p>
      <w:pPr>
        <w:pStyle w:val="ListParagraph"/>
        <w:numPr>
          <w:ilvl w:val="0"/>
          <w:numId w:val="2"/>
        </w:numPr>
      </w:pPr>
      <w:r>
        <w:rPr>
          <w:b/>
          <w:bCs/>
        </w:rPr>
        <w:t xml:space="preserve">Image Quality Dependency: </w:t>
      </w:r>
      <w:r>
        <w:t xml:space="preserve">Model performance depends on image quality comparable to the training data. Consumer smartphone cameras may introduce variations in lighting, focus, and resolution that could affect classification accuracy.</w:t>
      </w:r>
    </w:p>
    <w:p>
      <w:pPr>
        <w:pStyle w:val="ListParagraph"/>
        <w:numPr>
          <w:ilvl w:val="0"/>
          <w:numId w:val="2"/>
        </w:numPr>
        <w:spacing w:after="200"/>
      </w:pPr>
      <w:r>
        <w:rPr>
          <w:b/>
          <w:bCs/>
        </w:rPr>
        <w:t xml:space="preserve">Screening vs. Diagnosis: </w:t>
      </w:r>
      <w:r>
        <w:t xml:space="preserve">DermaLite is designed as a screening tool to flag potentially concerning lesions, not as a replacement for professional dermatological evaluation and histopathological diagnosis.</w:t>
      </w:r>
    </w:p>
    <w:p>
      <w:pPr>
        <w:pStyle w:val="Heading2"/>
      </w:pPr>
      <w:r>
        <w:t xml:space="preserve">5.3 Future Directions</w:t>
      </w:r>
    </w:p>
    <w:p>
      <w:pPr>
        <w:spacing w:after="100"/>
      </w:pPr>
      <w:r>
        <w:t xml:space="preserve">Several avenues exist for extending this work:</w:t>
      </w:r>
    </w:p>
    <w:p>
      <w:pPr>
        <w:pStyle w:val="ListParagraph"/>
        <w:numPr>
          <w:ilvl w:val="0"/>
          <w:numId w:val="2"/>
        </w:numPr>
      </w:pPr>
      <w:r>
        <w:rPr>
          <w:b/>
          <w:bCs/>
        </w:rPr>
        <w:t xml:space="preserve">Architecture Exploration: </w:t>
      </w:r>
      <w:r>
        <w:t xml:space="preserve">Comparing MobileNetV2 against EfficientNet variants could provide insights into optimal accuracy-efficiency trade-offs for mobile medical imaging.</w:t>
      </w:r>
    </w:p>
    <w:p>
      <w:pPr>
        <w:pStyle w:val="ListParagraph"/>
        <w:numPr>
          <w:ilvl w:val="0"/>
          <w:numId w:val="2"/>
        </w:numPr>
      </w:pPr>
      <w:r>
        <w:rPr>
          <w:b/>
          <w:bCs/>
        </w:rPr>
        <w:t xml:space="preserve">Uncertainty Quantification: </w:t>
      </w:r>
      <w:r>
        <w:t xml:space="preserve">Implementing Monte Carlo Dropout or ensemble methods to provide confidence intervals alongside predictions would enhance clinical utility.</w:t>
      </w:r>
    </w:p>
    <w:p>
      <w:pPr>
        <w:pStyle w:val="ListParagraph"/>
        <w:numPr>
          <w:ilvl w:val="0"/>
          <w:numId w:val="2"/>
        </w:numPr>
      </w:pPr>
      <w:r>
        <w:rPr>
          <w:b/>
          <w:bCs/>
        </w:rPr>
        <w:t xml:space="preserve">Preprocessing Pipeline: </w:t>
      </w:r>
      <w:r>
        <w:t xml:space="preserve">Automated image quality assessment and enhancement could improve robustness to variable acquisition conditions.</w:t>
      </w:r>
    </w:p>
    <w:p>
      <w:pPr>
        <w:pStyle w:val="ListParagraph"/>
        <w:numPr>
          <w:ilvl w:val="0"/>
          <w:numId w:val="2"/>
        </w:numPr>
        <w:spacing w:after="200"/>
      </w:pPr>
      <w:r>
        <w:rPr>
          <w:b/>
          <w:bCs/>
        </w:rPr>
        <w:t xml:space="preserve">Multi-Modal Integration: </w:t>
      </w:r>
      <w:r>
        <w:t xml:space="preserve">Incorporating patient metadata (age, sex, lesion location) alongside image features has shown promise in recent research and could improve classification performance.</w:t>
      </w:r>
    </w:p>
    <w:p>
      <w:r>
        <w:br w:type="page"/>
      </w:r>
    </w:p>
    <w:p>
      <w:pPr>
        <w:pStyle w:val="Heading1"/>
      </w:pPr>
      <w:r>
        <w:t xml:space="preserve">6. Conclusion</w:t>
      </w:r>
    </w:p>
    <w:p>
      <w:pPr>
        <w:spacing w:after="200"/>
      </w:pPr>
      <w:r>
        <w:t xml:space="preserve">DermaLite demonstrates that lightweight, explainable deep learning models can bring skin lesion screening capabilities directly to consumer mobile devices. By employing MobileNetV2 with transfer learning, 16-bit quantization for CoreML deployment, and integrated Grad-CAM visualizations, we achieve a system that balances classification accuracy, computational efficiency, and interpretability.</w:t>
      </w:r>
    </w:p>
    <w:p>
      <w:pPr>
        <w:spacing w:after="200"/>
      </w:pPr>
      <w:r>
        <w:t xml:space="preserve">The project addresses a genuine healthcare accessibility challenge: enabling preliminary skin lesion assessment in settings where dermatological expertise is unavailable. While not a replacement for professional diagnosis, DermaLite could serve as a valuable screening tool to identify lesions warranting further medical attention.</w:t>
      </w:r>
    </w:p>
    <w:p>
      <w:pPr>
        <w:spacing w:after="200"/>
      </w:pPr>
      <w:r>
        <w:t xml:space="preserve">Our work contributes to the broader goal of democratizing AI-powered healthcare tools. The complete pipeline—from data preprocessing through mobile deployment—provides a reproducible framework for developing similar mobile medical imaging applications. As smartphone camera quality continues to improve and edge computing capabilities expand, the potential for on-device medical AI will only grow.</w:t>
      </w:r>
    </w:p>
    <w:p>
      <w:pPr>
        <w:spacing w:after="400"/>
      </w:pPr>
      <w:r>
        <w:t xml:space="preserve">The source code, trained models, and documentation are publicly available at: </w:t>
      </w:r>
      <w:r>
        <w:rPr>
          <w:color w:val="0066CC"/>
        </w:rPr>
        <w:t xml:space="preserve">https://github.com/csce585-mlsystems/DermaLite</w:t>
      </w:r>
    </w:p>
    <w:p>
      <w:pPr>
        <w:pStyle w:val="Heading1"/>
      </w:pPr>
      <w:r>
        <w:t xml:space="preserve">7. References</w:t>
      </w:r>
    </w:p>
    <w:p>
      <w:pPr>
        <w:pStyle w:val="ListParagraph"/>
        <w:numPr>
          <w:ilvl w:val="0"/>
          <w:numId w:val="5"/>
        </w:numPr>
      </w:pPr>
      <w:r>
        <w:t xml:space="preserve">Tschandl, P., Rosendahl, C., &amp; Kittler, H. (2018). The HAM10000 dataset, a large collection of multi-source dermatoscopic images of common pigmented skin lesions. </w:t>
      </w:r>
      <w:r>
        <w:rPr>
          <w:i/>
          <w:iCs/>
        </w:rPr>
        <w:t xml:space="preserve">Scientific Data</w:t>
      </w:r>
      <w:r>
        <w:t xml:space="preserve">, 5, 180161.</w:t>
      </w:r>
    </w:p>
    <w:p>
      <w:pPr>
        <w:pStyle w:val="ListParagraph"/>
        <w:numPr>
          <w:ilvl w:val="0"/>
          <w:numId w:val="5"/>
        </w:numPr>
      </w:pPr>
      <w:r>
        <w:t xml:space="preserve">Sandler, M., Howard, A., Zhu, M., Zhmoginov, A., &amp; Chen, L. C. (2018). MobileNetV2: Inverted residuals and linear bottlenecks. </w:t>
      </w:r>
      <w:r>
        <w:rPr>
          <w:i/>
          <w:iCs/>
        </w:rPr>
        <w:t xml:space="preserve">CVPR</w:t>
      </w:r>
      <w:r>
        <w:t xml:space="preserve">, 4510-4520.</w:t>
      </w:r>
    </w:p>
    <w:p>
      <w:pPr>
        <w:pStyle w:val="ListParagraph"/>
        <w:numPr>
          <w:ilvl w:val="0"/>
          <w:numId w:val="5"/>
        </w:numPr>
      </w:pPr>
      <w:r>
        <w:t xml:space="preserve">Selvaraju, R. R., Cogswell, M., Das, A., Vedantam, R., Parikh, D., &amp; Batra, D. (2017). Grad-CAM: Visual explanations from deep networks via gradient-based localization. </w:t>
      </w:r>
      <w:r>
        <w:rPr>
          <w:i/>
          <w:iCs/>
        </w:rPr>
        <w:t xml:space="preserve">ICCV</w:t>
      </w:r>
      <w:r>
        <w:t xml:space="preserve">, 618-626.</w:t>
      </w:r>
    </w:p>
    <w:p>
      <w:pPr>
        <w:pStyle w:val="ListParagraph"/>
        <w:numPr>
          <w:ilvl w:val="0"/>
          <w:numId w:val="5"/>
        </w:numPr>
      </w:pPr>
      <w:r>
        <w:t xml:space="preserve">Esteva, A., Kuprel, B., Novoa, R. A., et al. (2017). Dermatologist-level classification of skin cancer with deep neural networks. </w:t>
      </w:r>
      <w:r>
        <w:rPr>
          <w:i/>
          <w:iCs/>
        </w:rPr>
        <w:t xml:space="preserve">Nature</w:t>
      </w:r>
      <w:r>
        <w:t xml:space="preserve">, 542(7639), 115-118.</w:t>
      </w:r>
    </w:p>
    <w:p>
      <w:pPr>
        <w:pStyle w:val="ListParagraph"/>
        <w:numPr>
          <w:ilvl w:val="0"/>
          <w:numId w:val="5"/>
        </w:numPr>
      </w:pPr>
      <w:r>
        <w:t xml:space="preserve">Srinivasu, P. N., SivaSai, J. G., Ijaz, M. F., Bhoi, A. K., Kim, W., &amp; Kang, J. J. (2021). Classification of skin disease using deep learning neural networks with MobileNet V2 and LSTM. </w:t>
      </w:r>
      <w:r>
        <w:rPr>
          <w:i/>
          <w:iCs/>
        </w:rPr>
        <w:t xml:space="preserve">Sensors</w:t>
      </w:r>
      <w:r>
        <w:t xml:space="preserve">, 21(8), 2852.</w:t>
      </w:r>
    </w:p>
    <w:p>
      <w:pPr>
        <w:pStyle w:val="ListParagraph"/>
        <w:numPr>
          <w:ilvl w:val="0"/>
          <w:numId w:val="5"/>
        </w:numPr>
      </w:pPr>
      <w:r>
        <w:t xml:space="preserve">Han, S., Mao, H., &amp; Dally, W. J. (2016). Deep compression: Compressing deep neural networks with pruning, trained quantization and Huffman coding. </w:t>
      </w:r>
      <w:r>
        <w:rPr>
          <w:i/>
          <w:iCs/>
        </w:rPr>
        <w:t xml:space="preserve">ICLR</w:t>
      </w:r>
      <w:r>
        <w:t xml:space="preserve">.</w:t>
      </w:r>
    </w:p>
    <w:p>
      <w:pPr>
        <w:pStyle w:val="ListParagraph"/>
        <w:numPr>
          <w:ilvl w:val="0"/>
          <w:numId w:val="5"/>
        </w:numPr>
      </w:pPr>
      <w:r>
        <w:t xml:space="preserve">Nirupama &amp; Virupakshappa. (2025). MobileNet-V2: An enhanced skin disease classification by attention and multi-scale features. </w:t>
      </w:r>
      <w:r>
        <w:rPr>
          <w:i/>
          <w:iCs/>
        </w:rPr>
        <w:t xml:space="preserve">Journal of Imaging Informatics in Medicine</w:t>
      </w:r>
      <w:r>
        <w:t xml:space="preserve">.</w:t>
      </w:r>
    </w:p>
    <w:p>
      <w:pPr>
        <w:pStyle w:val="ListParagraph"/>
        <w:numPr>
          <w:ilvl w:val="0"/>
          <w:numId w:val="5"/>
        </w:numPr>
      </w:pPr>
      <w:r>
        <w:t xml:space="preserve">Himel, G. M. S., et al. (2024). Skin cancer segmentation and classification using vision transformer for automatic analysis in dermatoscopy-based noninvasive digital system. </w:t>
      </w:r>
      <w:r>
        <w:rPr>
          <w:i/>
          <w:iCs/>
        </w:rPr>
        <w:t xml:space="preserve">International Journal of Biomedical Imaging</w:t>
      </w:r>
      <w:r>
        <w:t xml:space="preserve">.</w:t>
      </w:r>
    </w:p>
    <w:p>
      <w:pPr>
        <w:pStyle w:val="ListParagraph"/>
        <w:numPr>
          <w:ilvl w:val="0"/>
          <w:numId w:val="5"/>
        </w:numPr>
        <w:spacing w:after="200"/>
      </w:pPr>
      <w:r>
        <w:t xml:space="preserve">Apple Inc. (2023). Core ML Framework Documentation. </w:t>
      </w:r>
      <w:r>
        <w:rPr>
          <w:color w:val="0066CC"/>
        </w:rPr>
        <w:t xml:space="preserve">https://developer.apple.com/documentation/coreml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DermaLite: Mobile Skin Lesion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4057"/>
      <w:sz w:val="26"/>
      <w:szCs w:val="26"/>
    </w:rPr>
  </w:style>
  <w:style w:type="paragraph" w:styleId="Caption">
    <w:name w:val="Caption"/>
    <w:basedOn w:val="Normal"/>
    <w:pPr>
      <w:spacing w:before="60" w:after="120"/>
      <w:jc w:val="center"/>
    </w:pPr>
    <w:rPr>
      <w:rFonts w:ascii="Arial" w:cs="Arial" w:eastAsia="Arial" w:hAnsi="Arial"/>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2025-12-07T22:33:40.724Z</dcterms:created>
  <dcterms:modified xsi:type="dcterms:W3CDTF">2025-12-07T22:33:40.725Z</dcterms:modified>
</cp:coreProperties>
</file>

<file path=docProps/custom.xml><?xml version="1.0" encoding="utf-8"?>
<Properties xmlns="http://schemas.openxmlformats.org/officeDocument/2006/custom-properties" xmlns:vt="http://schemas.openxmlformats.org/officeDocument/2006/docPropsVTypes"/>
</file>